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E5F66">
      <w:pPr>
        <w:widowControl/>
        <w:spacing w:line="360" w:lineRule="atLeast"/>
        <w:jc w:val="left"/>
        <w:rPr>
          <w:rFonts w:hint="default" w:ascii="宋体" w:hAnsi="宋体" w:eastAsia="宋体" w:cs="宋体"/>
          <w:b/>
          <w:bCs/>
          <w:color w:val="000000"/>
          <w:kern w:val="0"/>
          <w:sz w:val="28"/>
          <w:szCs w:val="28"/>
          <w:lang w:val="en-US" w:eastAsia="zh-CN"/>
        </w:rPr>
      </w:pPr>
      <w:r>
        <w:rPr>
          <w:rFonts w:hint="eastAsia" w:ascii="宋体" w:hAnsi="宋体" w:eastAsia="宋体" w:cs="宋体"/>
          <w:b/>
          <w:bCs/>
          <w:color w:val="000000"/>
          <w:kern w:val="0"/>
          <w:sz w:val="28"/>
          <w:szCs w:val="28"/>
          <w:lang w:eastAsia="zh-CN"/>
        </w:rPr>
        <w:t>附件</w:t>
      </w:r>
      <w:r>
        <w:rPr>
          <w:rFonts w:hint="eastAsia" w:ascii="宋体" w:hAnsi="宋体" w:eastAsia="宋体" w:cs="宋体"/>
          <w:b/>
          <w:bCs/>
          <w:color w:val="000000"/>
          <w:kern w:val="0"/>
          <w:sz w:val="28"/>
          <w:szCs w:val="28"/>
          <w:lang w:val="en-US" w:eastAsia="zh-CN"/>
        </w:rPr>
        <w:t>7</w:t>
      </w:r>
    </w:p>
    <w:p w14:paraId="04DBDDD0">
      <w:pPr>
        <w:widowControl/>
        <w:spacing w:line="360" w:lineRule="atLeast"/>
        <w:jc w:val="center"/>
        <w:rPr>
          <w:rFonts w:ascii="宋体" w:hAnsi="宋体" w:eastAsia="宋体" w:cs="宋体"/>
          <w:b/>
          <w:bCs/>
          <w:color w:val="000000"/>
          <w:kern w:val="0"/>
          <w:sz w:val="36"/>
          <w:szCs w:val="36"/>
        </w:rPr>
      </w:pPr>
      <w:r>
        <w:rPr>
          <w:rFonts w:hint="eastAsia" w:ascii="宋体" w:hAnsi="宋体" w:eastAsia="宋体" w:cs="宋体"/>
          <w:b/>
          <w:bCs/>
          <w:color w:val="000000"/>
          <w:kern w:val="0"/>
          <w:sz w:val="36"/>
          <w:szCs w:val="36"/>
        </w:rPr>
        <w:t>喀什市</w:t>
      </w:r>
      <w:r>
        <w:rPr>
          <w:rFonts w:hint="eastAsia" w:ascii="宋体" w:hAnsi="宋体" w:eastAsia="宋体" w:cs="宋体"/>
          <w:b/>
          <w:bCs/>
          <w:color w:val="000000"/>
          <w:kern w:val="0"/>
          <w:sz w:val="36"/>
          <w:szCs w:val="36"/>
          <w:lang w:val="en-US" w:eastAsia="zh-CN"/>
        </w:rPr>
        <w:t>2026年度</w:t>
      </w:r>
      <w:r>
        <w:rPr>
          <w:rFonts w:hint="eastAsia" w:ascii="宋体" w:hAnsi="宋体" w:eastAsia="宋体" w:cs="宋体"/>
          <w:b/>
          <w:bCs/>
          <w:color w:val="000000"/>
          <w:kern w:val="0"/>
          <w:sz w:val="36"/>
          <w:szCs w:val="36"/>
        </w:rPr>
        <w:t>产品质量监督抽查</w:t>
      </w:r>
      <w:r>
        <w:rPr>
          <w:rFonts w:hint="eastAsia" w:ascii="宋体" w:hAnsi="宋体" w:eastAsia="宋体" w:cs="宋体"/>
          <w:b/>
          <w:bCs/>
          <w:color w:val="000000"/>
          <w:kern w:val="0"/>
          <w:sz w:val="36"/>
          <w:szCs w:val="36"/>
          <w:lang w:eastAsia="zh-CN"/>
        </w:rPr>
        <w:t>实施</w:t>
      </w:r>
      <w:r>
        <w:rPr>
          <w:rFonts w:hint="eastAsia" w:ascii="宋体" w:hAnsi="宋体" w:eastAsia="宋体" w:cs="宋体"/>
          <w:b/>
          <w:bCs/>
          <w:color w:val="000000"/>
          <w:kern w:val="0"/>
          <w:sz w:val="36"/>
          <w:szCs w:val="36"/>
        </w:rPr>
        <w:t>细则</w:t>
      </w:r>
    </w:p>
    <w:p w14:paraId="00CF04E3">
      <w:pPr>
        <w:widowControl/>
        <w:spacing w:line="360" w:lineRule="atLeast"/>
        <w:ind w:firstLine="482" w:firstLineChars="200"/>
        <w:jc w:val="left"/>
        <w:rPr>
          <w:rFonts w:hint="eastAsia" w:ascii="宋体" w:hAnsi="宋体" w:eastAsia="宋体" w:cs="宋体"/>
          <w:b/>
          <w:bCs/>
          <w:color w:val="000000"/>
          <w:kern w:val="0"/>
          <w:sz w:val="24"/>
        </w:rPr>
      </w:pPr>
    </w:p>
    <w:p w14:paraId="0A58E1D5">
      <w:pPr>
        <w:widowControl/>
        <w:spacing w:line="360" w:lineRule="atLeast"/>
        <w:ind w:firstLine="482" w:firstLineChars="200"/>
        <w:jc w:val="left"/>
        <w:rPr>
          <w:rFonts w:hint="eastAsia" w:ascii="宋体" w:hAnsi="宋体" w:eastAsia="宋体" w:cs="宋体"/>
          <w:b/>
          <w:bCs/>
          <w:color w:val="000000"/>
          <w:kern w:val="0"/>
          <w:sz w:val="24"/>
          <w:lang w:eastAsia="zh-CN"/>
        </w:rPr>
      </w:pPr>
      <w:r>
        <w:rPr>
          <w:rFonts w:hint="eastAsia" w:ascii="宋体" w:hAnsi="宋体" w:eastAsia="宋体" w:cs="宋体"/>
          <w:b/>
          <w:bCs/>
          <w:color w:val="000000"/>
          <w:kern w:val="0"/>
          <w:sz w:val="24"/>
          <w:lang w:eastAsia="zh-CN"/>
        </w:rPr>
        <w:t>一、实施细则</w:t>
      </w:r>
    </w:p>
    <w:p w14:paraId="7827A79C">
      <w:pPr>
        <w:widowControl/>
        <w:numPr>
          <w:ilvl w:val="0"/>
          <w:numId w:val="1"/>
        </w:numPr>
        <w:spacing w:line="360" w:lineRule="atLeast"/>
        <w:ind w:left="0" w:leftChars="0" w:firstLine="420" w:firstLineChars="0"/>
        <w:jc w:val="left"/>
        <w:rPr>
          <w:rFonts w:ascii="宋体" w:hAnsi="宋体"/>
          <w:color w:val="000000"/>
          <w:szCs w:val="21"/>
        </w:rPr>
      </w:pPr>
      <w:r>
        <w:rPr>
          <w:rFonts w:hint="eastAsia" w:ascii="宋体" w:hAnsi="宋体" w:eastAsia="宋体" w:cs="宋体"/>
          <w:b/>
          <w:bCs/>
          <w:color w:val="000000"/>
          <w:kern w:val="0"/>
          <w:sz w:val="24"/>
        </w:rPr>
        <w:t>皮肤及毛发护理器具产品质量监督抽查实施细则（2026年版）</w:t>
      </w:r>
    </w:p>
    <w:p w14:paraId="7FEBC364">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1 抽样方法</w:t>
      </w:r>
    </w:p>
    <w:p w14:paraId="001E6365">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以随机抽样的方式在被抽样生产者、销售者的待销产品中抽取。</w:t>
      </w:r>
    </w:p>
    <w:p w14:paraId="59BF3B30">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随机数一般可使用随机数表等方法产生。</w:t>
      </w:r>
    </w:p>
    <w:p w14:paraId="2A7600DC">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每批次产品抽取样品3台，其中2台为检验样品，1台为备用样品。</w:t>
      </w:r>
    </w:p>
    <w:p w14:paraId="1CD4E949">
      <w:pPr>
        <w:widowControl/>
        <w:spacing w:line="360" w:lineRule="atLeast"/>
        <w:ind w:firstLine="482" w:firstLineChars="200"/>
        <w:jc w:val="left"/>
        <w:rPr>
          <w:rStyle w:val="9"/>
          <w:highlight w:val="yellow"/>
        </w:rPr>
      </w:pPr>
      <w:r>
        <w:rPr>
          <w:rFonts w:hint="eastAsia" w:ascii="宋体" w:hAnsi="宋体" w:eastAsia="宋体" w:cs="宋体"/>
          <w:b/>
          <w:bCs/>
          <w:color w:val="000000"/>
          <w:kern w:val="0"/>
          <w:sz w:val="24"/>
        </w:rPr>
        <w:t>2 检验依据</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4476"/>
        <w:gridCol w:w="3612"/>
      </w:tblGrid>
      <w:tr w14:paraId="51D8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1082" w:type="dxa"/>
          </w:tcPr>
          <w:p w14:paraId="256FD7C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4476" w:type="dxa"/>
          </w:tcPr>
          <w:p w14:paraId="67C1AAE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检验项目</w:t>
            </w:r>
          </w:p>
        </w:tc>
        <w:tc>
          <w:tcPr>
            <w:tcW w:w="3612" w:type="dxa"/>
          </w:tcPr>
          <w:p w14:paraId="06EE1E0B">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检验方法</w:t>
            </w:r>
          </w:p>
        </w:tc>
      </w:tr>
      <w:tr w14:paraId="394E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1AB6341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4476" w:type="dxa"/>
            <w:vAlign w:val="center"/>
          </w:tcPr>
          <w:p w14:paraId="61E30E1C">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标志</w:t>
            </w:r>
            <w:r>
              <w:rPr>
                <w:rFonts w:hint="eastAsia" w:ascii="宋体" w:hAnsi="宋体" w:eastAsia="宋体" w:cs="宋体"/>
                <w:color w:val="000000"/>
                <w:kern w:val="0"/>
                <w:sz w:val="24"/>
              </w:rPr>
              <w:t>说明</w:t>
            </w:r>
          </w:p>
        </w:tc>
        <w:tc>
          <w:tcPr>
            <w:tcW w:w="3612" w:type="dxa"/>
            <w:vAlign w:val="center"/>
          </w:tcPr>
          <w:p w14:paraId="145E8119">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7E1FA09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4706.15-2008</w:t>
            </w:r>
          </w:p>
        </w:tc>
      </w:tr>
      <w:tr w14:paraId="2A1E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1EF3D092">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4476" w:type="dxa"/>
            <w:vAlign w:val="center"/>
          </w:tcPr>
          <w:p w14:paraId="3813A4E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对触及带电部件的防护</w:t>
            </w:r>
          </w:p>
        </w:tc>
        <w:tc>
          <w:tcPr>
            <w:tcW w:w="3612" w:type="dxa"/>
            <w:vAlign w:val="center"/>
          </w:tcPr>
          <w:p w14:paraId="4796CC76">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3DAB73F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4706.15-2008</w:t>
            </w:r>
          </w:p>
        </w:tc>
      </w:tr>
      <w:tr w14:paraId="72C8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64F5FF6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4476" w:type="dxa"/>
            <w:vAlign w:val="center"/>
          </w:tcPr>
          <w:p w14:paraId="145D00E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工作温度下的泄漏电流和电气强度</w:t>
            </w:r>
          </w:p>
        </w:tc>
        <w:tc>
          <w:tcPr>
            <w:tcW w:w="3612" w:type="dxa"/>
            <w:vAlign w:val="center"/>
          </w:tcPr>
          <w:p w14:paraId="097BDDA7">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7E017B3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4706.15-2008</w:t>
            </w:r>
          </w:p>
        </w:tc>
      </w:tr>
      <w:tr w14:paraId="540D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3E974E7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4476" w:type="dxa"/>
            <w:vAlign w:val="center"/>
          </w:tcPr>
          <w:p w14:paraId="5A7CFFDB">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机械强度</w:t>
            </w:r>
          </w:p>
        </w:tc>
        <w:tc>
          <w:tcPr>
            <w:tcW w:w="3612" w:type="dxa"/>
            <w:vAlign w:val="center"/>
          </w:tcPr>
          <w:p w14:paraId="3A441F4A">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25D1320">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4706.15-2008</w:t>
            </w:r>
          </w:p>
        </w:tc>
      </w:tr>
      <w:tr w14:paraId="0CE9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489A52B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476" w:type="dxa"/>
            <w:vAlign w:val="center"/>
          </w:tcPr>
          <w:p w14:paraId="18BDFBC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稳定性和机械危险</w:t>
            </w:r>
          </w:p>
        </w:tc>
        <w:tc>
          <w:tcPr>
            <w:tcW w:w="3612" w:type="dxa"/>
            <w:vAlign w:val="center"/>
          </w:tcPr>
          <w:p w14:paraId="7FA98040">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5493676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4706.15-2008</w:t>
            </w:r>
          </w:p>
        </w:tc>
      </w:tr>
      <w:tr w14:paraId="651B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31C0AFC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476" w:type="dxa"/>
            <w:vAlign w:val="center"/>
          </w:tcPr>
          <w:p w14:paraId="625F0F9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接地措施</w:t>
            </w:r>
          </w:p>
        </w:tc>
        <w:tc>
          <w:tcPr>
            <w:tcW w:w="3612" w:type="dxa"/>
            <w:vAlign w:val="center"/>
          </w:tcPr>
          <w:p w14:paraId="6B8C3961">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3597AD8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4706.15-2008</w:t>
            </w:r>
          </w:p>
        </w:tc>
      </w:tr>
      <w:tr w14:paraId="16E6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2" w:type="dxa"/>
            <w:vAlign w:val="center"/>
          </w:tcPr>
          <w:p w14:paraId="6851E6C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4476" w:type="dxa"/>
            <w:vAlign w:val="center"/>
          </w:tcPr>
          <w:p w14:paraId="1CFBD1B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电气间隙、爬电距离和固体绝缘</w:t>
            </w:r>
          </w:p>
        </w:tc>
        <w:tc>
          <w:tcPr>
            <w:tcW w:w="3612" w:type="dxa"/>
            <w:vAlign w:val="center"/>
          </w:tcPr>
          <w:p w14:paraId="61D97C38">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74EFFF0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4706.15-2008</w:t>
            </w:r>
          </w:p>
        </w:tc>
      </w:tr>
    </w:tbl>
    <w:p w14:paraId="1EC6DE8A">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执行企业标准、团体标准、地方标准的产品，检验项目参照上述内容执行。</w:t>
      </w:r>
    </w:p>
    <w:p w14:paraId="7E9A1B08">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256B7BB1">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 判定规则</w:t>
      </w:r>
    </w:p>
    <w:p w14:paraId="6E906D90">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3.1依据标准</w:t>
      </w:r>
    </w:p>
    <w:p w14:paraId="53D5F877">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4706.1—2005 家用和类似用途电器的安全  第1部分：通用要求</w:t>
      </w:r>
    </w:p>
    <w:p w14:paraId="5B56EC7A">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GB 4706.15-2008 家用和类似用途电器的安全 皮肤及毛发护理器具的特殊要求</w:t>
      </w:r>
    </w:p>
    <w:p w14:paraId="77E82D5A">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3.2判定原则</w:t>
      </w:r>
    </w:p>
    <w:p w14:paraId="25382BD0">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1D7532F9">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若被检产品明示的质量要求高于本细则中检验项目依据的标准要求时，应按被检产品明示的质量要求判定。</w:t>
      </w:r>
    </w:p>
    <w:p w14:paraId="2110C76B">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若被检产品明示的质量要求低于本细则中检验项目依据的强制性标准要求时，应按照强制性标准要求判定。</w:t>
      </w:r>
    </w:p>
    <w:p w14:paraId="35BBC16E">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若被检产品明示的质量要求低于或包含本细则中检验项目依据的推荐性标准要求时，应以被检产品明示的质量要求判定。</w:t>
      </w:r>
    </w:p>
    <w:p w14:paraId="013F472B">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若被检产品明示的质量要求缺少本细则中检验项目依据的强制性标准要求时，应按照强制性标准要求判定。</w:t>
      </w:r>
    </w:p>
    <w:p w14:paraId="6577B634">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若被检产品明示的质量要求缺少本细则中检验项目依据的推荐性标准要求时，该项目不参与判定。</w:t>
      </w:r>
    </w:p>
    <w:p w14:paraId="2A6C7A6A">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4 附则</w:t>
      </w:r>
    </w:p>
    <w:p w14:paraId="0090C5A1">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本细则代替《皮肤及毛发护理器具产品质量监督抽查实施细则（2025年版）》。</w:t>
      </w:r>
    </w:p>
    <w:p w14:paraId="08EC815E">
      <w:pPr>
        <w:widowControl/>
        <w:spacing w:line="360" w:lineRule="atLeast"/>
        <w:ind w:firstLine="420" w:firstLineChars="200"/>
        <w:jc w:val="left"/>
        <w:rPr>
          <w:rFonts w:ascii="宋体" w:hAnsi="宋体" w:eastAsia="宋体" w:cs="宋体"/>
          <w:b/>
          <w:bCs/>
          <w:color w:val="000000"/>
          <w:kern w:val="0"/>
          <w:sz w:val="24"/>
        </w:rPr>
      </w:pPr>
      <w:r>
        <w:rPr>
          <w:rFonts w:hint="eastAsia"/>
          <w:color w:val="000000"/>
          <w:szCs w:val="21"/>
        </w:rPr>
        <w:br w:type="page"/>
      </w:r>
    </w:p>
    <w:p w14:paraId="64B056E6">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r>
        <w:rPr>
          <w:rFonts w:hint="eastAsia" w:ascii="宋体" w:hAnsi="宋体" w:eastAsia="宋体" w:cs="宋体"/>
          <w:b/>
          <w:bCs/>
          <w:color w:val="000000"/>
          <w:kern w:val="0"/>
          <w:sz w:val="24"/>
        </w:rPr>
        <w:t>室内加热器产品质量监督抽查实施细则（2026年版）</w:t>
      </w:r>
    </w:p>
    <w:p w14:paraId="265EE8E9">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1 抽样方法</w:t>
      </w:r>
    </w:p>
    <w:p w14:paraId="25F802BC">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以随机抽样的方式在被抽样生产者、销售者的待销产品中抽取。随机数一般可使用随机数表等方法产生。每批次产品抽取样品3台，其中2台为检验样品，1台为备用样品。</w:t>
      </w:r>
    </w:p>
    <w:p w14:paraId="58530652">
      <w:pPr>
        <w:widowControl/>
        <w:spacing w:line="360" w:lineRule="atLeast"/>
        <w:ind w:firstLine="482" w:firstLineChars="200"/>
        <w:jc w:val="left"/>
        <w:rPr>
          <w:rFonts w:eastAsia="黑体"/>
          <w:color w:val="000000"/>
          <w:szCs w:val="21"/>
        </w:rPr>
      </w:pPr>
      <w:r>
        <w:rPr>
          <w:rFonts w:hint="eastAsia" w:ascii="宋体" w:hAnsi="宋体" w:eastAsia="宋体" w:cs="宋体"/>
          <w:b/>
          <w:bCs/>
          <w:color w:val="000000"/>
          <w:kern w:val="0"/>
          <w:sz w:val="24"/>
        </w:rPr>
        <w:t>2 检验依据</w:t>
      </w:r>
    </w:p>
    <w:tbl>
      <w:tblPr>
        <w:tblStyle w:val="5"/>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4364"/>
        <w:gridCol w:w="3787"/>
      </w:tblGrid>
      <w:tr w14:paraId="1DC7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blHeader/>
          <w:jc w:val="center"/>
        </w:trPr>
        <w:tc>
          <w:tcPr>
            <w:tcW w:w="883" w:type="dxa"/>
            <w:vAlign w:val="center"/>
          </w:tcPr>
          <w:p w14:paraId="227E8B0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4364" w:type="dxa"/>
            <w:vAlign w:val="center"/>
          </w:tcPr>
          <w:p w14:paraId="482C6E0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检验项目</w:t>
            </w:r>
          </w:p>
        </w:tc>
        <w:tc>
          <w:tcPr>
            <w:tcW w:w="3787" w:type="dxa"/>
            <w:vAlign w:val="center"/>
          </w:tcPr>
          <w:p w14:paraId="661C408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检验方法</w:t>
            </w:r>
          </w:p>
        </w:tc>
      </w:tr>
      <w:tr w14:paraId="40EC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35C780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4364" w:type="dxa"/>
            <w:vAlign w:val="center"/>
          </w:tcPr>
          <w:p w14:paraId="0925C110">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标志</w:t>
            </w:r>
            <w:r>
              <w:rPr>
                <w:rFonts w:hint="eastAsia" w:ascii="宋体" w:hAnsi="宋体" w:eastAsia="宋体" w:cs="宋体"/>
                <w:color w:val="000000"/>
                <w:kern w:val="0"/>
                <w:sz w:val="24"/>
              </w:rPr>
              <w:t>说明</w:t>
            </w:r>
          </w:p>
        </w:tc>
        <w:tc>
          <w:tcPr>
            <w:tcW w:w="3787" w:type="dxa"/>
            <w:vAlign w:val="center"/>
          </w:tcPr>
          <w:p w14:paraId="10288686">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FC0CFD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r w14:paraId="28A65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79442D6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4364" w:type="dxa"/>
            <w:vAlign w:val="center"/>
          </w:tcPr>
          <w:p w14:paraId="2780325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对触及带电部件的防护</w:t>
            </w:r>
          </w:p>
        </w:tc>
        <w:tc>
          <w:tcPr>
            <w:tcW w:w="3787" w:type="dxa"/>
            <w:vAlign w:val="center"/>
          </w:tcPr>
          <w:p w14:paraId="4F54BDCE">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GB 4706.1-2005 </w:t>
            </w:r>
          </w:p>
          <w:p w14:paraId="6BC4778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r w14:paraId="11FC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3517F73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4364" w:type="dxa"/>
            <w:vAlign w:val="center"/>
          </w:tcPr>
          <w:p w14:paraId="1663A71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工作温度下的泄漏电流和电气强度</w:t>
            </w:r>
          </w:p>
        </w:tc>
        <w:tc>
          <w:tcPr>
            <w:tcW w:w="3787" w:type="dxa"/>
            <w:vAlign w:val="center"/>
          </w:tcPr>
          <w:p w14:paraId="0A422392">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25FBD5C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r w14:paraId="2B4E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98C402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4364" w:type="dxa"/>
            <w:vAlign w:val="center"/>
          </w:tcPr>
          <w:p w14:paraId="075CA2F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机械强度</w:t>
            </w:r>
          </w:p>
        </w:tc>
        <w:tc>
          <w:tcPr>
            <w:tcW w:w="3787" w:type="dxa"/>
            <w:vAlign w:val="center"/>
          </w:tcPr>
          <w:p w14:paraId="515CD6A8">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696924E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r w14:paraId="1F3E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657BB40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364" w:type="dxa"/>
            <w:vAlign w:val="center"/>
          </w:tcPr>
          <w:p w14:paraId="20A4FE0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稳定性和机械危险</w:t>
            </w:r>
          </w:p>
        </w:tc>
        <w:tc>
          <w:tcPr>
            <w:tcW w:w="3787" w:type="dxa"/>
            <w:vAlign w:val="center"/>
          </w:tcPr>
          <w:p w14:paraId="6D8FEDFB">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00E4421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r w14:paraId="3931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FBA5B8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364" w:type="dxa"/>
            <w:vAlign w:val="center"/>
          </w:tcPr>
          <w:p w14:paraId="36BC729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接地措施</w:t>
            </w:r>
          </w:p>
        </w:tc>
        <w:tc>
          <w:tcPr>
            <w:tcW w:w="3787" w:type="dxa"/>
            <w:vAlign w:val="center"/>
          </w:tcPr>
          <w:p w14:paraId="7F8E00BE">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64EBFD6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r w14:paraId="5320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7FB01F1D">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4364" w:type="dxa"/>
            <w:vAlign w:val="center"/>
          </w:tcPr>
          <w:p w14:paraId="7F0BAC3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电气间隙、爬电距离和固体绝缘</w:t>
            </w:r>
          </w:p>
        </w:tc>
        <w:tc>
          <w:tcPr>
            <w:tcW w:w="3787" w:type="dxa"/>
            <w:vAlign w:val="center"/>
          </w:tcPr>
          <w:p w14:paraId="7CFA1632">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6C140C9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bl>
    <w:p w14:paraId="601260A4">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执行企业标准、团体标准、地方标准的产品，检验项目参照上述内容执行。</w:t>
      </w:r>
    </w:p>
    <w:p w14:paraId="00AA2D13">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0B9A571A">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 判定规则</w:t>
      </w:r>
    </w:p>
    <w:p w14:paraId="0CDC1A80">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3.1依据标准</w:t>
      </w:r>
    </w:p>
    <w:p w14:paraId="7C84BD0D">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4706.1—2005 家用和类似用途电器的安全  第1部分：通用要求</w:t>
      </w:r>
    </w:p>
    <w:p w14:paraId="0AC2762B">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GB 4706.23-2007 家用和类似用途电器的安全  第2部分  室内加热器的特殊要求</w:t>
      </w:r>
    </w:p>
    <w:p w14:paraId="653B1CC7">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现行有效的企业标准、团体标准、地方标准及产品明示质量要求</w:t>
      </w:r>
    </w:p>
    <w:p w14:paraId="79C0296F">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3.2判定原则</w:t>
      </w:r>
    </w:p>
    <w:p w14:paraId="1CF7FF89">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2A0BF5EA">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若被检产品明示的质量要求高于本细则中检验项目依据的标准要求时，应按被检产品明示的质量要求判定。</w:t>
      </w:r>
    </w:p>
    <w:p w14:paraId="48C24A9D">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若被检产品明示的质量要求低于本细则中检验项目依据的强制性标准要求时，应按照强制性标准要求判定。</w:t>
      </w:r>
    </w:p>
    <w:p w14:paraId="2D1BC623">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若被检产品明示的质量要求低于或包含本细则中检验项目依据的推荐性标准要求时，应以被检产品明示的质量要求判定。</w:t>
      </w:r>
    </w:p>
    <w:p w14:paraId="1D2A31D2">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若被检产品明示的质量要求缺少本细则中检验项目依据的强制性标准要求时，应按照强制性标准要求判定。</w:t>
      </w:r>
    </w:p>
    <w:p w14:paraId="6882A122">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若被检产品明示的质量要求缺少本细则中检验项目依据的推荐性标准要求时，该项目不参与判定。</w:t>
      </w:r>
    </w:p>
    <w:p w14:paraId="1702B011">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4 附则</w:t>
      </w:r>
    </w:p>
    <w:p w14:paraId="48299F33">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本细则代替《室内加热器产品质量监督抽查实施细则</w:t>
      </w:r>
      <w:bookmarkStart w:id="0" w:name="OLE_LINK7"/>
      <w:bookmarkStart w:id="1" w:name="OLE_LINK8"/>
      <w:r>
        <w:rPr>
          <w:rFonts w:hint="eastAsia" w:ascii="宋体" w:hAnsi="宋体" w:eastAsia="宋体" w:cs="宋体"/>
          <w:color w:val="000000"/>
          <w:kern w:val="0"/>
          <w:sz w:val="24"/>
        </w:rPr>
        <w:t>（2025年版）</w:t>
      </w:r>
      <w:bookmarkEnd w:id="0"/>
      <w:bookmarkEnd w:id="1"/>
      <w:r>
        <w:rPr>
          <w:rFonts w:hint="eastAsia" w:ascii="宋体" w:hAnsi="宋体" w:eastAsia="宋体" w:cs="宋体"/>
          <w:color w:val="000000"/>
          <w:kern w:val="0"/>
          <w:sz w:val="24"/>
        </w:rPr>
        <w:t>》。</w:t>
      </w:r>
    </w:p>
    <w:p w14:paraId="1E8AF2F4">
      <w:pPr>
        <w:widowControl/>
        <w:spacing w:line="360" w:lineRule="atLeast"/>
        <w:ind w:firstLine="420" w:firstLineChars="200"/>
        <w:jc w:val="left"/>
        <w:rPr>
          <w:rFonts w:hint="eastAsia"/>
          <w:color w:val="000000"/>
          <w:szCs w:val="21"/>
        </w:rPr>
      </w:pPr>
      <w:r>
        <w:rPr>
          <w:color w:val="000000"/>
          <w:szCs w:val="21"/>
        </w:rPr>
        <w:br w:type="page"/>
      </w:r>
    </w:p>
    <w:p w14:paraId="1052FA36">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r>
        <w:rPr>
          <w:rFonts w:hint="eastAsia" w:ascii="宋体" w:hAnsi="宋体" w:eastAsia="宋体" w:cs="宋体"/>
          <w:b/>
          <w:bCs/>
          <w:color w:val="000000"/>
          <w:kern w:val="0"/>
          <w:sz w:val="24"/>
        </w:rPr>
        <w:t>电压力锅产品质量监督抽查实施细则（2026年版）</w:t>
      </w:r>
    </w:p>
    <w:p w14:paraId="149CED79">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1 抽样方法</w:t>
      </w:r>
    </w:p>
    <w:p w14:paraId="459FE165">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以随机抽样的方式在被抽样生产者、销售者的待销产品中抽取。随机数一般可使用随机数表等方法产生。每批次产品抽取样品3台，其中2台为检验样品，1台为备用样品。</w:t>
      </w:r>
    </w:p>
    <w:p w14:paraId="7195561A">
      <w:pPr>
        <w:widowControl/>
        <w:spacing w:line="360" w:lineRule="atLeast"/>
        <w:ind w:firstLine="482" w:firstLineChars="200"/>
        <w:jc w:val="left"/>
        <w:rPr>
          <w:rFonts w:eastAsia="黑体"/>
          <w:color w:val="000000"/>
          <w:szCs w:val="21"/>
        </w:rPr>
      </w:pPr>
      <w:r>
        <w:rPr>
          <w:rFonts w:hint="eastAsia" w:ascii="宋体" w:hAnsi="宋体" w:eastAsia="宋体" w:cs="宋体"/>
          <w:b/>
          <w:bCs/>
          <w:color w:val="000000"/>
          <w:kern w:val="0"/>
          <w:sz w:val="24"/>
        </w:rPr>
        <w:t>2 检验依据</w:t>
      </w:r>
    </w:p>
    <w:tbl>
      <w:tblPr>
        <w:tblStyle w:val="5"/>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4364"/>
        <w:gridCol w:w="3787"/>
      </w:tblGrid>
      <w:tr w14:paraId="5203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blHeader/>
          <w:jc w:val="center"/>
        </w:trPr>
        <w:tc>
          <w:tcPr>
            <w:tcW w:w="883" w:type="dxa"/>
            <w:vAlign w:val="center"/>
          </w:tcPr>
          <w:p w14:paraId="77F22B5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4364" w:type="dxa"/>
            <w:vAlign w:val="center"/>
          </w:tcPr>
          <w:p w14:paraId="2115CB0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检验项目</w:t>
            </w:r>
          </w:p>
        </w:tc>
        <w:tc>
          <w:tcPr>
            <w:tcW w:w="3787" w:type="dxa"/>
            <w:vAlign w:val="center"/>
          </w:tcPr>
          <w:p w14:paraId="5B9F37D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检验方法</w:t>
            </w:r>
          </w:p>
        </w:tc>
      </w:tr>
      <w:tr w14:paraId="4BC0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3939A25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4364" w:type="dxa"/>
            <w:vAlign w:val="center"/>
          </w:tcPr>
          <w:p w14:paraId="3BCC8E54">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标志</w:t>
            </w:r>
            <w:r>
              <w:rPr>
                <w:rFonts w:hint="eastAsia" w:ascii="宋体" w:hAnsi="宋体" w:eastAsia="宋体" w:cs="宋体"/>
                <w:color w:val="000000"/>
                <w:kern w:val="0"/>
                <w:sz w:val="24"/>
              </w:rPr>
              <w:t>说明</w:t>
            </w:r>
          </w:p>
        </w:tc>
        <w:tc>
          <w:tcPr>
            <w:tcW w:w="3787" w:type="dxa"/>
            <w:vAlign w:val="center"/>
          </w:tcPr>
          <w:p w14:paraId="7ED01347">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5D5B2B2">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4706.19-2008</w:t>
            </w:r>
          </w:p>
        </w:tc>
      </w:tr>
      <w:tr w14:paraId="50EF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3F5C4ED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4364" w:type="dxa"/>
            <w:vAlign w:val="center"/>
          </w:tcPr>
          <w:p w14:paraId="335626C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对触及带电部件的防护</w:t>
            </w:r>
          </w:p>
        </w:tc>
        <w:tc>
          <w:tcPr>
            <w:tcW w:w="3787" w:type="dxa"/>
            <w:vAlign w:val="center"/>
          </w:tcPr>
          <w:p w14:paraId="0ED6231F">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GB 4706.1-2005 </w:t>
            </w:r>
          </w:p>
          <w:p w14:paraId="47E2E2D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 19-2008</w:t>
            </w:r>
          </w:p>
        </w:tc>
      </w:tr>
      <w:tr w14:paraId="6AD8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2883E62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4364" w:type="dxa"/>
            <w:vAlign w:val="center"/>
          </w:tcPr>
          <w:p w14:paraId="6F9BD20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工作温度下的泄漏电流和电气强度</w:t>
            </w:r>
          </w:p>
        </w:tc>
        <w:tc>
          <w:tcPr>
            <w:tcW w:w="3787" w:type="dxa"/>
            <w:vAlign w:val="center"/>
          </w:tcPr>
          <w:p w14:paraId="16942D91">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04B9569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 19-2008</w:t>
            </w:r>
          </w:p>
        </w:tc>
      </w:tr>
      <w:tr w14:paraId="3F14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516CB4C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4364" w:type="dxa"/>
            <w:vAlign w:val="center"/>
          </w:tcPr>
          <w:p w14:paraId="125D1FD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机械强度</w:t>
            </w:r>
          </w:p>
        </w:tc>
        <w:tc>
          <w:tcPr>
            <w:tcW w:w="3787" w:type="dxa"/>
            <w:vAlign w:val="center"/>
          </w:tcPr>
          <w:p w14:paraId="58E8EBDF">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3B590F5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 19-2008</w:t>
            </w:r>
          </w:p>
        </w:tc>
      </w:tr>
      <w:tr w14:paraId="0614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1CB2CD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364" w:type="dxa"/>
            <w:vAlign w:val="center"/>
          </w:tcPr>
          <w:p w14:paraId="0A268C8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稳定性和机械危险</w:t>
            </w:r>
          </w:p>
        </w:tc>
        <w:tc>
          <w:tcPr>
            <w:tcW w:w="3787" w:type="dxa"/>
            <w:vAlign w:val="center"/>
          </w:tcPr>
          <w:p w14:paraId="385B2D2D">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66E8E89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 19-2008</w:t>
            </w:r>
          </w:p>
        </w:tc>
      </w:tr>
      <w:tr w14:paraId="3F26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16846F8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364" w:type="dxa"/>
            <w:vAlign w:val="center"/>
          </w:tcPr>
          <w:p w14:paraId="189501A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接地措施</w:t>
            </w:r>
          </w:p>
        </w:tc>
        <w:tc>
          <w:tcPr>
            <w:tcW w:w="3787" w:type="dxa"/>
            <w:vAlign w:val="center"/>
          </w:tcPr>
          <w:p w14:paraId="6250A6F8">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092BC42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 19-2008</w:t>
            </w:r>
          </w:p>
        </w:tc>
      </w:tr>
      <w:tr w14:paraId="68C1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61C5DD5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4364" w:type="dxa"/>
            <w:vAlign w:val="center"/>
          </w:tcPr>
          <w:p w14:paraId="5A82F2E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电气间隙、爬电距离和固体绝缘</w:t>
            </w:r>
          </w:p>
        </w:tc>
        <w:tc>
          <w:tcPr>
            <w:tcW w:w="3787" w:type="dxa"/>
            <w:vAlign w:val="center"/>
          </w:tcPr>
          <w:p w14:paraId="0E160EBA">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533D3E6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 19-2008</w:t>
            </w:r>
          </w:p>
        </w:tc>
      </w:tr>
    </w:tbl>
    <w:p w14:paraId="1B9E8DDA">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执行企业标准、团体标准、地方标准的产品，检验项目参照上述内容执行。</w:t>
      </w:r>
    </w:p>
    <w:p w14:paraId="1C51F506">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72F743F4">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 判定规则</w:t>
      </w:r>
    </w:p>
    <w:p w14:paraId="3B348580">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3.1依据标准</w:t>
      </w:r>
    </w:p>
    <w:p w14:paraId="70E785EF">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4706.1—2005 家用和类似用途电器的安全  第1部分：通用要求</w:t>
      </w:r>
    </w:p>
    <w:p w14:paraId="234B8CC1">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4706.19-2008 家用和类似用途电器的安全 液体加热器的特殊要求</w:t>
      </w:r>
    </w:p>
    <w:p w14:paraId="70497CC2">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现行有效的企业标准、团体标准、地方标准及产品明示质量要求</w:t>
      </w:r>
    </w:p>
    <w:p w14:paraId="73E0D849">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3.2判定原则</w:t>
      </w:r>
    </w:p>
    <w:p w14:paraId="329A0E84">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570FF19D">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若被检产品明示的质量要求高于本细则中检验项目依据的标准要求时，应按被检产品明示的质量要求判定。</w:t>
      </w:r>
    </w:p>
    <w:p w14:paraId="63F9E817">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若被检产品明示的质量要求低于本细则中检验项目依据的强制性标准要求时，应按照强制性标准要求判定。</w:t>
      </w:r>
    </w:p>
    <w:p w14:paraId="3F69101D">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若被检产品明示的质量要求低于或包含本细则中检验项目依据的推荐性标准要求时，应以被检产品明示的质量要求判定。</w:t>
      </w:r>
    </w:p>
    <w:p w14:paraId="53F02D22">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若被检产品明示的质量要求缺少本细则中检验项目依据的强制性标准要求时，应按照强制性标准要求判定。</w:t>
      </w:r>
    </w:p>
    <w:p w14:paraId="4ECF21BF">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若被检产品明示的质量要求缺少本细则中检验项目依据的推荐性标准要求时，该项目不参与判定。</w:t>
      </w:r>
    </w:p>
    <w:p w14:paraId="1CE0729D">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4 附则</w:t>
      </w:r>
    </w:p>
    <w:p w14:paraId="57D58CE4">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本细则代替《电压力锅产品质量监督抽查实施细则（2025年版）》。</w:t>
      </w:r>
    </w:p>
    <w:p w14:paraId="382076BF">
      <w:pPr>
        <w:widowControl/>
        <w:spacing w:line="360" w:lineRule="atLeast"/>
        <w:ind w:firstLine="482" w:firstLineChars="200"/>
        <w:jc w:val="left"/>
        <w:rPr>
          <w:rFonts w:hint="eastAsia" w:ascii="宋体" w:hAnsi="宋体" w:eastAsia="宋体" w:cs="宋体"/>
          <w:b/>
          <w:bCs/>
          <w:color w:val="000000"/>
          <w:kern w:val="0"/>
          <w:sz w:val="24"/>
        </w:rPr>
      </w:pPr>
    </w:p>
    <w:p w14:paraId="20C21D4E">
      <w:pPr>
        <w:widowControl/>
        <w:spacing w:line="360" w:lineRule="atLeast"/>
        <w:ind w:firstLine="482" w:firstLineChars="200"/>
        <w:jc w:val="left"/>
        <w:rPr>
          <w:rFonts w:hint="eastAsia" w:ascii="宋体" w:hAnsi="宋体" w:eastAsia="宋体" w:cs="宋体"/>
          <w:b/>
          <w:bCs/>
          <w:color w:val="000000"/>
          <w:kern w:val="0"/>
          <w:sz w:val="24"/>
        </w:rPr>
      </w:pPr>
    </w:p>
    <w:p w14:paraId="37B89969">
      <w:pPr>
        <w:widowControl/>
        <w:spacing w:line="360" w:lineRule="atLeast"/>
        <w:ind w:firstLine="482" w:firstLineChars="200"/>
        <w:jc w:val="left"/>
        <w:rPr>
          <w:rFonts w:hint="eastAsia" w:ascii="宋体" w:hAnsi="宋体" w:eastAsia="宋体" w:cs="宋体"/>
          <w:b/>
          <w:bCs/>
          <w:color w:val="000000"/>
          <w:kern w:val="0"/>
          <w:sz w:val="24"/>
        </w:rPr>
      </w:pPr>
    </w:p>
    <w:p w14:paraId="6D42A3E5">
      <w:pPr>
        <w:widowControl/>
        <w:spacing w:line="360" w:lineRule="atLeast"/>
        <w:ind w:firstLine="482" w:firstLineChars="200"/>
        <w:jc w:val="left"/>
        <w:rPr>
          <w:rFonts w:hint="eastAsia" w:ascii="宋体" w:hAnsi="宋体" w:eastAsia="宋体" w:cs="宋体"/>
          <w:b/>
          <w:bCs/>
          <w:color w:val="000000"/>
          <w:kern w:val="0"/>
          <w:sz w:val="24"/>
        </w:rPr>
      </w:pPr>
    </w:p>
    <w:p w14:paraId="6203D81A">
      <w:pPr>
        <w:widowControl/>
        <w:spacing w:line="360" w:lineRule="atLeast"/>
        <w:ind w:firstLine="482" w:firstLineChars="200"/>
        <w:jc w:val="left"/>
        <w:rPr>
          <w:rFonts w:hint="eastAsia" w:ascii="宋体" w:hAnsi="宋体" w:eastAsia="宋体" w:cs="宋体"/>
          <w:b/>
          <w:bCs/>
          <w:color w:val="000000"/>
          <w:kern w:val="0"/>
          <w:sz w:val="24"/>
        </w:rPr>
      </w:pPr>
    </w:p>
    <w:p w14:paraId="030B5CE2">
      <w:pPr>
        <w:widowControl/>
        <w:spacing w:line="360" w:lineRule="atLeast"/>
        <w:ind w:firstLine="482" w:firstLineChars="200"/>
        <w:jc w:val="left"/>
        <w:rPr>
          <w:rFonts w:hint="eastAsia" w:ascii="宋体" w:hAnsi="宋体" w:eastAsia="宋体" w:cs="宋体"/>
          <w:b/>
          <w:bCs/>
          <w:color w:val="000000"/>
          <w:kern w:val="0"/>
          <w:sz w:val="24"/>
        </w:rPr>
      </w:pPr>
    </w:p>
    <w:p w14:paraId="2042A2E3">
      <w:pPr>
        <w:widowControl/>
        <w:spacing w:line="360" w:lineRule="atLeast"/>
        <w:ind w:firstLine="482" w:firstLineChars="200"/>
        <w:jc w:val="left"/>
        <w:rPr>
          <w:rFonts w:hint="eastAsia" w:ascii="宋体" w:hAnsi="宋体" w:eastAsia="宋体" w:cs="宋体"/>
          <w:b/>
          <w:bCs/>
          <w:color w:val="000000"/>
          <w:kern w:val="0"/>
          <w:sz w:val="24"/>
        </w:rPr>
      </w:pPr>
    </w:p>
    <w:p w14:paraId="3BC1414C">
      <w:pPr>
        <w:widowControl/>
        <w:spacing w:line="360" w:lineRule="atLeast"/>
        <w:ind w:firstLine="482" w:firstLineChars="200"/>
        <w:jc w:val="left"/>
        <w:rPr>
          <w:rFonts w:hint="eastAsia" w:ascii="宋体" w:hAnsi="宋体" w:eastAsia="宋体" w:cs="宋体"/>
          <w:b/>
          <w:bCs/>
          <w:color w:val="000000"/>
          <w:kern w:val="0"/>
          <w:sz w:val="24"/>
        </w:rPr>
      </w:pPr>
    </w:p>
    <w:p w14:paraId="231D304F">
      <w:pPr>
        <w:widowControl/>
        <w:spacing w:line="360" w:lineRule="atLeast"/>
        <w:ind w:firstLine="482" w:firstLineChars="200"/>
        <w:jc w:val="left"/>
        <w:rPr>
          <w:rFonts w:hint="eastAsia" w:ascii="宋体" w:hAnsi="宋体" w:eastAsia="宋体" w:cs="宋体"/>
          <w:b/>
          <w:bCs/>
          <w:color w:val="000000"/>
          <w:kern w:val="0"/>
          <w:sz w:val="24"/>
        </w:rPr>
      </w:pPr>
    </w:p>
    <w:p w14:paraId="38B87240">
      <w:pPr>
        <w:widowControl/>
        <w:spacing w:line="360" w:lineRule="atLeast"/>
        <w:ind w:firstLine="482" w:firstLineChars="200"/>
        <w:jc w:val="left"/>
        <w:rPr>
          <w:rFonts w:hint="eastAsia" w:ascii="宋体" w:hAnsi="宋体" w:eastAsia="宋体" w:cs="宋体"/>
          <w:b/>
          <w:bCs/>
          <w:color w:val="000000"/>
          <w:kern w:val="0"/>
          <w:sz w:val="24"/>
        </w:rPr>
      </w:pPr>
    </w:p>
    <w:p w14:paraId="48C8A13B">
      <w:pPr>
        <w:widowControl/>
        <w:spacing w:line="360" w:lineRule="atLeast"/>
        <w:ind w:firstLine="482" w:firstLineChars="200"/>
        <w:jc w:val="left"/>
        <w:rPr>
          <w:rFonts w:hint="eastAsia" w:ascii="宋体" w:hAnsi="宋体" w:eastAsia="宋体" w:cs="宋体"/>
          <w:b/>
          <w:bCs/>
          <w:color w:val="000000"/>
          <w:kern w:val="0"/>
          <w:sz w:val="24"/>
        </w:rPr>
      </w:pPr>
    </w:p>
    <w:p w14:paraId="2A2924CA">
      <w:pPr>
        <w:widowControl/>
        <w:spacing w:line="360" w:lineRule="atLeast"/>
        <w:ind w:firstLine="482" w:firstLineChars="200"/>
        <w:jc w:val="left"/>
        <w:rPr>
          <w:rFonts w:hint="eastAsia" w:ascii="宋体" w:hAnsi="宋体" w:eastAsia="宋体" w:cs="宋体"/>
          <w:b/>
          <w:bCs/>
          <w:color w:val="000000"/>
          <w:kern w:val="0"/>
          <w:sz w:val="24"/>
        </w:rPr>
      </w:pPr>
    </w:p>
    <w:p w14:paraId="2ECAFCE1">
      <w:pPr>
        <w:widowControl/>
        <w:spacing w:line="360" w:lineRule="atLeast"/>
        <w:ind w:firstLine="482" w:firstLineChars="200"/>
        <w:jc w:val="left"/>
        <w:rPr>
          <w:rFonts w:hint="eastAsia" w:ascii="宋体" w:hAnsi="宋体" w:eastAsia="宋体" w:cs="宋体"/>
          <w:b/>
          <w:bCs/>
          <w:color w:val="000000"/>
          <w:kern w:val="0"/>
          <w:sz w:val="24"/>
        </w:rPr>
      </w:pPr>
    </w:p>
    <w:p w14:paraId="2FA228FC">
      <w:pPr>
        <w:widowControl/>
        <w:spacing w:line="360" w:lineRule="atLeast"/>
        <w:ind w:firstLine="482" w:firstLineChars="200"/>
        <w:jc w:val="left"/>
        <w:rPr>
          <w:rFonts w:hint="eastAsia" w:ascii="宋体" w:hAnsi="宋体" w:eastAsia="宋体" w:cs="宋体"/>
          <w:b/>
          <w:bCs/>
          <w:color w:val="000000"/>
          <w:kern w:val="0"/>
          <w:sz w:val="24"/>
        </w:rPr>
      </w:pPr>
    </w:p>
    <w:p w14:paraId="60FDE0EC">
      <w:pPr>
        <w:widowControl/>
        <w:spacing w:line="360" w:lineRule="atLeast"/>
        <w:ind w:firstLine="482" w:firstLineChars="200"/>
        <w:jc w:val="left"/>
        <w:rPr>
          <w:rFonts w:hint="eastAsia" w:ascii="宋体" w:hAnsi="宋体" w:eastAsia="宋体" w:cs="宋体"/>
          <w:b/>
          <w:bCs/>
          <w:color w:val="000000"/>
          <w:kern w:val="0"/>
          <w:sz w:val="24"/>
        </w:rPr>
      </w:pPr>
    </w:p>
    <w:p w14:paraId="02ECACFF">
      <w:pPr>
        <w:widowControl/>
        <w:spacing w:line="360" w:lineRule="atLeast"/>
        <w:ind w:firstLine="482" w:firstLineChars="200"/>
        <w:jc w:val="left"/>
        <w:rPr>
          <w:rFonts w:hint="eastAsia" w:ascii="宋体" w:hAnsi="宋体" w:eastAsia="宋体" w:cs="宋体"/>
          <w:b/>
          <w:bCs/>
          <w:color w:val="000000"/>
          <w:kern w:val="0"/>
          <w:sz w:val="24"/>
        </w:rPr>
      </w:pPr>
    </w:p>
    <w:p w14:paraId="51B02F56">
      <w:pPr>
        <w:widowControl/>
        <w:spacing w:line="360" w:lineRule="atLeast"/>
        <w:ind w:firstLine="482" w:firstLineChars="200"/>
        <w:jc w:val="left"/>
        <w:rPr>
          <w:rFonts w:hint="eastAsia" w:ascii="宋体" w:hAnsi="宋体" w:eastAsia="宋体" w:cs="宋体"/>
          <w:b/>
          <w:bCs/>
          <w:color w:val="000000"/>
          <w:kern w:val="0"/>
          <w:sz w:val="24"/>
        </w:rPr>
      </w:pPr>
    </w:p>
    <w:p w14:paraId="7EDB5E15">
      <w:pPr>
        <w:widowControl/>
        <w:spacing w:line="360" w:lineRule="atLeast"/>
        <w:ind w:firstLine="482" w:firstLineChars="200"/>
        <w:jc w:val="left"/>
        <w:rPr>
          <w:rFonts w:hint="eastAsia" w:ascii="宋体" w:hAnsi="宋体" w:eastAsia="宋体" w:cs="宋体"/>
          <w:b/>
          <w:bCs/>
          <w:color w:val="000000"/>
          <w:kern w:val="0"/>
          <w:sz w:val="24"/>
        </w:rPr>
      </w:pPr>
    </w:p>
    <w:p w14:paraId="15AB100A">
      <w:pPr>
        <w:widowControl/>
        <w:spacing w:line="360" w:lineRule="atLeast"/>
        <w:ind w:firstLine="482" w:firstLineChars="200"/>
        <w:jc w:val="left"/>
        <w:rPr>
          <w:rFonts w:hint="eastAsia" w:ascii="宋体" w:hAnsi="宋体" w:eastAsia="宋体" w:cs="宋体"/>
          <w:b/>
          <w:bCs/>
          <w:color w:val="000000"/>
          <w:kern w:val="0"/>
          <w:sz w:val="24"/>
        </w:rPr>
      </w:pPr>
    </w:p>
    <w:p w14:paraId="1C5DBA3D">
      <w:pPr>
        <w:widowControl/>
        <w:spacing w:line="360" w:lineRule="atLeast"/>
        <w:ind w:firstLine="482" w:firstLineChars="200"/>
        <w:jc w:val="left"/>
        <w:rPr>
          <w:rFonts w:hint="eastAsia" w:ascii="宋体" w:hAnsi="宋体" w:eastAsia="宋体" w:cs="宋体"/>
          <w:b/>
          <w:bCs/>
          <w:color w:val="000000"/>
          <w:kern w:val="0"/>
          <w:sz w:val="24"/>
        </w:rPr>
      </w:pPr>
    </w:p>
    <w:p w14:paraId="03AD733E">
      <w:pPr>
        <w:widowControl/>
        <w:spacing w:line="360" w:lineRule="atLeast"/>
        <w:ind w:firstLine="482" w:firstLineChars="200"/>
        <w:jc w:val="left"/>
        <w:rPr>
          <w:rFonts w:hint="eastAsia" w:ascii="宋体" w:hAnsi="宋体" w:eastAsia="宋体" w:cs="宋体"/>
          <w:b/>
          <w:bCs/>
          <w:color w:val="000000"/>
          <w:kern w:val="0"/>
          <w:sz w:val="24"/>
        </w:rPr>
      </w:pPr>
    </w:p>
    <w:p w14:paraId="76BA7B92">
      <w:pPr>
        <w:widowControl/>
        <w:spacing w:line="360" w:lineRule="atLeast"/>
        <w:ind w:firstLine="482" w:firstLineChars="200"/>
        <w:jc w:val="left"/>
        <w:rPr>
          <w:rFonts w:hint="eastAsia" w:ascii="宋体" w:hAnsi="宋体" w:eastAsia="宋体" w:cs="宋体"/>
          <w:b/>
          <w:bCs/>
          <w:color w:val="000000"/>
          <w:kern w:val="0"/>
          <w:sz w:val="24"/>
        </w:rPr>
      </w:pPr>
    </w:p>
    <w:p w14:paraId="55F62F8F">
      <w:pPr>
        <w:widowControl/>
        <w:spacing w:line="360" w:lineRule="atLeast"/>
        <w:ind w:firstLine="482" w:firstLineChars="200"/>
        <w:jc w:val="left"/>
        <w:rPr>
          <w:rFonts w:hint="eastAsia" w:ascii="宋体" w:hAnsi="宋体" w:eastAsia="宋体" w:cs="宋体"/>
          <w:b/>
          <w:bCs/>
          <w:color w:val="000000"/>
          <w:kern w:val="0"/>
          <w:sz w:val="24"/>
        </w:rPr>
      </w:pPr>
    </w:p>
    <w:p w14:paraId="5F0F0707">
      <w:pPr>
        <w:widowControl/>
        <w:spacing w:line="360" w:lineRule="atLeast"/>
        <w:ind w:firstLine="482" w:firstLineChars="200"/>
        <w:jc w:val="left"/>
        <w:rPr>
          <w:rFonts w:hint="eastAsia" w:ascii="宋体" w:hAnsi="宋体" w:eastAsia="宋体" w:cs="宋体"/>
          <w:b/>
          <w:bCs/>
          <w:color w:val="000000"/>
          <w:kern w:val="0"/>
          <w:sz w:val="24"/>
        </w:rPr>
      </w:pPr>
    </w:p>
    <w:p w14:paraId="77D1A471">
      <w:pPr>
        <w:widowControl/>
        <w:spacing w:line="360" w:lineRule="atLeast"/>
        <w:ind w:firstLine="482" w:firstLineChars="200"/>
        <w:jc w:val="left"/>
        <w:rPr>
          <w:rFonts w:hint="eastAsia" w:ascii="宋体" w:hAnsi="宋体" w:eastAsia="宋体" w:cs="宋体"/>
          <w:b/>
          <w:bCs/>
          <w:color w:val="000000"/>
          <w:kern w:val="0"/>
          <w:sz w:val="24"/>
        </w:rPr>
      </w:pPr>
    </w:p>
    <w:p w14:paraId="7DC60406">
      <w:pPr>
        <w:widowControl/>
        <w:spacing w:line="360" w:lineRule="atLeast"/>
        <w:ind w:firstLine="482" w:firstLineChars="200"/>
        <w:jc w:val="left"/>
        <w:rPr>
          <w:rFonts w:hint="eastAsia" w:ascii="宋体" w:hAnsi="宋体" w:eastAsia="宋体" w:cs="宋体"/>
          <w:b/>
          <w:bCs/>
          <w:color w:val="000000"/>
          <w:kern w:val="0"/>
          <w:sz w:val="24"/>
        </w:rPr>
      </w:pPr>
    </w:p>
    <w:p w14:paraId="1F8C090A">
      <w:pPr>
        <w:widowControl/>
        <w:spacing w:line="360" w:lineRule="atLeast"/>
        <w:ind w:firstLine="482" w:firstLineChars="200"/>
        <w:jc w:val="left"/>
        <w:rPr>
          <w:rFonts w:hint="eastAsia" w:ascii="宋体" w:hAnsi="宋体" w:eastAsia="宋体" w:cs="宋体"/>
          <w:b/>
          <w:bCs/>
          <w:color w:val="000000"/>
          <w:kern w:val="0"/>
          <w:sz w:val="24"/>
        </w:rPr>
      </w:pPr>
    </w:p>
    <w:p w14:paraId="67B43F00">
      <w:pPr>
        <w:widowControl/>
        <w:spacing w:line="360" w:lineRule="atLeast"/>
        <w:ind w:firstLine="482" w:firstLineChars="200"/>
        <w:jc w:val="left"/>
        <w:rPr>
          <w:rFonts w:hint="eastAsia" w:ascii="宋体" w:hAnsi="宋体" w:eastAsia="宋体" w:cs="宋体"/>
          <w:b/>
          <w:bCs/>
          <w:color w:val="000000"/>
          <w:kern w:val="0"/>
          <w:sz w:val="24"/>
        </w:rPr>
      </w:pPr>
    </w:p>
    <w:p w14:paraId="67DB14D9">
      <w:pPr>
        <w:widowControl/>
        <w:spacing w:line="360" w:lineRule="atLeast"/>
        <w:ind w:firstLine="482" w:firstLineChars="200"/>
        <w:jc w:val="left"/>
        <w:rPr>
          <w:rFonts w:hint="eastAsia" w:ascii="宋体" w:hAnsi="宋体" w:eastAsia="宋体" w:cs="宋体"/>
          <w:b/>
          <w:bCs/>
          <w:color w:val="000000"/>
          <w:kern w:val="0"/>
          <w:sz w:val="24"/>
        </w:rPr>
      </w:pPr>
    </w:p>
    <w:p w14:paraId="1DE9A890">
      <w:pPr>
        <w:widowControl/>
        <w:spacing w:line="360" w:lineRule="atLeast"/>
        <w:ind w:firstLine="482" w:firstLineChars="200"/>
        <w:jc w:val="left"/>
        <w:rPr>
          <w:rFonts w:hint="eastAsia" w:ascii="宋体" w:hAnsi="宋体" w:eastAsia="宋体" w:cs="宋体"/>
          <w:b/>
          <w:bCs/>
          <w:color w:val="000000"/>
          <w:kern w:val="0"/>
          <w:sz w:val="24"/>
        </w:rPr>
      </w:pPr>
    </w:p>
    <w:p w14:paraId="3C261C51">
      <w:pPr>
        <w:widowControl/>
        <w:spacing w:line="360" w:lineRule="atLeast"/>
        <w:ind w:firstLine="482" w:firstLineChars="200"/>
        <w:jc w:val="left"/>
        <w:rPr>
          <w:rFonts w:hint="eastAsia" w:ascii="宋体" w:hAnsi="宋体" w:eastAsia="宋体" w:cs="宋体"/>
          <w:b/>
          <w:bCs/>
          <w:color w:val="000000"/>
          <w:kern w:val="0"/>
          <w:sz w:val="24"/>
        </w:rPr>
      </w:pPr>
    </w:p>
    <w:p w14:paraId="04FCD0A2">
      <w:pPr>
        <w:widowControl/>
        <w:spacing w:line="360" w:lineRule="atLeast"/>
        <w:ind w:firstLine="482" w:firstLineChars="200"/>
        <w:jc w:val="left"/>
        <w:rPr>
          <w:rFonts w:hint="eastAsia" w:ascii="宋体" w:hAnsi="宋体" w:eastAsia="宋体" w:cs="宋体"/>
          <w:b/>
          <w:bCs/>
          <w:color w:val="000000"/>
          <w:kern w:val="0"/>
          <w:sz w:val="24"/>
        </w:rPr>
      </w:pPr>
    </w:p>
    <w:p w14:paraId="7D7319E4">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r>
        <w:rPr>
          <w:rFonts w:hint="eastAsia" w:ascii="宋体" w:hAnsi="宋体" w:eastAsia="宋体" w:cs="宋体"/>
          <w:b/>
          <w:bCs/>
          <w:color w:val="000000"/>
          <w:kern w:val="0"/>
          <w:sz w:val="24"/>
        </w:rPr>
        <w:t>电烤箱及烘烤产品质量监督抽查实施细则（2026年版）</w:t>
      </w:r>
    </w:p>
    <w:p w14:paraId="3A7C3D99">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1 抽样方法</w:t>
      </w:r>
    </w:p>
    <w:p w14:paraId="0B08FEF3">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以随机抽样的方式在被抽样生产者、销售者的待销产品中抽取。随机数一般可使用随机数表等方法产生。每批次产品抽取样品3台，其中2台为检验样品，1台为备用样品。</w:t>
      </w:r>
    </w:p>
    <w:p w14:paraId="22BD85C6">
      <w:pPr>
        <w:widowControl/>
        <w:spacing w:line="360" w:lineRule="atLeast"/>
        <w:ind w:firstLine="482" w:firstLineChars="200"/>
        <w:jc w:val="left"/>
        <w:rPr>
          <w:rFonts w:eastAsia="黑体"/>
          <w:color w:val="000000"/>
          <w:szCs w:val="21"/>
        </w:rPr>
      </w:pPr>
      <w:r>
        <w:rPr>
          <w:rFonts w:hint="eastAsia" w:ascii="宋体" w:hAnsi="宋体" w:eastAsia="宋体" w:cs="宋体"/>
          <w:b/>
          <w:bCs/>
          <w:color w:val="000000"/>
          <w:kern w:val="0"/>
          <w:sz w:val="24"/>
        </w:rPr>
        <w:t>2 检验依据</w:t>
      </w:r>
    </w:p>
    <w:tbl>
      <w:tblPr>
        <w:tblStyle w:val="5"/>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4364"/>
        <w:gridCol w:w="3787"/>
      </w:tblGrid>
      <w:tr w14:paraId="4572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blHeader/>
          <w:jc w:val="center"/>
        </w:trPr>
        <w:tc>
          <w:tcPr>
            <w:tcW w:w="883" w:type="dxa"/>
            <w:vAlign w:val="center"/>
          </w:tcPr>
          <w:p w14:paraId="79FCD18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4364" w:type="dxa"/>
            <w:vAlign w:val="center"/>
          </w:tcPr>
          <w:p w14:paraId="02D2ED42">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检验项目</w:t>
            </w:r>
          </w:p>
        </w:tc>
        <w:tc>
          <w:tcPr>
            <w:tcW w:w="3787" w:type="dxa"/>
            <w:vAlign w:val="center"/>
          </w:tcPr>
          <w:p w14:paraId="4791B05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检验方法</w:t>
            </w:r>
          </w:p>
        </w:tc>
      </w:tr>
      <w:tr w14:paraId="64E9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49157B8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4364" w:type="dxa"/>
            <w:vAlign w:val="center"/>
          </w:tcPr>
          <w:p w14:paraId="7D59CDCB">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标志</w:t>
            </w:r>
            <w:r>
              <w:rPr>
                <w:rFonts w:hint="eastAsia" w:ascii="宋体" w:hAnsi="宋体" w:eastAsia="宋体" w:cs="宋体"/>
                <w:color w:val="000000"/>
                <w:kern w:val="0"/>
                <w:sz w:val="24"/>
              </w:rPr>
              <w:t>说明</w:t>
            </w:r>
          </w:p>
        </w:tc>
        <w:tc>
          <w:tcPr>
            <w:tcW w:w="3787" w:type="dxa"/>
            <w:vAlign w:val="center"/>
          </w:tcPr>
          <w:p w14:paraId="6D2AFCE4">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6A0254E5">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4706.14-2008</w:t>
            </w:r>
          </w:p>
          <w:p w14:paraId="793F93BD">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4706.22-2008</w:t>
            </w:r>
          </w:p>
        </w:tc>
      </w:tr>
      <w:tr w14:paraId="23A2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4CB84F5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4364" w:type="dxa"/>
            <w:vAlign w:val="center"/>
          </w:tcPr>
          <w:p w14:paraId="38312B0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对触及带电部件的防护</w:t>
            </w:r>
          </w:p>
        </w:tc>
        <w:tc>
          <w:tcPr>
            <w:tcW w:w="3787" w:type="dxa"/>
            <w:vAlign w:val="center"/>
          </w:tcPr>
          <w:p w14:paraId="317CCD78">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GB 4706.1-2005 </w:t>
            </w:r>
          </w:p>
          <w:p w14:paraId="60A2B3D5">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4706.14-2008</w:t>
            </w:r>
          </w:p>
          <w:p w14:paraId="2F9BA5F0">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4706.22-2008</w:t>
            </w:r>
          </w:p>
        </w:tc>
      </w:tr>
      <w:tr w14:paraId="01956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BCD0E7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4364" w:type="dxa"/>
            <w:vAlign w:val="center"/>
          </w:tcPr>
          <w:p w14:paraId="1EC199CD">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工作温度下的泄漏电流和电气强度</w:t>
            </w:r>
          </w:p>
        </w:tc>
        <w:tc>
          <w:tcPr>
            <w:tcW w:w="3787" w:type="dxa"/>
            <w:vAlign w:val="center"/>
          </w:tcPr>
          <w:p w14:paraId="4BDBE2FB">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20A1158A">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4706.14-2008</w:t>
            </w:r>
          </w:p>
          <w:p w14:paraId="641875F4">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4706.22-2008</w:t>
            </w:r>
          </w:p>
        </w:tc>
      </w:tr>
      <w:tr w14:paraId="57946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77A3919B">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4364" w:type="dxa"/>
            <w:vAlign w:val="center"/>
          </w:tcPr>
          <w:p w14:paraId="11AF19E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机械强度</w:t>
            </w:r>
          </w:p>
        </w:tc>
        <w:tc>
          <w:tcPr>
            <w:tcW w:w="3787" w:type="dxa"/>
            <w:vAlign w:val="center"/>
          </w:tcPr>
          <w:p w14:paraId="7B8D4503">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C789191">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4706.14-2008</w:t>
            </w:r>
          </w:p>
          <w:p w14:paraId="50447F1E">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4706.22-2008</w:t>
            </w:r>
          </w:p>
        </w:tc>
      </w:tr>
      <w:tr w14:paraId="0C06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F0EBB5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364" w:type="dxa"/>
            <w:vAlign w:val="center"/>
          </w:tcPr>
          <w:p w14:paraId="075EFA0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稳定性和机械危险</w:t>
            </w:r>
          </w:p>
        </w:tc>
        <w:tc>
          <w:tcPr>
            <w:tcW w:w="3787" w:type="dxa"/>
            <w:vAlign w:val="center"/>
          </w:tcPr>
          <w:p w14:paraId="337CD692">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077F8E4D">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4706.14-2008</w:t>
            </w:r>
          </w:p>
          <w:p w14:paraId="7439A899">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4706.22-2008</w:t>
            </w:r>
          </w:p>
        </w:tc>
      </w:tr>
      <w:tr w14:paraId="1C05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DCCDB8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364" w:type="dxa"/>
            <w:vAlign w:val="center"/>
          </w:tcPr>
          <w:p w14:paraId="5221725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接地措施</w:t>
            </w:r>
          </w:p>
        </w:tc>
        <w:tc>
          <w:tcPr>
            <w:tcW w:w="3787" w:type="dxa"/>
            <w:vAlign w:val="center"/>
          </w:tcPr>
          <w:p w14:paraId="715A13C4">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3C842D3E">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4706.14-2008</w:t>
            </w:r>
          </w:p>
          <w:p w14:paraId="3FD1DEBA">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4706.22-2008</w:t>
            </w:r>
          </w:p>
        </w:tc>
      </w:tr>
      <w:tr w14:paraId="42B0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5EEBBA4D">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4364" w:type="dxa"/>
            <w:vAlign w:val="center"/>
          </w:tcPr>
          <w:p w14:paraId="1120AFD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电气间隙、爬电距离和固体绝缘</w:t>
            </w:r>
          </w:p>
        </w:tc>
        <w:tc>
          <w:tcPr>
            <w:tcW w:w="3787" w:type="dxa"/>
            <w:vAlign w:val="center"/>
          </w:tcPr>
          <w:p w14:paraId="676ED623">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5AEE168B">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4706.14-2008</w:t>
            </w:r>
          </w:p>
          <w:p w14:paraId="52BE8034">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4706.22-2008</w:t>
            </w:r>
          </w:p>
        </w:tc>
      </w:tr>
    </w:tbl>
    <w:p w14:paraId="28F4F675">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执行企业标准、团体标准、地方标准的产品，检验项目参照上述内容执行。</w:t>
      </w:r>
    </w:p>
    <w:p w14:paraId="76C55DF1">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2447C32D">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 判定规则</w:t>
      </w:r>
    </w:p>
    <w:p w14:paraId="16C71894">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3.1依据标准</w:t>
      </w:r>
    </w:p>
    <w:p w14:paraId="31F2741F">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4706.1—2005 家用和类似用途电器的安全  第1部分：通用要求</w:t>
      </w:r>
    </w:p>
    <w:p w14:paraId="155FE5B1">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4706.14-2008 家用和类似用途电器的安全 烤架、面包片烘烤器及类似用途便携式烹饪器具的特殊要求</w:t>
      </w:r>
    </w:p>
    <w:p w14:paraId="6BCFA6F3">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4706.22-2008 家用和类似用途电器的安全 驻立式电灶、灶台、烤箱及类似用途器具的特殊要求</w:t>
      </w:r>
    </w:p>
    <w:p w14:paraId="5FAE2B0E">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现行有效的企业标准、团体标准、地方标准及产品明示质量要求</w:t>
      </w:r>
    </w:p>
    <w:p w14:paraId="1870C97D">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3.2判定原则</w:t>
      </w:r>
    </w:p>
    <w:p w14:paraId="6CF218AB">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26E6D9A1">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若被检产品明示的质量要求高于本细则中检验项目依据的标准要求时，应按被检产品明示的质量要求判定。</w:t>
      </w:r>
    </w:p>
    <w:p w14:paraId="360BEEAC">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若被检产品明示的质量要求低于本细则中检验项目依据的强制性标准要求时，应按照强制性标准要求判定。</w:t>
      </w:r>
    </w:p>
    <w:p w14:paraId="17E04986">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若被检产品明示的质量要求低于或包含本细则中检验项目依据的推荐性标准要求时，应以被检产品明示的质量要求判定。</w:t>
      </w:r>
    </w:p>
    <w:p w14:paraId="1D3777BC">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若被检产品明示的质量要求缺少本细则中检验项目依据的强制性标准要求时，应按照强制性标准要求判定。</w:t>
      </w:r>
    </w:p>
    <w:p w14:paraId="2864686A">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若被检产品明示的质量要求缺少本细则中检验项目依据的推荐性标准要求时，该项目不参与判定。</w:t>
      </w:r>
    </w:p>
    <w:p w14:paraId="09B74E30">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4 附则</w:t>
      </w:r>
    </w:p>
    <w:p w14:paraId="6CC4C9D3">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本细则代替《电烤箱及烘烤器具产品质量监督抽查实施细则（2025年版）》。</w:t>
      </w:r>
    </w:p>
    <w:p w14:paraId="47E876DA">
      <w:pPr>
        <w:widowControl/>
        <w:spacing w:line="360" w:lineRule="atLeast"/>
        <w:ind w:firstLine="482" w:firstLineChars="200"/>
        <w:jc w:val="left"/>
        <w:rPr>
          <w:rFonts w:hint="eastAsia" w:ascii="宋体" w:hAnsi="宋体" w:eastAsia="宋体" w:cs="宋体"/>
          <w:b/>
          <w:bCs/>
          <w:color w:val="000000"/>
          <w:kern w:val="0"/>
          <w:sz w:val="24"/>
        </w:rPr>
      </w:pPr>
    </w:p>
    <w:p w14:paraId="3E589EF7">
      <w:pPr>
        <w:widowControl/>
        <w:spacing w:line="360" w:lineRule="atLeast"/>
        <w:ind w:firstLine="482" w:firstLineChars="200"/>
        <w:jc w:val="left"/>
        <w:rPr>
          <w:rFonts w:hint="eastAsia" w:ascii="宋体" w:hAnsi="宋体" w:eastAsia="宋体" w:cs="宋体"/>
          <w:b/>
          <w:bCs/>
          <w:color w:val="000000"/>
          <w:kern w:val="0"/>
          <w:sz w:val="24"/>
        </w:rPr>
      </w:pPr>
    </w:p>
    <w:p w14:paraId="604A83CE">
      <w:pPr>
        <w:widowControl/>
        <w:spacing w:line="360" w:lineRule="atLeast"/>
        <w:ind w:firstLine="482" w:firstLineChars="200"/>
        <w:jc w:val="left"/>
        <w:rPr>
          <w:rFonts w:hint="eastAsia" w:ascii="宋体" w:hAnsi="宋体" w:eastAsia="宋体" w:cs="宋体"/>
          <w:b/>
          <w:bCs/>
          <w:color w:val="000000"/>
          <w:kern w:val="0"/>
          <w:sz w:val="24"/>
        </w:rPr>
      </w:pPr>
    </w:p>
    <w:p w14:paraId="34446E57">
      <w:pPr>
        <w:widowControl/>
        <w:spacing w:line="360" w:lineRule="atLeast"/>
        <w:ind w:firstLine="482" w:firstLineChars="200"/>
        <w:jc w:val="left"/>
        <w:rPr>
          <w:rFonts w:hint="eastAsia" w:ascii="宋体" w:hAnsi="宋体" w:eastAsia="宋体" w:cs="宋体"/>
          <w:b/>
          <w:bCs/>
          <w:color w:val="000000"/>
          <w:kern w:val="0"/>
          <w:sz w:val="24"/>
        </w:rPr>
      </w:pPr>
    </w:p>
    <w:p w14:paraId="0D57FE6C">
      <w:pPr>
        <w:widowControl/>
        <w:spacing w:line="360" w:lineRule="atLeast"/>
        <w:ind w:firstLine="482" w:firstLineChars="200"/>
        <w:jc w:val="left"/>
        <w:rPr>
          <w:rFonts w:hint="eastAsia" w:ascii="宋体" w:hAnsi="宋体" w:eastAsia="宋体" w:cs="宋体"/>
          <w:b/>
          <w:bCs/>
          <w:color w:val="000000"/>
          <w:kern w:val="0"/>
          <w:sz w:val="24"/>
        </w:rPr>
      </w:pPr>
    </w:p>
    <w:p w14:paraId="758829CB">
      <w:pPr>
        <w:widowControl/>
        <w:spacing w:line="360" w:lineRule="atLeast"/>
        <w:ind w:firstLine="482" w:firstLineChars="200"/>
        <w:jc w:val="left"/>
        <w:rPr>
          <w:rFonts w:hint="eastAsia" w:ascii="宋体" w:hAnsi="宋体" w:eastAsia="宋体" w:cs="宋体"/>
          <w:b/>
          <w:bCs/>
          <w:color w:val="000000"/>
          <w:kern w:val="0"/>
          <w:sz w:val="24"/>
        </w:rPr>
      </w:pPr>
    </w:p>
    <w:p w14:paraId="52959683">
      <w:pPr>
        <w:widowControl/>
        <w:spacing w:line="360" w:lineRule="atLeast"/>
        <w:ind w:firstLine="482" w:firstLineChars="200"/>
        <w:jc w:val="left"/>
        <w:rPr>
          <w:rFonts w:hint="eastAsia" w:ascii="宋体" w:hAnsi="宋体" w:eastAsia="宋体" w:cs="宋体"/>
          <w:b/>
          <w:bCs/>
          <w:color w:val="000000"/>
          <w:kern w:val="0"/>
          <w:sz w:val="24"/>
        </w:rPr>
      </w:pPr>
    </w:p>
    <w:p w14:paraId="6C7B8AC0">
      <w:pPr>
        <w:widowControl/>
        <w:spacing w:line="360" w:lineRule="atLeast"/>
        <w:ind w:firstLine="482" w:firstLineChars="200"/>
        <w:jc w:val="left"/>
        <w:rPr>
          <w:rFonts w:hint="eastAsia" w:ascii="宋体" w:hAnsi="宋体" w:eastAsia="宋体" w:cs="宋体"/>
          <w:b/>
          <w:bCs/>
          <w:color w:val="000000"/>
          <w:kern w:val="0"/>
          <w:sz w:val="24"/>
        </w:rPr>
      </w:pPr>
    </w:p>
    <w:p w14:paraId="7C2ED1E9">
      <w:pPr>
        <w:widowControl/>
        <w:spacing w:line="360" w:lineRule="atLeast"/>
        <w:ind w:firstLine="482" w:firstLineChars="200"/>
        <w:jc w:val="left"/>
        <w:rPr>
          <w:rFonts w:hint="eastAsia" w:ascii="宋体" w:hAnsi="宋体" w:eastAsia="宋体" w:cs="宋体"/>
          <w:b/>
          <w:bCs/>
          <w:color w:val="000000"/>
          <w:kern w:val="0"/>
          <w:sz w:val="24"/>
        </w:rPr>
      </w:pPr>
    </w:p>
    <w:p w14:paraId="764BD883">
      <w:pPr>
        <w:widowControl/>
        <w:spacing w:line="360" w:lineRule="atLeast"/>
        <w:ind w:firstLine="482" w:firstLineChars="200"/>
        <w:jc w:val="left"/>
        <w:rPr>
          <w:rFonts w:hint="eastAsia" w:ascii="宋体" w:hAnsi="宋体" w:eastAsia="宋体" w:cs="宋体"/>
          <w:b/>
          <w:bCs/>
          <w:color w:val="000000"/>
          <w:kern w:val="0"/>
          <w:sz w:val="24"/>
        </w:rPr>
      </w:pPr>
    </w:p>
    <w:p w14:paraId="1002C517">
      <w:pPr>
        <w:widowControl/>
        <w:spacing w:line="360" w:lineRule="atLeast"/>
        <w:ind w:firstLine="482" w:firstLineChars="200"/>
        <w:jc w:val="left"/>
        <w:rPr>
          <w:rFonts w:hint="eastAsia" w:ascii="宋体" w:hAnsi="宋体" w:eastAsia="宋体" w:cs="宋体"/>
          <w:b/>
          <w:bCs/>
          <w:color w:val="000000"/>
          <w:kern w:val="0"/>
          <w:sz w:val="24"/>
        </w:rPr>
      </w:pPr>
    </w:p>
    <w:p w14:paraId="45D07CEB">
      <w:pPr>
        <w:widowControl/>
        <w:spacing w:line="360" w:lineRule="atLeast"/>
        <w:ind w:firstLine="482" w:firstLineChars="200"/>
        <w:jc w:val="left"/>
        <w:rPr>
          <w:rFonts w:hint="eastAsia" w:ascii="宋体" w:hAnsi="宋体" w:eastAsia="宋体" w:cs="宋体"/>
          <w:b/>
          <w:bCs/>
          <w:color w:val="000000"/>
          <w:kern w:val="0"/>
          <w:sz w:val="24"/>
        </w:rPr>
      </w:pPr>
    </w:p>
    <w:p w14:paraId="0A468B67">
      <w:pPr>
        <w:widowControl/>
        <w:spacing w:line="360" w:lineRule="atLeast"/>
        <w:ind w:firstLine="482" w:firstLineChars="200"/>
        <w:jc w:val="left"/>
        <w:rPr>
          <w:rFonts w:hint="eastAsia" w:ascii="宋体" w:hAnsi="宋体" w:eastAsia="宋体" w:cs="宋体"/>
          <w:b/>
          <w:bCs/>
          <w:color w:val="000000"/>
          <w:kern w:val="0"/>
          <w:sz w:val="24"/>
        </w:rPr>
      </w:pPr>
    </w:p>
    <w:p w14:paraId="2A9714A0">
      <w:pPr>
        <w:widowControl/>
        <w:spacing w:line="360" w:lineRule="atLeast"/>
        <w:ind w:firstLine="482" w:firstLineChars="200"/>
        <w:jc w:val="left"/>
        <w:rPr>
          <w:rFonts w:hint="eastAsia" w:ascii="宋体" w:hAnsi="宋体" w:eastAsia="宋体" w:cs="宋体"/>
          <w:b/>
          <w:bCs/>
          <w:color w:val="000000"/>
          <w:kern w:val="0"/>
          <w:sz w:val="24"/>
        </w:rPr>
      </w:pPr>
    </w:p>
    <w:p w14:paraId="2D6FB01C">
      <w:pPr>
        <w:widowControl/>
        <w:spacing w:line="360" w:lineRule="atLeast"/>
        <w:ind w:firstLine="482" w:firstLineChars="200"/>
        <w:jc w:val="left"/>
        <w:rPr>
          <w:rFonts w:hint="eastAsia" w:ascii="宋体" w:hAnsi="宋体" w:eastAsia="宋体" w:cs="宋体"/>
          <w:b/>
          <w:bCs/>
          <w:color w:val="000000"/>
          <w:kern w:val="0"/>
          <w:sz w:val="24"/>
        </w:rPr>
      </w:pPr>
    </w:p>
    <w:p w14:paraId="61C6DFC6">
      <w:pPr>
        <w:widowControl/>
        <w:spacing w:line="360" w:lineRule="atLeast"/>
        <w:ind w:firstLine="482" w:firstLineChars="200"/>
        <w:jc w:val="left"/>
        <w:rPr>
          <w:rFonts w:hint="eastAsia" w:ascii="宋体" w:hAnsi="宋体" w:eastAsia="宋体" w:cs="宋体"/>
          <w:b/>
          <w:bCs/>
          <w:color w:val="000000"/>
          <w:kern w:val="0"/>
          <w:sz w:val="24"/>
        </w:rPr>
      </w:pPr>
    </w:p>
    <w:p w14:paraId="50E39804">
      <w:pPr>
        <w:widowControl/>
        <w:spacing w:line="360" w:lineRule="atLeast"/>
        <w:ind w:firstLine="482" w:firstLineChars="200"/>
        <w:jc w:val="left"/>
        <w:rPr>
          <w:rFonts w:hint="eastAsia" w:ascii="宋体" w:hAnsi="宋体" w:eastAsia="宋体" w:cs="宋体"/>
          <w:b/>
          <w:bCs/>
          <w:color w:val="000000"/>
          <w:kern w:val="0"/>
          <w:sz w:val="24"/>
        </w:rPr>
      </w:pPr>
    </w:p>
    <w:p w14:paraId="74D08D1D">
      <w:pPr>
        <w:widowControl/>
        <w:spacing w:line="360" w:lineRule="atLeast"/>
        <w:ind w:firstLine="482" w:firstLineChars="200"/>
        <w:jc w:val="left"/>
        <w:rPr>
          <w:rFonts w:hint="eastAsia" w:ascii="宋体" w:hAnsi="宋体" w:eastAsia="宋体" w:cs="宋体"/>
          <w:b/>
          <w:bCs/>
          <w:color w:val="000000"/>
          <w:kern w:val="0"/>
          <w:sz w:val="24"/>
        </w:rPr>
      </w:pPr>
    </w:p>
    <w:p w14:paraId="0332279A">
      <w:pPr>
        <w:widowControl/>
        <w:spacing w:line="360" w:lineRule="atLeast"/>
        <w:ind w:firstLine="482" w:firstLineChars="200"/>
        <w:jc w:val="left"/>
        <w:rPr>
          <w:rFonts w:hint="eastAsia" w:ascii="宋体" w:hAnsi="宋体" w:eastAsia="宋体" w:cs="宋体"/>
          <w:b/>
          <w:bCs/>
          <w:color w:val="000000"/>
          <w:kern w:val="0"/>
          <w:sz w:val="24"/>
        </w:rPr>
      </w:pPr>
    </w:p>
    <w:p w14:paraId="6C07B61F">
      <w:pPr>
        <w:widowControl/>
        <w:spacing w:line="360" w:lineRule="atLeast"/>
        <w:ind w:firstLine="482" w:firstLineChars="200"/>
        <w:jc w:val="left"/>
        <w:rPr>
          <w:rFonts w:hint="eastAsia" w:ascii="宋体" w:hAnsi="宋体" w:eastAsia="宋体" w:cs="宋体"/>
          <w:b/>
          <w:bCs/>
          <w:color w:val="000000"/>
          <w:kern w:val="0"/>
          <w:sz w:val="24"/>
        </w:rPr>
      </w:pPr>
    </w:p>
    <w:p w14:paraId="62109488">
      <w:pPr>
        <w:widowControl/>
        <w:spacing w:line="360" w:lineRule="atLeast"/>
        <w:ind w:firstLine="482" w:firstLineChars="200"/>
        <w:jc w:val="left"/>
        <w:rPr>
          <w:rFonts w:hint="eastAsia" w:ascii="宋体" w:hAnsi="宋体" w:eastAsia="宋体" w:cs="宋体"/>
          <w:b/>
          <w:bCs/>
          <w:color w:val="000000"/>
          <w:kern w:val="0"/>
          <w:sz w:val="24"/>
        </w:rPr>
      </w:pPr>
    </w:p>
    <w:p w14:paraId="6076EC87">
      <w:pPr>
        <w:widowControl/>
        <w:spacing w:line="360" w:lineRule="atLeast"/>
        <w:ind w:firstLine="482" w:firstLineChars="200"/>
        <w:jc w:val="left"/>
        <w:rPr>
          <w:rFonts w:hint="eastAsia" w:ascii="宋体" w:hAnsi="宋体" w:eastAsia="宋体" w:cs="宋体"/>
          <w:b/>
          <w:bCs/>
          <w:color w:val="000000"/>
          <w:kern w:val="0"/>
          <w:sz w:val="24"/>
        </w:rPr>
      </w:pPr>
    </w:p>
    <w:p w14:paraId="2E5C9850">
      <w:pPr>
        <w:widowControl/>
        <w:spacing w:line="360" w:lineRule="atLeast"/>
        <w:ind w:firstLine="482" w:firstLineChars="200"/>
        <w:jc w:val="left"/>
        <w:rPr>
          <w:rFonts w:hint="eastAsia" w:ascii="宋体" w:hAnsi="宋体" w:eastAsia="宋体" w:cs="宋体"/>
          <w:b/>
          <w:bCs/>
          <w:color w:val="000000"/>
          <w:kern w:val="0"/>
          <w:sz w:val="24"/>
        </w:rPr>
      </w:pPr>
    </w:p>
    <w:p w14:paraId="02BFC0B5">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r>
        <w:rPr>
          <w:rFonts w:hint="eastAsia" w:ascii="宋体" w:hAnsi="宋体" w:eastAsia="宋体" w:cs="宋体"/>
          <w:b/>
          <w:bCs/>
          <w:color w:val="000000"/>
          <w:kern w:val="0"/>
          <w:sz w:val="24"/>
        </w:rPr>
        <w:t>吸尘器（含扫地机器人）产品质量监督抽查实施细则（2026年版）</w:t>
      </w:r>
    </w:p>
    <w:p w14:paraId="4823EE79">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1 抽样方法</w:t>
      </w:r>
    </w:p>
    <w:p w14:paraId="18855F55">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以随机抽样的方式在被抽样生产者、销售者的待销产品中抽取。随机数一般可使用随机数表等方法产生。每批次产品抽取样品3台，其中2台为检验样品，1台为备用样品。</w:t>
      </w:r>
    </w:p>
    <w:p w14:paraId="1248B98B">
      <w:pPr>
        <w:widowControl/>
        <w:spacing w:line="360" w:lineRule="atLeast"/>
        <w:ind w:firstLine="482" w:firstLineChars="200"/>
        <w:jc w:val="left"/>
        <w:rPr>
          <w:rFonts w:eastAsia="黑体"/>
          <w:color w:val="000000"/>
          <w:szCs w:val="21"/>
        </w:rPr>
      </w:pPr>
      <w:r>
        <w:rPr>
          <w:rFonts w:hint="eastAsia" w:ascii="宋体" w:hAnsi="宋体" w:eastAsia="宋体" w:cs="宋体"/>
          <w:b/>
          <w:bCs/>
          <w:color w:val="000000"/>
          <w:kern w:val="0"/>
          <w:sz w:val="24"/>
        </w:rPr>
        <w:t>2 检验依据</w:t>
      </w:r>
    </w:p>
    <w:tbl>
      <w:tblPr>
        <w:tblStyle w:val="5"/>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4364"/>
        <w:gridCol w:w="3787"/>
      </w:tblGrid>
      <w:tr w14:paraId="5DCE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blHeader/>
          <w:jc w:val="center"/>
        </w:trPr>
        <w:tc>
          <w:tcPr>
            <w:tcW w:w="883" w:type="dxa"/>
            <w:vAlign w:val="center"/>
          </w:tcPr>
          <w:p w14:paraId="17E4F6F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4364" w:type="dxa"/>
            <w:vAlign w:val="center"/>
          </w:tcPr>
          <w:p w14:paraId="641555A2">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检验项目</w:t>
            </w:r>
          </w:p>
        </w:tc>
        <w:tc>
          <w:tcPr>
            <w:tcW w:w="3787" w:type="dxa"/>
            <w:vAlign w:val="center"/>
          </w:tcPr>
          <w:p w14:paraId="40DF735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检验方法</w:t>
            </w:r>
          </w:p>
        </w:tc>
      </w:tr>
      <w:tr w14:paraId="0BCC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D92BDC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4364" w:type="dxa"/>
            <w:vAlign w:val="center"/>
          </w:tcPr>
          <w:p w14:paraId="0615F4FA">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标志</w:t>
            </w:r>
            <w:r>
              <w:rPr>
                <w:rFonts w:hint="eastAsia" w:ascii="宋体" w:hAnsi="宋体" w:eastAsia="宋体" w:cs="宋体"/>
                <w:color w:val="000000"/>
                <w:kern w:val="0"/>
                <w:sz w:val="24"/>
              </w:rPr>
              <w:t>说明</w:t>
            </w:r>
          </w:p>
        </w:tc>
        <w:tc>
          <w:tcPr>
            <w:tcW w:w="3787" w:type="dxa"/>
            <w:vAlign w:val="center"/>
          </w:tcPr>
          <w:p w14:paraId="48ABBC2F">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44475EA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4706.7-2014</w:t>
            </w:r>
          </w:p>
        </w:tc>
      </w:tr>
      <w:tr w14:paraId="318F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277452D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4364" w:type="dxa"/>
            <w:vAlign w:val="center"/>
          </w:tcPr>
          <w:p w14:paraId="4894899B">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对触及带电部件的防护</w:t>
            </w:r>
          </w:p>
        </w:tc>
        <w:tc>
          <w:tcPr>
            <w:tcW w:w="3787" w:type="dxa"/>
            <w:vAlign w:val="center"/>
          </w:tcPr>
          <w:p w14:paraId="3BF5DC05">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GB 4706.1-2005 </w:t>
            </w:r>
          </w:p>
          <w:p w14:paraId="3A05C9A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4706.7-2014</w:t>
            </w:r>
          </w:p>
        </w:tc>
      </w:tr>
      <w:tr w14:paraId="3F5C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35730DA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4364" w:type="dxa"/>
            <w:vAlign w:val="center"/>
          </w:tcPr>
          <w:p w14:paraId="4C0102E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工作温度下的泄漏电流和电气强度</w:t>
            </w:r>
          </w:p>
        </w:tc>
        <w:tc>
          <w:tcPr>
            <w:tcW w:w="3787" w:type="dxa"/>
            <w:vAlign w:val="center"/>
          </w:tcPr>
          <w:p w14:paraId="576CC730">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7A048DA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4706.7-2014</w:t>
            </w:r>
          </w:p>
        </w:tc>
      </w:tr>
      <w:tr w14:paraId="32E8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357C358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4364" w:type="dxa"/>
            <w:vAlign w:val="center"/>
          </w:tcPr>
          <w:p w14:paraId="756B107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机械强度</w:t>
            </w:r>
          </w:p>
        </w:tc>
        <w:tc>
          <w:tcPr>
            <w:tcW w:w="3787" w:type="dxa"/>
            <w:vAlign w:val="center"/>
          </w:tcPr>
          <w:p w14:paraId="0C606907">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EAC129B">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4706.7-2014</w:t>
            </w:r>
          </w:p>
        </w:tc>
      </w:tr>
      <w:tr w14:paraId="2AB2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2146DC6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364" w:type="dxa"/>
            <w:vAlign w:val="center"/>
          </w:tcPr>
          <w:p w14:paraId="403F25D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稳定性和机械危险</w:t>
            </w:r>
          </w:p>
        </w:tc>
        <w:tc>
          <w:tcPr>
            <w:tcW w:w="3787" w:type="dxa"/>
            <w:vAlign w:val="center"/>
          </w:tcPr>
          <w:p w14:paraId="0507201F">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2765D77B">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4706.7-2014</w:t>
            </w:r>
          </w:p>
        </w:tc>
      </w:tr>
      <w:tr w14:paraId="46EE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550CD9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364" w:type="dxa"/>
            <w:vAlign w:val="center"/>
          </w:tcPr>
          <w:p w14:paraId="3A3FF78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接地措施</w:t>
            </w:r>
          </w:p>
        </w:tc>
        <w:tc>
          <w:tcPr>
            <w:tcW w:w="3787" w:type="dxa"/>
            <w:vAlign w:val="center"/>
          </w:tcPr>
          <w:p w14:paraId="20060426">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4E488A7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4706.7-2014</w:t>
            </w:r>
          </w:p>
        </w:tc>
      </w:tr>
      <w:tr w14:paraId="4413B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7F7D220">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4364" w:type="dxa"/>
            <w:vAlign w:val="center"/>
          </w:tcPr>
          <w:p w14:paraId="72767FA2">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电气间隙、爬电距离和固体绝缘</w:t>
            </w:r>
          </w:p>
        </w:tc>
        <w:tc>
          <w:tcPr>
            <w:tcW w:w="3787" w:type="dxa"/>
            <w:vAlign w:val="center"/>
          </w:tcPr>
          <w:p w14:paraId="346012D7">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68C47B0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4706.7-2014</w:t>
            </w:r>
          </w:p>
        </w:tc>
      </w:tr>
    </w:tbl>
    <w:p w14:paraId="45D5A02A">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执行企业标准、团体标准、地方标准的产品，检验项目参照上述内容执行。</w:t>
      </w:r>
    </w:p>
    <w:p w14:paraId="76B5E312">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206282A1">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 判定规则</w:t>
      </w:r>
    </w:p>
    <w:p w14:paraId="6ADB6E7F">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3.1依据标准</w:t>
      </w:r>
    </w:p>
    <w:p w14:paraId="51E6B7BD">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4706.1—2005 家用和类似用途电器的安全  第1部分：通用要求</w:t>
      </w:r>
    </w:p>
    <w:p w14:paraId="5DDD2757">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4706.7-2014 家用和类似用途电器的安全 第2部分：真空吸尘器和吸水式清洁器具的特殊要求</w:t>
      </w:r>
    </w:p>
    <w:p w14:paraId="22C2E4AC">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现行有效的企业标准、团体标准、地方标准及产品明示质量要求</w:t>
      </w:r>
    </w:p>
    <w:p w14:paraId="04F2A4FE">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3.2判定原则</w:t>
      </w:r>
    </w:p>
    <w:p w14:paraId="641F9EE7">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68F8C8B6">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若被检产品明示的质量要求高于本细则中检验项目依据的标准要求时，应按被检产品明示的质量要求判定。</w:t>
      </w:r>
    </w:p>
    <w:p w14:paraId="004381E8">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若被检产品明示的质量要求低于本细则中检验项目依据的强制性标准要求时，应按照强制性标准要求判定。</w:t>
      </w:r>
    </w:p>
    <w:p w14:paraId="05A7F33E">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若被检产品明示的质量要求低于或包含本细则中检验项目依据的推荐性标准要求时，应以被检产品明示的质量要求判定。</w:t>
      </w:r>
    </w:p>
    <w:p w14:paraId="6689F117">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若被检产品明示的质量要求缺少本细则中检验项目依据的强制性标准要求时，应按照强制性标准要求判定。</w:t>
      </w:r>
    </w:p>
    <w:p w14:paraId="49062AE9">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若被检产品明示的质量要求缺少本细则中检验项目依据的推荐性标准要求时，该项目不参与判定。</w:t>
      </w:r>
    </w:p>
    <w:p w14:paraId="4A3EFCCE">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4 附则</w:t>
      </w:r>
    </w:p>
    <w:p w14:paraId="2743B54E">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本细则代替《吸尘器（含扫地机器人）产品质量监督抽查实施细则（2025年版）》。</w:t>
      </w:r>
    </w:p>
    <w:p w14:paraId="6F0F1AFE">
      <w:pPr>
        <w:widowControl/>
        <w:spacing w:line="360" w:lineRule="atLeast"/>
        <w:ind w:firstLine="482" w:firstLineChars="200"/>
        <w:jc w:val="left"/>
        <w:rPr>
          <w:rFonts w:hint="eastAsia" w:ascii="宋体" w:hAnsi="宋体" w:eastAsia="宋体" w:cs="宋体"/>
          <w:b/>
          <w:bCs/>
          <w:color w:val="000000"/>
          <w:kern w:val="0"/>
          <w:sz w:val="24"/>
        </w:rPr>
      </w:pPr>
    </w:p>
    <w:p w14:paraId="0752BC46">
      <w:pPr>
        <w:widowControl/>
        <w:spacing w:line="360" w:lineRule="atLeast"/>
        <w:ind w:firstLine="482" w:firstLineChars="200"/>
        <w:jc w:val="left"/>
        <w:rPr>
          <w:rFonts w:hint="eastAsia" w:ascii="宋体" w:hAnsi="宋体" w:eastAsia="宋体" w:cs="宋体"/>
          <w:b/>
          <w:bCs/>
          <w:color w:val="000000"/>
          <w:kern w:val="0"/>
          <w:sz w:val="24"/>
        </w:rPr>
      </w:pPr>
    </w:p>
    <w:p w14:paraId="50C660AD">
      <w:pPr>
        <w:widowControl/>
        <w:spacing w:line="360" w:lineRule="atLeast"/>
        <w:ind w:firstLine="482" w:firstLineChars="200"/>
        <w:jc w:val="left"/>
        <w:rPr>
          <w:rFonts w:hint="eastAsia" w:ascii="宋体" w:hAnsi="宋体" w:eastAsia="宋体" w:cs="宋体"/>
          <w:b/>
          <w:bCs/>
          <w:color w:val="000000"/>
          <w:kern w:val="0"/>
          <w:sz w:val="24"/>
        </w:rPr>
      </w:pPr>
    </w:p>
    <w:p w14:paraId="22665F4C">
      <w:pPr>
        <w:widowControl/>
        <w:spacing w:line="360" w:lineRule="atLeast"/>
        <w:ind w:firstLine="482" w:firstLineChars="200"/>
        <w:jc w:val="left"/>
        <w:rPr>
          <w:rFonts w:hint="eastAsia" w:ascii="宋体" w:hAnsi="宋体" w:eastAsia="宋体" w:cs="宋体"/>
          <w:b/>
          <w:bCs/>
          <w:color w:val="000000"/>
          <w:kern w:val="0"/>
          <w:sz w:val="24"/>
        </w:rPr>
      </w:pPr>
    </w:p>
    <w:p w14:paraId="0B2B63FD">
      <w:pPr>
        <w:widowControl/>
        <w:spacing w:line="360" w:lineRule="atLeast"/>
        <w:ind w:firstLine="482" w:firstLineChars="200"/>
        <w:jc w:val="left"/>
        <w:rPr>
          <w:rFonts w:hint="eastAsia" w:ascii="宋体" w:hAnsi="宋体" w:eastAsia="宋体" w:cs="宋体"/>
          <w:b/>
          <w:bCs/>
          <w:color w:val="000000"/>
          <w:kern w:val="0"/>
          <w:sz w:val="24"/>
        </w:rPr>
      </w:pPr>
    </w:p>
    <w:p w14:paraId="7299CE43">
      <w:pPr>
        <w:widowControl/>
        <w:spacing w:line="360" w:lineRule="atLeast"/>
        <w:ind w:firstLine="482" w:firstLineChars="200"/>
        <w:jc w:val="left"/>
        <w:rPr>
          <w:rFonts w:hint="eastAsia" w:ascii="宋体" w:hAnsi="宋体" w:eastAsia="宋体" w:cs="宋体"/>
          <w:b/>
          <w:bCs/>
          <w:color w:val="000000"/>
          <w:kern w:val="0"/>
          <w:sz w:val="24"/>
        </w:rPr>
      </w:pPr>
    </w:p>
    <w:p w14:paraId="0A9FD1EB">
      <w:pPr>
        <w:widowControl/>
        <w:spacing w:line="360" w:lineRule="atLeast"/>
        <w:ind w:firstLine="482" w:firstLineChars="200"/>
        <w:jc w:val="left"/>
        <w:rPr>
          <w:rFonts w:hint="eastAsia" w:ascii="宋体" w:hAnsi="宋体" w:eastAsia="宋体" w:cs="宋体"/>
          <w:b/>
          <w:bCs/>
          <w:color w:val="000000"/>
          <w:kern w:val="0"/>
          <w:sz w:val="24"/>
        </w:rPr>
      </w:pPr>
    </w:p>
    <w:p w14:paraId="5B050909">
      <w:pPr>
        <w:widowControl/>
        <w:spacing w:line="360" w:lineRule="atLeast"/>
        <w:ind w:firstLine="482" w:firstLineChars="200"/>
        <w:jc w:val="left"/>
        <w:rPr>
          <w:rFonts w:hint="eastAsia" w:ascii="宋体" w:hAnsi="宋体" w:eastAsia="宋体" w:cs="宋体"/>
          <w:b/>
          <w:bCs/>
          <w:color w:val="000000"/>
          <w:kern w:val="0"/>
          <w:sz w:val="24"/>
        </w:rPr>
      </w:pPr>
    </w:p>
    <w:p w14:paraId="3880AD87">
      <w:pPr>
        <w:widowControl/>
        <w:spacing w:line="360" w:lineRule="atLeast"/>
        <w:ind w:firstLine="482" w:firstLineChars="200"/>
        <w:jc w:val="left"/>
        <w:rPr>
          <w:rFonts w:hint="eastAsia" w:ascii="宋体" w:hAnsi="宋体" w:eastAsia="宋体" w:cs="宋体"/>
          <w:b/>
          <w:bCs/>
          <w:color w:val="000000"/>
          <w:kern w:val="0"/>
          <w:sz w:val="24"/>
        </w:rPr>
      </w:pPr>
    </w:p>
    <w:p w14:paraId="2ACC5600">
      <w:pPr>
        <w:widowControl/>
        <w:spacing w:line="360" w:lineRule="atLeast"/>
        <w:ind w:firstLine="482" w:firstLineChars="200"/>
        <w:jc w:val="left"/>
        <w:rPr>
          <w:rFonts w:hint="eastAsia" w:ascii="宋体" w:hAnsi="宋体" w:eastAsia="宋体" w:cs="宋体"/>
          <w:b/>
          <w:bCs/>
          <w:color w:val="000000"/>
          <w:kern w:val="0"/>
          <w:sz w:val="24"/>
        </w:rPr>
      </w:pPr>
    </w:p>
    <w:p w14:paraId="49A16B96">
      <w:pPr>
        <w:widowControl/>
        <w:spacing w:line="360" w:lineRule="atLeast"/>
        <w:ind w:firstLine="482" w:firstLineChars="200"/>
        <w:jc w:val="left"/>
        <w:rPr>
          <w:rFonts w:hint="eastAsia" w:ascii="宋体" w:hAnsi="宋体" w:eastAsia="宋体" w:cs="宋体"/>
          <w:b/>
          <w:bCs/>
          <w:color w:val="000000"/>
          <w:kern w:val="0"/>
          <w:sz w:val="24"/>
        </w:rPr>
      </w:pPr>
    </w:p>
    <w:p w14:paraId="4464EDE4">
      <w:pPr>
        <w:widowControl/>
        <w:spacing w:line="360" w:lineRule="atLeast"/>
        <w:ind w:firstLine="482" w:firstLineChars="200"/>
        <w:jc w:val="left"/>
        <w:rPr>
          <w:rFonts w:hint="eastAsia" w:ascii="宋体" w:hAnsi="宋体" w:eastAsia="宋体" w:cs="宋体"/>
          <w:b/>
          <w:bCs/>
          <w:color w:val="000000"/>
          <w:kern w:val="0"/>
          <w:sz w:val="24"/>
        </w:rPr>
      </w:pPr>
    </w:p>
    <w:p w14:paraId="0C36CD64">
      <w:pPr>
        <w:widowControl/>
        <w:spacing w:line="360" w:lineRule="atLeast"/>
        <w:ind w:firstLine="482" w:firstLineChars="200"/>
        <w:jc w:val="left"/>
        <w:rPr>
          <w:rFonts w:hint="eastAsia" w:ascii="宋体" w:hAnsi="宋体" w:eastAsia="宋体" w:cs="宋体"/>
          <w:b/>
          <w:bCs/>
          <w:color w:val="000000"/>
          <w:kern w:val="0"/>
          <w:sz w:val="24"/>
        </w:rPr>
      </w:pPr>
    </w:p>
    <w:p w14:paraId="079BA61E">
      <w:pPr>
        <w:widowControl/>
        <w:spacing w:line="360" w:lineRule="atLeast"/>
        <w:ind w:firstLine="482" w:firstLineChars="200"/>
        <w:jc w:val="left"/>
        <w:rPr>
          <w:rFonts w:hint="eastAsia" w:ascii="宋体" w:hAnsi="宋体" w:eastAsia="宋体" w:cs="宋体"/>
          <w:b/>
          <w:bCs/>
          <w:color w:val="000000"/>
          <w:kern w:val="0"/>
          <w:sz w:val="24"/>
        </w:rPr>
      </w:pPr>
    </w:p>
    <w:p w14:paraId="40C1B631">
      <w:pPr>
        <w:widowControl/>
        <w:spacing w:line="360" w:lineRule="atLeast"/>
        <w:ind w:firstLine="482" w:firstLineChars="200"/>
        <w:jc w:val="left"/>
        <w:rPr>
          <w:rFonts w:hint="eastAsia" w:ascii="宋体" w:hAnsi="宋体" w:eastAsia="宋体" w:cs="宋体"/>
          <w:b/>
          <w:bCs/>
          <w:color w:val="000000"/>
          <w:kern w:val="0"/>
          <w:sz w:val="24"/>
        </w:rPr>
      </w:pPr>
    </w:p>
    <w:p w14:paraId="6C4AD751">
      <w:pPr>
        <w:widowControl/>
        <w:spacing w:line="360" w:lineRule="atLeast"/>
        <w:ind w:firstLine="482" w:firstLineChars="200"/>
        <w:jc w:val="left"/>
        <w:rPr>
          <w:rFonts w:hint="eastAsia" w:ascii="宋体" w:hAnsi="宋体" w:eastAsia="宋体" w:cs="宋体"/>
          <w:b/>
          <w:bCs/>
          <w:color w:val="000000"/>
          <w:kern w:val="0"/>
          <w:sz w:val="24"/>
        </w:rPr>
      </w:pPr>
    </w:p>
    <w:p w14:paraId="1A0D7AF2">
      <w:pPr>
        <w:widowControl/>
        <w:spacing w:line="360" w:lineRule="atLeast"/>
        <w:ind w:firstLine="482" w:firstLineChars="200"/>
        <w:jc w:val="left"/>
        <w:rPr>
          <w:rFonts w:hint="eastAsia" w:ascii="宋体" w:hAnsi="宋体" w:eastAsia="宋体" w:cs="宋体"/>
          <w:b/>
          <w:bCs/>
          <w:color w:val="000000"/>
          <w:kern w:val="0"/>
          <w:sz w:val="24"/>
        </w:rPr>
      </w:pPr>
    </w:p>
    <w:p w14:paraId="6A719F03">
      <w:pPr>
        <w:widowControl/>
        <w:spacing w:line="360" w:lineRule="atLeast"/>
        <w:ind w:firstLine="482" w:firstLineChars="200"/>
        <w:jc w:val="left"/>
        <w:rPr>
          <w:rFonts w:hint="eastAsia" w:ascii="宋体" w:hAnsi="宋体" w:eastAsia="宋体" w:cs="宋体"/>
          <w:b/>
          <w:bCs/>
          <w:color w:val="000000"/>
          <w:kern w:val="0"/>
          <w:sz w:val="24"/>
        </w:rPr>
      </w:pPr>
    </w:p>
    <w:p w14:paraId="16E22F06">
      <w:pPr>
        <w:widowControl/>
        <w:spacing w:line="360" w:lineRule="atLeast"/>
        <w:ind w:firstLine="482" w:firstLineChars="200"/>
        <w:jc w:val="left"/>
        <w:rPr>
          <w:rFonts w:hint="eastAsia" w:ascii="宋体" w:hAnsi="宋体" w:eastAsia="宋体" w:cs="宋体"/>
          <w:b/>
          <w:bCs/>
          <w:color w:val="000000"/>
          <w:kern w:val="0"/>
          <w:sz w:val="24"/>
        </w:rPr>
      </w:pPr>
    </w:p>
    <w:p w14:paraId="4E6B8508">
      <w:pPr>
        <w:widowControl/>
        <w:spacing w:line="360" w:lineRule="atLeast"/>
        <w:ind w:firstLine="482" w:firstLineChars="200"/>
        <w:jc w:val="left"/>
        <w:rPr>
          <w:rFonts w:hint="eastAsia" w:ascii="宋体" w:hAnsi="宋体" w:eastAsia="宋体" w:cs="宋体"/>
          <w:b/>
          <w:bCs/>
          <w:color w:val="000000"/>
          <w:kern w:val="0"/>
          <w:sz w:val="24"/>
        </w:rPr>
      </w:pPr>
    </w:p>
    <w:p w14:paraId="557F3852">
      <w:pPr>
        <w:widowControl/>
        <w:spacing w:line="360" w:lineRule="atLeast"/>
        <w:ind w:firstLine="482" w:firstLineChars="200"/>
        <w:jc w:val="left"/>
        <w:rPr>
          <w:rFonts w:hint="eastAsia" w:ascii="宋体" w:hAnsi="宋体" w:eastAsia="宋体" w:cs="宋体"/>
          <w:b/>
          <w:bCs/>
          <w:color w:val="000000"/>
          <w:kern w:val="0"/>
          <w:sz w:val="24"/>
        </w:rPr>
      </w:pPr>
    </w:p>
    <w:p w14:paraId="1CD5D80F">
      <w:pPr>
        <w:widowControl/>
        <w:spacing w:line="360" w:lineRule="atLeast"/>
        <w:ind w:firstLine="482" w:firstLineChars="200"/>
        <w:jc w:val="left"/>
        <w:rPr>
          <w:rFonts w:hint="eastAsia" w:ascii="宋体" w:hAnsi="宋体" w:eastAsia="宋体" w:cs="宋体"/>
          <w:b/>
          <w:bCs/>
          <w:color w:val="000000"/>
          <w:kern w:val="0"/>
          <w:sz w:val="24"/>
        </w:rPr>
      </w:pPr>
    </w:p>
    <w:p w14:paraId="5849010E">
      <w:pPr>
        <w:widowControl/>
        <w:spacing w:line="360" w:lineRule="atLeast"/>
        <w:ind w:firstLine="482" w:firstLineChars="200"/>
        <w:jc w:val="left"/>
        <w:rPr>
          <w:rFonts w:hint="eastAsia" w:ascii="宋体" w:hAnsi="宋体" w:eastAsia="宋体" w:cs="宋体"/>
          <w:b/>
          <w:bCs/>
          <w:color w:val="000000"/>
          <w:kern w:val="0"/>
          <w:sz w:val="24"/>
        </w:rPr>
      </w:pPr>
    </w:p>
    <w:p w14:paraId="0A601203">
      <w:pPr>
        <w:widowControl/>
        <w:spacing w:line="360" w:lineRule="atLeast"/>
        <w:ind w:firstLine="482" w:firstLineChars="200"/>
        <w:jc w:val="left"/>
        <w:rPr>
          <w:rFonts w:hint="eastAsia" w:ascii="宋体" w:hAnsi="宋体" w:eastAsia="宋体" w:cs="宋体"/>
          <w:b/>
          <w:bCs/>
          <w:color w:val="000000"/>
          <w:kern w:val="0"/>
          <w:sz w:val="24"/>
        </w:rPr>
      </w:pPr>
    </w:p>
    <w:p w14:paraId="0B2CBC63">
      <w:pPr>
        <w:widowControl/>
        <w:spacing w:line="360" w:lineRule="atLeast"/>
        <w:ind w:firstLine="482" w:firstLineChars="200"/>
        <w:jc w:val="left"/>
        <w:rPr>
          <w:rFonts w:hint="eastAsia" w:ascii="宋体" w:hAnsi="宋体" w:eastAsia="宋体" w:cs="宋体"/>
          <w:b/>
          <w:bCs/>
          <w:color w:val="000000"/>
          <w:kern w:val="0"/>
          <w:sz w:val="24"/>
        </w:rPr>
      </w:pPr>
    </w:p>
    <w:p w14:paraId="46CFE738">
      <w:pPr>
        <w:widowControl/>
        <w:spacing w:line="360" w:lineRule="atLeast"/>
        <w:ind w:firstLine="482" w:firstLineChars="200"/>
        <w:jc w:val="left"/>
        <w:rPr>
          <w:rFonts w:hint="eastAsia" w:ascii="宋体" w:hAnsi="宋体" w:eastAsia="宋体" w:cs="宋体"/>
          <w:b/>
          <w:bCs/>
          <w:color w:val="000000"/>
          <w:kern w:val="0"/>
          <w:sz w:val="24"/>
        </w:rPr>
      </w:pPr>
    </w:p>
    <w:p w14:paraId="5A5981E7">
      <w:pPr>
        <w:widowControl/>
        <w:spacing w:line="360" w:lineRule="atLeast"/>
        <w:ind w:firstLine="482" w:firstLineChars="200"/>
        <w:jc w:val="left"/>
        <w:rPr>
          <w:rFonts w:hint="eastAsia" w:ascii="宋体" w:hAnsi="宋体" w:eastAsia="宋体" w:cs="宋体"/>
          <w:b/>
          <w:bCs/>
          <w:color w:val="000000"/>
          <w:kern w:val="0"/>
          <w:sz w:val="24"/>
        </w:rPr>
      </w:pPr>
    </w:p>
    <w:p w14:paraId="17F7D1AE">
      <w:pPr>
        <w:widowControl/>
        <w:spacing w:line="360" w:lineRule="atLeast"/>
        <w:ind w:firstLine="482" w:firstLineChars="200"/>
        <w:jc w:val="left"/>
        <w:rPr>
          <w:rFonts w:hint="eastAsia" w:ascii="宋体" w:hAnsi="宋体" w:eastAsia="宋体" w:cs="宋体"/>
          <w:b/>
          <w:bCs/>
          <w:color w:val="000000"/>
          <w:kern w:val="0"/>
          <w:sz w:val="24"/>
        </w:rPr>
      </w:pPr>
    </w:p>
    <w:p w14:paraId="14132101">
      <w:pPr>
        <w:widowControl/>
        <w:spacing w:line="360" w:lineRule="atLeast"/>
        <w:ind w:firstLine="482" w:firstLineChars="200"/>
        <w:jc w:val="left"/>
        <w:rPr>
          <w:rFonts w:hint="eastAsia" w:ascii="宋体" w:hAnsi="宋体" w:eastAsia="宋体" w:cs="宋体"/>
          <w:b/>
          <w:bCs/>
          <w:color w:val="000000"/>
          <w:kern w:val="0"/>
          <w:sz w:val="24"/>
        </w:rPr>
      </w:pPr>
    </w:p>
    <w:p w14:paraId="4BC13ED2">
      <w:pPr>
        <w:widowControl/>
        <w:spacing w:line="360" w:lineRule="atLeast"/>
        <w:ind w:firstLine="482" w:firstLineChars="200"/>
        <w:jc w:val="left"/>
        <w:rPr>
          <w:rFonts w:hint="eastAsia" w:ascii="宋体" w:hAnsi="宋体" w:eastAsia="宋体" w:cs="宋体"/>
          <w:b/>
          <w:bCs/>
          <w:color w:val="000000"/>
          <w:kern w:val="0"/>
          <w:sz w:val="24"/>
        </w:rPr>
      </w:pPr>
    </w:p>
    <w:p w14:paraId="164208B7">
      <w:pPr>
        <w:widowControl/>
        <w:spacing w:line="360" w:lineRule="atLeast"/>
        <w:ind w:firstLine="482" w:firstLineChars="200"/>
        <w:jc w:val="left"/>
        <w:rPr>
          <w:rFonts w:hint="eastAsia" w:ascii="宋体" w:hAnsi="宋体" w:eastAsia="宋体" w:cs="宋体"/>
          <w:b/>
          <w:bCs/>
          <w:color w:val="000000"/>
          <w:kern w:val="0"/>
          <w:sz w:val="24"/>
        </w:rPr>
      </w:pPr>
    </w:p>
    <w:p w14:paraId="7F882DEC">
      <w:pPr>
        <w:widowControl/>
        <w:spacing w:line="360" w:lineRule="atLeast"/>
        <w:ind w:firstLine="482" w:firstLineChars="200"/>
        <w:jc w:val="left"/>
        <w:rPr>
          <w:rFonts w:hint="eastAsia" w:ascii="宋体" w:hAnsi="宋体" w:eastAsia="宋体" w:cs="宋体"/>
          <w:b/>
          <w:bCs/>
          <w:color w:val="000000"/>
          <w:kern w:val="0"/>
          <w:sz w:val="24"/>
        </w:rPr>
      </w:pPr>
    </w:p>
    <w:p w14:paraId="0247B446">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r>
        <w:rPr>
          <w:rFonts w:hint="eastAsia" w:ascii="宋体" w:hAnsi="宋体" w:eastAsia="宋体" w:cs="宋体"/>
          <w:b/>
          <w:bCs/>
          <w:color w:val="000000"/>
          <w:kern w:val="0"/>
          <w:sz w:val="24"/>
        </w:rPr>
        <w:t>电热保温板及类似器具</w:t>
      </w:r>
      <w:r>
        <w:rPr>
          <w:rFonts w:hint="eastAsia" w:ascii="宋体" w:hAnsi="宋体" w:eastAsia="宋体" w:cs="宋体"/>
          <w:b/>
          <w:bCs/>
          <w:color w:val="000000"/>
          <w:kern w:val="0"/>
          <w:sz w:val="24"/>
        </w:rPr>
        <w:t>产品质量监督抽查实施细则（2026年版）</w:t>
      </w:r>
    </w:p>
    <w:p w14:paraId="07118CE8">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1 抽样方法</w:t>
      </w:r>
    </w:p>
    <w:p w14:paraId="767FFE03">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以随机抽样的方式在被抽样生产者、销售者的待销产品中抽取。随机数一般可使用随机数表等方法产生。每批次产品抽取样品3台，其中2台为检验样品，1台为备用样品。</w:t>
      </w:r>
    </w:p>
    <w:p w14:paraId="08F1C2F0">
      <w:pPr>
        <w:widowControl/>
        <w:spacing w:line="360" w:lineRule="atLeast"/>
        <w:ind w:firstLine="482" w:firstLineChars="200"/>
        <w:jc w:val="left"/>
        <w:rPr>
          <w:rFonts w:eastAsia="黑体"/>
          <w:color w:val="000000"/>
          <w:szCs w:val="21"/>
        </w:rPr>
      </w:pPr>
      <w:r>
        <w:rPr>
          <w:rFonts w:hint="eastAsia" w:ascii="宋体" w:hAnsi="宋体" w:eastAsia="宋体" w:cs="宋体"/>
          <w:b/>
          <w:bCs/>
          <w:color w:val="000000"/>
          <w:kern w:val="0"/>
          <w:sz w:val="24"/>
        </w:rPr>
        <w:t>2 检验依据</w:t>
      </w:r>
    </w:p>
    <w:tbl>
      <w:tblPr>
        <w:tblStyle w:val="5"/>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4364"/>
        <w:gridCol w:w="3787"/>
      </w:tblGrid>
      <w:tr w14:paraId="136F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blHeader/>
          <w:jc w:val="center"/>
        </w:trPr>
        <w:tc>
          <w:tcPr>
            <w:tcW w:w="883" w:type="dxa"/>
            <w:vAlign w:val="center"/>
          </w:tcPr>
          <w:p w14:paraId="22B3B2F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4364" w:type="dxa"/>
            <w:vAlign w:val="center"/>
          </w:tcPr>
          <w:p w14:paraId="5C1CE1D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检验项目</w:t>
            </w:r>
          </w:p>
        </w:tc>
        <w:tc>
          <w:tcPr>
            <w:tcW w:w="3787" w:type="dxa"/>
            <w:vAlign w:val="center"/>
          </w:tcPr>
          <w:p w14:paraId="5758C8D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检验方法</w:t>
            </w:r>
          </w:p>
        </w:tc>
      </w:tr>
      <w:tr w14:paraId="0C66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230117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4364" w:type="dxa"/>
            <w:vAlign w:val="center"/>
          </w:tcPr>
          <w:p w14:paraId="341E9F79">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标志</w:t>
            </w:r>
            <w:r>
              <w:rPr>
                <w:rFonts w:hint="eastAsia" w:ascii="宋体" w:hAnsi="宋体" w:eastAsia="宋体" w:cs="宋体"/>
                <w:color w:val="000000"/>
                <w:kern w:val="0"/>
                <w:sz w:val="24"/>
              </w:rPr>
              <w:t>说明</w:t>
            </w:r>
          </w:p>
        </w:tc>
        <w:tc>
          <w:tcPr>
            <w:tcW w:w="3787" w:type="dxa"/>
            <w:vAlign w:val="center"/>
          </w:tcPr>
          <w:p w14:paraId="7A943AF0">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4E17DF5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4706.55-2008</w:t>
            </w:r>
          </w:p>
        </w:tc>
      </w:tr>
      <w:tr w14:paraId="3EA8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95FE94B">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4364" w:type="dxa"/>
            <w:vAlign w:val="center"/>
          </w:tcPr>
          <w:p w14:paraId="52411CD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对触及带电部件的防护</w:t>
            </w:r>
          </w:p>
        </w:tc>
        <w:tc>
          <w:tcPr>
            <w:tcW w:w="3787" w:type="dxa"/>
            <w:vAlign w:val="center"/>
          </w:tcPr>
          <w:p w14:paraId="0993BCE0">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GB 4706.1-2005 </w:t>
            </w:r>
          </w:p>
          <w:p w14:paraId="4A78725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4706.55-2008</w:t>
            </w:r>
          </w:p>
        </w:tc>
      </w:tr>
      <w:tr w14:paraId="478A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8E46CF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4364" w:type="dxa"/>
            <w:vAlign w:val="center"/>
          </w:tcPr>
          <w:p w14:paraId="3D6F172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工作温度下的泄漏电流和电气强度</w:t>
            </w:r>
          </w:p>
        </w:tc>
        <w:tc>
          <w:tcPr>
            <w:tcW w:w="3787" w:type="dxa"/>
            <w:vAlign w:val="center"/>
          </w:tcPr>
          <w:p w14:paraId="2DD514DB">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6A01D910">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4706.55-2008</w:t>
            </w:r>
          </w:p>
        </w:tc>
      </w:tr>
      <w:tr w14:paraId="38E7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65474EB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4364" w:type="dxa"/>
            <w:vAlign w:val="center"/>
          </w:tcPr>
          <w:p w14:paraId="5839707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机械强度</w:t>
            </w:r>
          </w:p>
        </w:tc>
        <w:tc>
          <w:tcPr>
            <w:tcW w:w="3787" w:type="dxa"/>
            <w:vAlign w:val="center"/>
          </w:tcPr>
          <w:p w14:paraId="711BA78A">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26FDA57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4706.55-2008</w:t>
            </w:r>
          </w:p>
        </w:tc>
      </w:tr>
      <w:tr w14:paraId="035F9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692495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364" w:type="dxa"/>
            <w:vAlign w:val="center"/>
          </w:tcPr>
          <w:p w14:paraId="33CAD1A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稳定性和机械危险</w:t>
            </w:r>
          </w:p>
        </w:tc>
        <w:tc>
          <w:tcPr>
            <w:tcW w:w="3787" w:type="dxa"/>
            <w:vAlign w:val="center"/>
          </w:tcPr>
          <w:p w14:paraId="124E520D">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2FF11D2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4706.55-2008</w:t>
            </w:r>
          </w:p>
        </w:tc>
      </w:tr>
      <w:tr w14:paraId="6E45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19CE19D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364" w:type="dxa"/>
            <w:vAlign w:val="center"/>
          </w:tcPr>
          <w:p w14:paraId="71E9212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接地措施</w:t>
            </w:r>
          </w:p>
        </w:tc>
        <w:tc>
          <w:tcPr>
            <w:tcW w:w="3787" w:type="dxa"/>
            <w:vAlign w:val="center"/>
          </w:tcPr>
          <w:p w14:paraId="42DEA64B">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3C1B954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4706.55-2008</w:t>
            </w:r>
          </w:p>
        </w:tc>
      </w:tr>
      <w:tr w14:paraId="5BC1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3D39520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4364" w:type="dxa"/>
            <w:vAlign w:val="center"/>
          </w:tcPr>
          <w:p w14:paraId="23BEB17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电气间隙、爬电距离和固体绝缘</w:t>
            </w:r>
          </w:p>
        </w:tc>
        <w:tc>
          <w:tcPr>
            <w:tcW w:w="3787" w:type="dxa"/>
            <w:vAlign w:val="center"/>
          </w:tcPr>
          <w:p w14:paraId="2B086F28">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787FD8B">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4706.55-2008</w:t>
            </w:r>
          </w:p>
        </w:tc>
      </w:tr>
    </w:tbl>
    <w:p w14:paraId="29113472">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执行企业标准、团体标准、地方标准的产品，检验项目参照上述内容执行。</w:t>
      </w:r>
    </w:p>
    <w:p w14:paraId="5E5A3F5A">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5F89B1E7">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 判定规则</w:t>
      </w:r>
    </w:p>
    <w:p w14:paraId="23FEF8E7">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3.1依据标准</w:t>
      </w:r>
    </w:p>
    <w:p w14:paraId="33099C40">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4706.1—2005 家用和类似用途电器的安全  第1部分：通用要求</w:t>
      </w:r>
    </w:p>
    <w:p w14:paraId="521106DA">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4706.55-2008 家用和类似用途电器的安全 保温板和类似器具的特殊要求</w:t>
      </w:r>
    </w:p>
    <w:p w14:paraId="3CEF55E2">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现行有效的企业标准、团体标准、地方标准及产品明示质量要求</w:t>
      </w:r>
    </w:p>
    <w:p w14:paraId="510D7BBA">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3.2判定原则</w:t>
      </w:r>
    </w:p>
    <w:p w14:paraId="7D8B4957">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6AA847AB">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若被检产品明示的质量要求高于本细则中检验项目依据的标准要求时，应按被检产品明示的质量要求判定。</w:t>
      </w:r>
    </w:p>
    <w:p w14:paraId="46A69762">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若被检产品明示的质量要求低于本细则中检验项目依据的强制性标准要求时，应按照强制性标准要求判定。</w:t>
      </w:r>
    </w:p>
    <w:p w14:paraId="6E588B3A">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若被检产品明示的质量要求低于或包含本细则中检验项目依据的推荐性标准要求时，应以被检产品明示的质量要求判定。</w:t>
      </w:r>
    </w:p>
    <w:p w14:paraId="54AA96F1">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若被检产品明示的质量要求缺少本细则中检验项目依据的强制性标准要求时，应按照强制性标准要求判定。</w:t>
      </w:r>
    </w:p>
    <w:p w14:paraId="7BF94A17">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若被检产品明示的质量要求缺少本细则中检验项目依据的推荐性标准要求时，该项目不参与判定。</w:t>
      </w:r>
    </w:p>
    <w:p w14:paraId="31B41E91">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4 附则</w:t>
      </w:r>
    </w:p>
    <w:p w14:paraId="6B73C3C5">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本细则代替《电热保温板及类似器具产品质量监督抽查实施细则（2025年版）》。</w:t>
      </w:r>
    </w:p>
    <w:p w14:paraId="1AE35913">
      <w:pPr>
        <w:widowControl/>
        <w:spacing w:line="360" w:lineRule="atLeast"/>
        <w:ind w:firstLine="482" w:firstLineChars="200"/>
        <w:jc w:val="left"/>
        <w:rPr>
          <w:rFonts w:hint="eastAsia" w:ascii="宋体" w:hAnsi="宋体" w:eastAsia="宋体" w:cs="宋体"/>
          <w:b/>
          <w:bCs/>
          <w:color w:val="000000"/>
          <w:kern w:val="0"/>
          <w:sz w:val="24"/>
        </w:rPr>
      </w:pPr>
    </w:p>
    <w:p w14:paraId="45792F8E">
      <w:pPr>
        <w:widowControl/>
        <w:spacing w:line="360" w:lineRule="atLeast"/>
        <w:ind w:firstLine="482" w:firstLineChars="200"/>
        <w:jc w:val="left"/>
        <w:rPr>
          <w:rFonts w:hint="eastAsia" w:ascii="宋体" w:hAnsi="宋体" w:eastAsia="宋体" w:cs="宋体"/>
          <w:b/>
          <w:bCs/>
          <w:color w:val="000000"/>
          <w:kern w:val="0"/>
          <w:sz w:val="24"/>
        </w:rPr>
      </w:pPr>
    </w:p>
    <w:p w14:paraId="4E981146">
      <w:pPr>
        <w:widowControl/>
        <w:spacing w:line="360" w:lineRule="atLeast"/>
        <w:ind w:firstLine="482" w:firstLineChars="200"/>
        <w:jc w:val="left"/>
        <w:rPr>
          <w:rFonts w:hint="eastAsia" w:ascii="宋体" w:hAnsi="宋体" w:eastAsia="宋体" w:cs="宋体"/>
          <w:b/>
          <w:bCs/>
          <w:color w:val="000000"/>
          <w:kern w:val="0"/>
          <w:sz w:val="24"/>
        </w:rPr>
      </w:pPr>
    </w:p>
    <w:p w14:paraId="35BC72FE">
      <w:pPr>
        <w:widowControl/>
        <w:spacing w:line="360" w:lineRule="atLeast"/>
        <w:ind w:firstLine="482" w:firstLineChars="200"/>
        <w:jc w:val="left"/>
        <w:rPr>
          <w:rFonts w:hint="eastAsia" w:ascii="宋体" w:hAnsi="宋体" w:eastAsia="宋体" w:cs="宋体"/>
          <w:b/>
          <w:bCs/>
          <w:color w:val="000000"/>
          <w:kern w:val="0"/>
          <w:sz w:val="24"/>
        </w:rPr>
      </w:pPr>
    </w:p>
    <w:p w14:paraId="13966F3C">
      <w:pPr>
        <w:widowControl/>
        <w:spacing w:line="360" w:lineRule="atLeast"/>
        <w:ind w:firstLine="482" w:firstLineChars="200"/>
        <w:jc w:val="left"/>
        <w:rPr>
          <w:rFonts w:hint="eastAsia" w:ascii="宋体" w:hAnsi="宋体" w:eastAsia="宋体" w:cs="宋体"/>
          <w:b/>
          <w:bCs/>
          <w:color w:val="000000"/>
          <w:kern w:val="0"/>
          <w:sz w:val="24"/>
        </w:rPr>
      </w:pPr>
    </w:p>
    <w:p w14:paraId="22736E19">
      <w:pPr>
        <w:widowControl/>
        <w:spacing w:line="360" w:lineRule="atLeast"/>
        <w:ind w:firstLine="482" w:firstLineChars="200"/>
        <w:jc w:val="left"/>
        <w:rPr>
          <w:rFonts w:hint="eastAsia" w:ascii="宋体" w:hAnsi="宋体" w:eastAsia="宋体" w:cs="宋体"/>
          <w:b/>
          <w:bCs/>
          <w:color w:val="000000"/>
          <w:kern w:val="0"/>
          <w:sz w:val="24"/>
        </w:rPr>
      </w:pPr>
    </w:p>
    <w:p w14:paraId="103110AC">
      <w:pPr>
        <w:widowControl/>
        <w:spacing w:line="360" w:lineRule="atLeast"/>
        <w:ind w:firstLine="482" w:firstLineChars="200"/>
        <w:jc w:val="left"/>
        <w:rPr>
          <w:rFonts w:hint="eastAsia" w:ascii="宋体" w:hAnsi="宋体" w:eastAsia="宋体" w:cs="宋体"/>
          <w:b/>
          <w:bCs/>
          <w:color w:val="000000"/>
          <w:kern w:val="0"/>
          <w:sz w:val="24"/>
        </w:rPr>
      </w:pPr>
    </w:p>
    <w:p w14:paraId="6A9E6DA0">
      <w:pPr>
        <w:widowControl/>
        <w:spacing w:line="360" w:lineRule="atLeast"/>
        <w:ind w:firstLine="482" w:firstLineChars="200"/>
        <w:jc w:val="left"/>
        <w:rPr>
          <w:rFonts w:hint="eastAsia" w:ascii="宋体" w:hAnsi="宋体" w:eastAsia="宋体" w:cs="宋体"/>
          <w:b/>
          <w:bCs/>
          <w:color w:val="000000"/>
          <w:kern w:val="0"/>
          <w:sz w:val="24"/>
        </w:rPr>
      </w:pPr>
    </w:p>
    <w:p w14:paraId="4A0B0380">
      <w:pPr>
        <w:widowControl/>
        <w:spacing w:line="360" w:lineRule="atLeast"/>
        <w:ind w:firstLine="482" w:firstLineChars="200"/>
        <w:jc w:val="left"/>
        <w:rPr>
          <w:rFonts w:hint="eastAsia" w:ascii="宋体" w:hAnsi="宋体" w:eastAsia="宋体" w:cs="宋体"/>
          <w:b/>
          <w:bCs/>
          <w:color w:val="000000"/>
          <w:kern w:val="0"/>
          <w:sz w:val="24"/>
        </w:rPr>
      </w:pPr>
    </w:p>
    <w:p w14:paraId="278CAC6B">
      <w:pPr>
        <w:widowControl/>
        <w:spacing w:line="360" w:lineRule="atLeast"/>
        <w:ind w:firstLine="482" w:firstLineChars="200"/>
        <w:jc w:val="left"/>
        <w:rPr>
          <w:rFonts w:hint="eastAsia" w:ascii="宋体" w:hAnsi="宋体" w:eastAsia="宋体" w:cs="宋体"/>
          <w:b/>
          <w:bCs/>
          <w:color w:val="000000"/>
          <w:kern w:val="0"/>
          <w:sz w:val="24"/>
        </w:rPr>
      </w:pPr>
    </w:p>
    <w:p w14:paraId="7F30244F">
      <w:pPr>
        <w:widowControl/>
        <w:spacing w:line="360" w:lineRule="atLeast"/>
        <w:ind w:firstLine="482" w:firstLineChars="200"/>
        <w:jc w:val="left"/>
        <w:rPr>
          <w:rFonts w:hint="eastAsia" w:ascii="宋体" w:hAnsi="宋体" w:eastAsia="宋体" w:cs="宋体"/>
          <w:b/>
          <w:bCs/>
          <w:color w:val="000000"/>
          <w:kern w:val="0"/>
          <w:sz w:val="24"/>
        </w:rPr>
      </w:pPr>
    </w:p>
    <w:p w14:paraId="0D6A0EE0">
      <w:pPr>
        <w:widowControl/>
        <w:spacing w:line="360" w:lineRule="atLeast"/>
        <w:ind w:firstLine="482" w:firstLineChars="200"/>
        <w:jc w:val="left"/>
        <w:rPr>
          <w:rFonts w:hint="eastAsia" w:ascii="宋体" w:hAnsi="宋体" w:eastAsia="宋体" w:cs="宋体"/>
          <w:b/>
          <w:bCs/>
          <w:color w:val="000000"/>
          <w:kern w:val="0"/>
          <w:sz w:val="24"/>
        </w:rPr>
      </w:pPr>
    </w:p>
    <w:p w14:paraId="41FA7C7D">
      <w:pPr>
        <w:widowControl/>
        <w:spacing w:line="360" w:lineRule="atLeast"/>
        <w:ind w:firstLine="482" w:firstLineChars="200"/>
        <w:jc w:val="left"/>
        <w:rPr>
          <w:rFonts w:hint="eastAsia" w:ascii="宋体" w:hAnsi="宋体" w:eastAsia="宋体" w:cs="宋体"/>
          <w:b/>
          <w:bCs/>
          <w:color w:val="000000"/>
          <w:kern w:val="0"/>
          <w:sz w:val="24"/>
        </w:rPr>
      </w:pPr>
    </w:p>
    <w:p w14:paraId="66FB0991">
      <w:pPr>
        <w:widowControl/>
        <w:spacing w:line="360" w:lineRule="atLeast"/>
        <w:ind w:firstLine="482" w:firstLineChars="200"/>
        <w:jc w:val="left"/>
        <w:rPr>
          <w:rFonts w:hint="eastAsia" w:ascii="宋体" w:hAnsi="宋体" w:eastAsia="宋体" w:cs="宋体"/>
          <w:b/>
          <w:bCs/>
          <w:color w:val="000000"/>
          <w:kern w:val="0"/>
          <w:sz w:val="24"/>
        </w:rPr>
      </w:pPr>
    </w:p>
    <w:p w14:paraId="110FFB60">
      <w:pPr>
        <w:widowControl/>
        <w:spacing w:line="360" w:lineRule="atLeast"/>
        <w:ind w:firstLine="482" w:firstLineChars="200"/>
        <w:jc w:val="left"/>
        <w:rPr>
          <w:rFonts w:hint="eastAsia" w:ascii="宋体" w:hAnsi="宋体" w:eastAsia="宋体" w:cs="宋体"/>
          <w:b/>
          <w:bCs/>
          <w:color w:val="000000"/>
          <w:kern w:val="0"/>
          <w:sz w:val="24"/>
        </w:rPr>
      </w:pPr>
    </w:p>
    <w:p w14:paraId="18F4A8B5">
      <w:pPr>
        <w:widowControl/>
        <w:spacing w:line="360" w:lineRule="atLeast"/>
        <w:ind w:firstLine="482" w:firstLineChars="200"/>
        <w:jc w:val="left"/>
        <w:rPr>
          <w:rFonts w:hint="eastAsia" w:ascii="宋体" w:hAnsi="宋体" w:eastAsia="宋体" w:cs="宋体"/>
          <w:b/>
          <w:bCs/>
          <w:color w:val="000000"/>
          <w:kern w:val="0"/>
          <w:sz w:val="24"/>
        </w:rPr>
      </w:pPr>
    </w:p>
    <w:p w14:paraId="4CDB98D4">
      <w:pPr>
        <w:widowControl/>
        <w:spacing w:line="360" w:lineRule="atLeast"/>
        <w:ind w:firstLine="482" w:firstLineChars="200"/>
        <w:jc w:val="left"/>
        <w:rPr>
          <w:rFonts w:hint="eastAsia" w:ascii="宋体" w:hAnsi="宋体" w:eastAsia="宋体" w:cs="宋体"/>
          <w:b/>
          <w:bCs/>
          <w:color w:val="000000"/>
          <w:kern w:val="0"/>
          <w:sz w:val="24"/>
        </w:rPr>
      </w:pPr>
    </w:p>
    <w:p w14:paraId="2AEC7ADA">
      <w:pPr>
        <w:widowControl/>
        <w:spacing w:line="360" w:lineRule="atLeast"/>
        <w:ind w:firstLine="482" w:firstLineChars="200"/>
        <w:jc w:val="left"/>
        <w:rPr>
          <w:rFonts w:hint="eastAsia" w:ascii="宋体" w:hAnsi="宋体" w:eastAsia="宋体" w:cs="宋体"/>
          <w:b/>
          <w:bCs/>
          <w:color w:val="000000"/>
          <w:kern w:val="0"/>
          <w:sz w:val="24"/>
        </w:rPr>
      </w:pPr>
    </w:p>
    <w:p w14:paraId="318D8CC7">
      <w:pPr>
        <w:widowControl/>
        <w:spacing w:line="360" w:lineRule="atLeast"/>
        <w:ind w:firstLine="482" w:firstLineChars="200"/>
        <w:jc w:val="left"/>
        <w:rPr>
          <w:rFonts w:hint="eastAsia" w:ascii="宋体" w:hAnsi="宋体" w:eastAsia="宋体" w:cs="宋体"/>
          <w:b/>
          <w:bCs/>
          <w:color w:val="000000"/>
          <w:kern w:val="0"/>
          <w:sz w:val="24"/>
        </w:rPr>
      </w:pPr>
    </w:p>
    <w:p w14:paraId="0377AF90">
      <w:pPr>
        <w:widowControl/>
        <w:spacing w:line="360" w:lineRule="atLeast"/>
        <w:ind w:firstLine="482" w:firstLineChars="200"/>
        <w:jc w:val="left"/>
        <w:rPr>
          <w:rFonts w:hint="eastAsia" w:ascii="宋体" w:hAnsi="宋体" w:eastAsia="宋体" w:cs="宋体"/>
          <w:b/>
          <w:bCs/>
          <w:color w:val="000000"/>
          <w:kern w:val="0"/>
          <w:sz w:val="24"/>
        </w:rPr>
      </w:pPr>
    </w:p>
    <w:p w14:paraId="4A648110">
      <w:pPr>
        <w:widowControl/>
        <w:spacing w:line="360" w:lineRule="atLeast"/>
        <w:ind w:firstLine="482" w:firstLineChars="200"/>
        <w:jc w:val="left"/>
        <w:rPr>
          <w:rFonts w:hint="eastAsia" w:ascii="宋体" w:hAnsi="宋体" w:eastAsia="宋体" w:cs="宋体"/>
          <w:b/>
          <w:bCs/>
          <w:color w:val="000000"/>
          <w:kern w:val="0"/>
          <w:sz w:val="24"/>
        </w:rPr>
      </w:pPr>
    </w:p>
    <w:p w14:paraId="1703BCCF">
      <w:pPr>
        <w:widowControl/>
        <w:spacing w:line="360" w:lineRule="atLeast"/>
        <w:ind w:firstLine="482" w:firstLineChars="200"/>
        <w:jc w:val="left"/>
        <w:rPr>
          <w:rFonts w:hint="eastAsia" w:ascii="宋体" w:hAnsi="宋体" w:eastAsia="宋体" w:cs="宋体"/>
          <w:b/>
          <w:bCs/>
          <w:color w:val="000000"/>
          <w:kern w:val="0"/>
          <w:sz w:val="24"/>
        </w:rPr>
      </w:pPr>
    </w:p>
    <w:p w14:paraId="6859B85D">
      <w:pPr>
        <w:widowControl/>
        <w:spacing w:line="360" w:lineRule="atLeast"/>
        <w:ind w:firstLine="482" w:firstLineChars="200"/>
        <w:jc w:val="left"/>
        <w:rPr>
          <w:rFonts w:hint="eastAsia" w:ascii="宋体" w:hAnsi="宋体" w:eastAsia="宋体" w:cs="宋体"/>
          <w:b/>
          <w:bCs/>
          <w:color w:val="000000"/>
          <w:kern w:val="0"/>
          <w:sz w:val="24"/>
        </w:rPr>
      </w:pPr>
    </w:p>
    <w:p w14:paraId="49B4C2F0">
      <w:pPr>
        <w:widowControl/>
        <w:spacing w:line="360" w:lineRule="atLeast"/>
        <w:ind w:firstLine="482" w:firstLineChars="200"/>
        <w:jc w:val="left"/>
        <w:rPr>
          <w:rFonts w:hint="eastAsia" w:ascii="宋体" w:hAnsi="宋体" w:eastAsia="宋体" w:cs="宋体"/>
          <w:b/>
          <w:bCs/>
          <w:color w:val="000000"/>
          <w:kern w:val="0"/>
          <w:sz w:val="24"/>
        </w:rPr>
      </w:pPr>
    </w:p>
    <w:p w14:paraId="0B73C9CE">
      <w:pPr>
        <w:widowControl/>
        <w:spacing w:line="360" w:lineRule="atLeast"/>
        <w:ind w:firstLine="482" w:firstLineChars="200"/>
        <w:jc w:val="left"/>
        <w:rPr>
          <w:rFonts w:hint="eastAsia" w:ascii="宋体" w:hAnsi="宋体" w:eastAsia="宋体" w:cs="宋体"/>
          <w:b/>
          <w:bCs/>
          <w:color w:val="000000"/>
          <w:kern w:val="0"/>
          <w:sz w:val="24"/>
        </w:rPr>
      </w:pPr>
    </w:p>
    <w:p w14:paraId="10FD389D">
      <w:pPr>
        <w:widowControl/>
        <w:spacing w:line="360" w:lineRule="atLeast"/>
        <w:ind w:firstLine="482" w:firstLineChars="200"/>
        <w:jc w:val="left"/>
        <w:rPr>
          <w:rFonts w:hint="eastAsia" w:ascii="宋体" w:hAnsi="宋体" w:eastAsia="宋体" w:cs="宋体"/>
          <w:b/>
          <w:bCs/>
          <w:color w:val="000000"/>
          <w:kern w:val="0"/>
          <w:sz w:val="24"/>
        </w:rPr>
      </w:pPr>
    </w:p>
    <w:p w14:paraId="50C95A09">
      <w:pPr>
        <w:widowControl/>
        <w:spacing w:line="360" w:lineRule="atLeast"/>
        <w:ind w:firstLine="482" w:firstLineChars="200"/>
        <w:jc w:val="left"/>
        <w:rPr>
          <w:rFonts w:hint="eastAsia" w:ascii="宋体" w:hAnsi="宋体" w:eastAsia="宋体" w:cs="宋体"/>
          <w:b/>
          <w:bCs/>
          <w:color w:val="000000"/>
          <w:kern w:val="0"/>
          <w:sz w:val="24"/>
        </w:rPr>
      </w:pPr>
    </w:p>
    <w:p w14:paraId="38FF0F1A">
      <w:pPr>
        <w:widowControl/>
        <w:spacing w:line="360" w:lineRule="atLeast"/>
        <w:ind w:firstLine="482" w:firstLineChars="200"/>
        <w:jc w:val="left"/>
        <w:rPr>
          <w:rFonts w:hint="eastAsia" w:ascii="宋体" w:hAnsi="宋体" w:eastAsia="宋体" w:cs="宋体"/>
          <w:b/>
          <w:bCs/>
          <w:color w:val="000000"/>
          <w:kern w:val="0"/>
          <w:sz w:val="24"/>
        </w:rPr>
      </w:pPr>
    </w:p>
    <w:p w14:paraId="5CDFFBD2">
      <w:pPr>
        <w:widowControl/>
        <w:spacing w:line="360" w:lineRule="atLeast"/>
        <w:ind w:firstLine="482" w:firstLineChars="200"/>
        <w:jc w:val="left"/>
        <w:rPr>
          <w:rFonts w:hint="eastAsia" w:ascii="宋体" w:hAnsi="宋体" w:eastAsia="宋体" w:cs="宋体"/>
          <w:b/>
          <w:bCs/>
          <w:color w:val="000000"/>
          <w:kern w:val="0"/>
          <w:sz w:val="24"/>
        </w:rPr>
      </w:pPr>
    </w:p>
    <w:p w14:paraId="66237E50">
      <w:pPr>
        <w:widowControl/>
        <w:spacing w:line="360" w:lineRule="atLeast"/>
        <w:ind w:firstLine="482" w:firstLineChars="200"/>
        <w:jc w:val="left"/>
        <w:rPr>
          <w:rFonts w:hint="eastAsia" w:ascii="宋体" w:hAnsi="宋体" w:eastAsia="宋体" w:cs="宋体"/>
          <w:b/>
          <w:bCs/>
          <w:color w:val="000000"/>
          <w:kern w:val="0"/>
          <w:sz w:val="24"/>
        </w:rPr>
      </w:pPr>
    </w:p>
    <w:p w14:paraId="61B41118">
      <w:pPr>
        <w:widowControl/>
        <w:spacing w:line="360" w:lineRule="atLeast"/>
        <w:ind w:firstLine="482" w:firstLineChars="200"/>
        <w:jc w:val="left"/>
        <w:rPr>
          <w:rFonts w:hint="eastAsia" w:ascii="宋体" w:hAnsi="宋体" w:eastAsia="宋体" w:cs="宋体"/>
          <w:b/>
          <w:bCs/>
          <w:color w:val="000000"/>
          <w:kern w:val="0"/>
          <w:sz w:val="24"/>
        </w:rPr>
      </w:pPr>
    </w:p>
    <w:p w14:paraId="45C55D33">
      <w:pPr>
        <w:widowControl/>
        <w:spacing w:line="360" w:lineRule="atLeast"/>
        <w:ind w:firstLine="482" w:firstLineChars="200"/>
        <w:jc w:val="left"/>
        <w:rPr>
          <w:rFonts w:hint="eastAsia" w:ascii="宋体" w:hAnsi="宋体" w:eastAsia="宋体" w:cs="宋体"/>
          <w:b/>
          <w:bCs/>
          <w:color w:val="000000"/>
          <w:kern w:val="0"/>
          <w:sz w:val="24"/>
        </w:rPr>
      </w:pPr>
    </w:p>
    <w:p w14:paraId="777C6EA2">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r>
        <w:rPr>
          <w:rFonts w:hint="eastAsia" w:ascii="宋体" w:hAnsi="宋体" w:eastAsia="宋体" w:cs="宋体"/>
          <w:b/>
          <w:bCs/>
          <w:color w:val="000000"/>
          <w:kern w:val="0"/>
          <w:sz w:val="24"/>
        </w:rPr>
        <w:t>空气湿度调节器</w:t>
      </w:r>
      <w:r>
        <w:rPr>
          <w:rFonts w:hint="eastAsia" w:ascii="宋体" w:hAnsi="宋体" w:eastAsia="宋体" w:cs="宋体"/>
          <w:b/>
          <w:bCs/>
          <w:color w:val="000000"/>
          <w:kern w:val="0"/>
          <w:sz w:val="24"/>
        </w:rPr>
        <w:t>产品质量监督抽查实施细则（2026年版）</w:t>
      </w:r>
    </w:p>
    <w:p w14:paraId="137CEB5E">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1 抽样方法</w:t>
      </w:r>
    </w:p>
    <w:p w14:paraId="68A9B81C">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以随机抽样的方式在被抽样生产者、销售者的待销产品中抽取。随机数一般可使用随机数表等方法产生。每批次产品抽取样品3台，其中2台为检验样品，1台为备用样品。</w:t>
      </w:r>
    </w:p>
    <w:p w14:paraId="7A7BE5D8">
      <w:pPr>
        <w:widowControl/>
        <w:spacing w:line="360" w:lineRule="atLeast"/>
        <w:ind w:firstLine="482" w:firstLineChars="200"/>
        <w:jc w:val="left"/>
        <w:rPr>
          <w:rFonts w:eastAsia="黑体"/>
          <w:color w:val="000000"/>
          <w:szCs w:val="21"/>
        </w:rPr>
      </w:pPr>
      <w:r>
        <w:rPr>
          <w:rFonts w:hint="eastAsia" w:ascii="宋体" w:hAnsi="宋体" w:eastAsia="宋体" w:cs="宋体"/>
          <w:b/>
          <w:bCs/>
          <w:color w:val="000000"/>
          <w:kern w:val="0"/>
          <w:sz w:val="24"/>
        </w:rPr>
        <w:t>2 检验依据</w:t>
      </w:r>
    </w:p>
    <w:tbl>
      <w:tblPr>
        <w:tblStyle w:val="5"/>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4364"/>
        <w:gridCol w:w="3787"/>
      </w:tblGrid>
      <w:tr w14:paraId="3DFD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blHeader/>
          <w:jc w:val="center"/>
        </w:trPr>
        <w:tc>
          <w:tcPr>
            <w:tcW w:w="883" w:type="dxa"/>
            <w:vAlign w:val="center"/>
          </w:tcPr>
          <w:p w14:paraId="13C0D3B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4364" w:type="dxa"/>
            <w:vAlign w:val="center"/>
          </w:tcPr>
          <w:p w14:paraId="07FD316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检验项目</w:t>
            </w:r>
          </w:p>
        </w:tc>
        <w:tc>
          <w:tcPr>
            <w:tcW w:w="3787" w:type="dxa"/>
            <w:vAlign w:val="center"/>
          </w:tcPr>
          <w:p w14:paraId="7E1DDEF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检验方法</w:t>
            </w:r>
          </w:p>
        </w:tc>
      </w:tr>
      <w:tr w14:paraId="35A1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219D32D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4364" w:type="dxa"/>
            <w:vAlign w:val="center"/>
          </w:tcPr>
          <w:p w14:paraId="4B5EBF65">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标志</w:t>
            </w:r>
            <w:r>
              <w:rPr>
                <w:rFonts w:hint="eastAsia" w:ascii="宋体" w:hAnsi="宋体" w:eastAsia="宋体" w:cs="宋体"/>
                <w:color w:val="000000"/>
                <w:kern w:val="0"/>
                <w:sz w:val="24"/>
              </w:rPr>
              <w:t>说明</w:t>
            </w:r>
          </w:p>
        </w:tc>
        <w:tc>
          <w:tcPr>
            <w:tcW w:w="3787" w:type="dxa"/>
            <w:vAlign w:val="center"/>
          </w:tcPr>
          <w:p w14:paraId="33FABA9E">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54918B22">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4706.32-2012</w:t>
            </w:r>
          </w:p>
          <w:p w14:paraId="0D49097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4706.48-2009</w:t>
            </w:r>
          </w:p>
        </w:tc>
      </w:tr>
      <w:tr w14:paraId="43C1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362186A0">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4364" w:type="dxa"/>
            <w:vAlign w:val="center"/>
          </w:tcPr>
          <w:p w14:paraId="196052D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对触及带电部件的防护</w:t>
            </w:r>
          </w:p>
        </w:tc>
        <w:tc>
          <w:tcPr>
            <w:tcW w:w="3787" w:type="dxa"/>
            <w:vAlign w:val="center"/>
          </w:tcPr>
          <w:p w14:paraId="64C8F282">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GB 4706.1-2005 </w:t>
            </w:r>
          </w:p>
          <w:p w14:paraId="2FA785F3">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4706.32-2012</w:t>
            </w:r>
          </w:p>
          <w:p w14:paraId="2F0AE20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4706.48-2009</w:t>
            </w:r>
          </w:p>
        </w:tc>
      </w:tr>
      <w:tr w14:paraId="15177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105CA750">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4364" w:type="dxa"/>
            <w:vAlign w:val="center"/>
          </w:tcPr>
          <w:p w14:paraId="42F258F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工作温度下的泄漏电流和电气强度</w:t>
            </w:r>
          </w:p>
        </w:tc>
        <w:tc>
          <w:tcPr>
            <w:tcW w:w="3787" w:type="dxa"/>
            <w:vAlign w:val="center"/>
          </w:tcPr>
          <w:p w14:paraId="5B3AC04A">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75689AB6">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4706.32-2012</w:t>
            </w:r>
          </w:p>
          <w:p w14:paraId="1444295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4706.48-2009</w:t>
            </w:r>
          </w:p>
        </w:tc>
      </w:tr>
      <w:tr w14:paraId="3473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3A44710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4364" w:type="dxa"/>
            <w:vAlign w:val="center"/>
          </w:tcPr>
          <w:p w14:paraId="444878E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机械强度</w:t>
            </w:r>
          </w:p>
        </w:tc>
        <w:tc>
          <w:tcPr>
            <w:tcW w:w="3787" w:type="dxa"/>
            <w:vAlign w:val="center"/>
          </w:tcPr>
          <w:p w14:paraId="20151D55">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537A708">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4706.32-2012</w:t>
            </w:r>
          </w:p>
          <w:p w14:paraId="0894C6F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4706.48-2009</w:t>
            </w:r>
          </w:p>
        </w:tc>
      </w:tr>
      <w:tr w14:paraId="29A1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48C9C0B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364" w:type="dxa"/>
            <w:vAlign w:val="center"/>
          </w:tcPr>
          <w:p w14:paraId="3D32E80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稳定性和机械危险</w:t>
            </w:r>
          </w:p>
        </w:tc>
        <w:tc>
          <w:tcPr>
            <w:tcW w:w="3787" w:type="dxa"/>
            <w:vAlign w:val="center"/>
          </w:tcPr>
          <w:p w14:paraId="342818E7">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67C9B8F5">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4706.32-2012</w:t>
            </w:r>
          </w:p>
          <w:p w14:paraId="70C0CAA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4706.48-2009</w:t>
            </w:r>
          </w:p>
        </w:tc>
      </w:tr>
      <w:tr w14:paraId="2D67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34E447F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364" w:type="dxa"/>
            <w:vAlign w:val="center"/>
          </w:tcPr>
          <w:p w14:paraId="26F6C9A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接地措施</w:t>
            </w:r>
          </w:p>
        </w:tc>
        <w:tc>
          <w:tcPr>
            <w:tcW w:w="3787" w:type="dxa"/>
            <w:vAlign w:val="center"/>
          </w:tcPr>
          <w:p w14:paraId="723AA46F">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604C5154">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4706.32-2012</w:t>
            </w:r>
          </w:p>
          <w:p w14:paraId="24BC051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4706.48-2009</w:t>
            </w:r>
          </w:p>
        </w:tc>
      </w:tr>
      <w:tr w14:paraId="49F6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6AD542E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4364" w:type="dxa"/>
            <w:vAlign w:val="center"/>
          </w:tcPr>
          <w:p w14:paraId="36CE7EA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电气间隙、爬电距离和固体绝缘</w:t>
            </w:r>
          </w:p>
        </w:tc>
        <w:tc>
          <w:tcPr>
            <w:tcW w:w="3787" w:type="dxa"/>
            <w:vAlign w:val="center"/>
          </w:tcPr>
          <w:p w14:paraId="3CD5BF52">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D047992">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4706.32-2012</w:t>
            </w:r>
          </w:p>
          <w:p w14:paraId="2F24075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4706.48-2009</w:t>
            </w:r>
          </w:p>
        </w:tc>
      </w:tr>
    </w:tbl>
    <w:p w14:paraId="25C572BC">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执行企业标准、团体标准、地方标准的产品，检验项目参照上述内容执行。</w:t>
      </w:r>
    </w:p>
    <w:p w14:paraId="1BE3E565">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078B1C59">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 判定规则</w:t>
      </w:r>
    </w:p>
    <w:p w14:paraId="2D58F33A">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3.1依据标准</w:t>
      </w:r>
    </w:p>
    <w:p w14:paraId="3038144C">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4706.1—2005 家用和类似用途电器的安全  第1部分：通用要求</w:t>
      </w:r>
    </w:p>
    <w:p w14:paraId="29319E0F">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4706.32-2012 家用和类似用途电器的安全 热泵、空调器和除湿机的特殊要求</w:t>
      </w:r>
    </w:p>
    <w:p w14:paraId="77356BB1">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4706.48-2009 家用和类似用途电器的安全 加湿器的特殊要求</w:t>
      </w:r>
    </w:p>
    <w:p w14:paraId="3F5254E9">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现行有效的企业标准、团体标准、地方标准及产品明示质量要求</w:t>
      </w:r>
    </w:p>
    <w:p w14:paraId="6AE733FE">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3.2判定原则</w:t>
      </w:r>
    </w:p>
    <w:p w14:paraId="575EAB23">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5A0AF50E">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若被检产品明示的质量要求高于本细则中检验项目依据的标准要求时，应按被检产品明示的质量要求判定。</w:t>
      </w:r>
    </w:p>
    <w:p w14:paraId="31BB19EB">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若被检产品明示的质量要求低于本细则中检验项目依据的强制性标准要求时，应按照强制性标准要求判定。</w:t>
      </w:r>
    </w:p>
    <w:p w14:paraId="5925E2C6">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若被检产品明示的质量要求低于或包含本细则中检验项目依据的推荐性标准要求时，应以被检产品明示的质量要求判定。</w:t>
      </w:r>
    </w:p>
    <w:p w14:paraId="4C606FCE">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若被检产品明示的质量要求缺少本细则中检验项目依据的强制性标准要求时，应按照强制性标准要求判定。</w:t>
      </w:r>
    </w:p>
    <w:p w14:paraId="026AB746">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若被检产品明示的质量要求缺少本细则中检验项目依据的推荐性标准要求时，该项目不参与判定。</w:t>
      </w:r>
    </w:p>
    <w:p w14:paraId="238A36CB">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4 附则</w:t>
      </w:r>
    </w:p>
    <w:p w14:paraId="37F79E2E">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本细则代替《空气湿度调节器及类似器具产品质量监督抽查实施细则（2025年版）》。</w:t>
      </w:r>
    </w:p>
    <w:p w14:paraId="4E7B1BC0">
      <w:pPr>
        <w:widowControl/>
        <w:spacing w:line="360" w:lineRule="atLeast"/>
        <w:ind w:firstLine="482" w:firstLineChars="200"/>
        <w:jc w:val="left"/>
        <w:rPr>
          <w:rFonts w:hint="eastAsia" w:ascii="宋体" w:hAnsi="宋体" w:eastAsia="宋体" w:cs="宋体"/>
          <w:b/>
          <w:bCs/>
          <w:color w:val="000000"/>
          <w:kern w:val="0"/>
          <w:sz w:val="24"/>
        </w:rPr>
      </w:pPr>
    </w:p>
    <w:p w14:paraId="49A577E3">
      <w:pPr>
        <w:widowControl/>
        <w:spacing w:line="360" w:lineRule="atLeast"/>
        <w:ind w:firstLine="482" w:firstLineChars="200"/>
        <w:jc w:val="left"/>
        <w:rPr>
          <w:rFonts w:hint="eastAsia" w:ascii="宋体" w:hAnsi="宋体" w:eastAsia="宋体" w:cs="宋体"/>
          <w:b/>
          <w:bCs/>
          <w:color w:val="000000"/>
          <w:kern w:val="0"/>
          <w:sz w:val="24"/>
        </w:rPr>
      </w:pPr>
    </w:p>
    <w:p w14:paraId="2EC45E31">
      <w:pPr>
        <w:widowControl/>
        <w:spacing w:line="360" w:lineRule="atLeast"/>
        <w:ind w:firstLine="482" w:firstLineChars="200"/>
        <w:jc w:val="left"/>
        <w:rPr>
          <w:rFonts w:hint="eastAsia" w:ascii="宋体" w:hAnsi="宋体" w:eastAsia="宋体" w:cs="宋体"/>
          <w:b/>
          <w:bCs/>
          <w:color w:val="000000"/>
          <w:kern w:val="0"/>
          <w:sz w:val="24"/>
        </w:rPr>
      </w:pPr>
    </w:p>
    <w:p w14:paraId="5CCD1894">
      <w:pPr>
        <w:widowControl/>
        <w:spacing w:line="360" w:lineRule="atLeast"/>
        <w:ind w:firstLine="482" w:firstLineChars="200"/>
        <w:jc w:val="left"/>
        <w:rPr>
          <w:rFonts w:hint="eastAsia" w:ascii="宋体" w:hAnsi="宋体" w:eastAsia="宋体" w:cs="宋体"/>
          <w:b/>
          <w:bCs/>
          <w:color w:val="000000"/>
          <w:kern w:val="0"/>
          <w:sz w:val="24"/>
        </w:rPr>
      </w:pPr>
    </w:p>
    <w:p w14:paraId="0919C3C5">
      <w:pPr>
        <w:widowControl/>
        <w:spacing w:line="360" w:lineRule="atLeast"/>
        <w:ind w:firstLine="482" w:firstLineChars="200"/>
        <w:jc w:val="left"/>
        <w:rPr>
          <w:rFonts w:hint="eastAsia" w:ascii="宋体" w:hAnsi="宋体" w:eastAsia="宋体" w:cs="宋体"/>
          <w:b/>
          <w:bCs/>
          <w:color w:val="000000"/>
          <w:kern w:val="0"/>
          <w:sz w:val="24"/>
        </w:rPr>
      </w:pPr>
    </w:p>
    <w:p w14:paraId="1A26219E">
      <w:pPr>
        <w:widowControl/>
        <w:spacing w:line="360" w:lineRule="atLeast"/>
        <w:ind w:firstLine="482" w:firstLineChars="200"/>
        <w:jc w:val="left"/>
        <w:rPr>
          <w:rFonts w:hint="eastAsia" w:ascii="宋体" w:hAnsi="宋体" w:eastAsia="宋体" w:cs="宋体"/>
          <w:b/>
          <w:bCs/>
          <w:color w:val="000000"/>
          <w:kern w:val="0"/>
          <w:sz w:val="24"/>
        </w:rPr>
      </w:pPr>
    </w:p>
    <w:p w14:paraId="28365C2E">
      <w:pPr>
        <w:widowControl/>
        <w:spacing w:line="360" w:lineRule="atLeast"/>
        <w:ind w:firstLine="482" w:firstLineChars="200"/>
        <w:jc w:val="left"/>
        <w:rPr>
          <w:rFonts w:hint="eastAsia" w:ascii="宋体" w:hAnsi="宋体" w:eastAsia="宋体" w:cs="宋体"/>
          <w:b/>
          <w:bCs/>
          <w:color w:val="000000"/>
          <w:kern w:val="0"/>
          <w:sz w:val="24"/>
        </w:rPr>
      </w:pPr>
    </w:p>
    <w:p w14:paraId="7EA5DA66">
      <w:pPr>
        <w:widowControl/>
        <w:spacing w:line="360" w:lineRule="atLeast"/>
        <w:ind w:firstLine="482" w:firstLineChars="200"/>
        <w:jc w:val="left"/>
        <w:rPr>
          <w:rFonts w:hint="eastAsia" w:ascii="宋体" w:hAnsi="宋体" w:eastAsia="宋体" w:cs="宋体"/>
          <w:b/>
          <w:bCs/>
          <w:color w:val="000000"/>
          <w:kern w:val="0"/>
          <w:sz w:val="24"/>
        </w:rPr>
      </w:pPr>
    </w:p>
    <w:p w14:paraId="26F667C6">
      <w:pPr>
        <w:widowControl/>
        <w:spacing w:line="360" w:lineRule="atLeast"/>
        <w:ind w:firstLine="482" w:firstLineChars="200"/>
        <w:jc w:val="left"/>
        <w:rPr>
          <w:rFonts w:hint="eastAsia" w:ascii="宋体" w:hAnsi="宋体" w:eastAsia="宋体" w:cs="宋体"/>
          <w:b/>
          <w:bCs/>
          <w:color w:val="000000"/>
          <w:kern w:val="0"/>
          <w:sz w:val="24"/>
        </w:rPr>
      </w:pPr>
    </w:p>
    <w:p w14:paraId="46D72EBA">
      <w:pPr>
        <w:widowControl/>
        <w:spacing w:line="360" w:lineRule="atLeast"/>
        <w:ind w:firstLine="482" w:firstLineChars="200"/>
        <w:jc w:val="left"/>
        <w:rPr>
          <w:rFonts w:hint="eastAsia" w:ascii="宋体" w:hAnsi="宋体" w:eastAsia="宋体" w:cs="宋体"/>
          <w:b/>
          <w:bCs/>
          <w:color w:val="000000"/>
          <w:kern w:val="0"/>
          <w:sz w:val="24"/>
        </w:rPr>
      </w:pPr>
    </w:p>
    <w:p w14:paraId="73A80399">
      <w:pPr>
        <w:widowControl/>
        <w:spacing w:line="360" w:lineRule="atLeast"/>
        <w:ind w:firstLine="482" w:firstLineChars="200"/>
        <w:jc w:val="left"/>
        <w:rPr>
          <w:rFonts w:hint="eastAsia" w:ascii="宋体" w:hAnsi="宋体" w:eastAsia="宋体" w:cs="宋体"/>
          <w:b/>
          <w:bCs/>
          <w:color w:val="000000"/>
          <w:kern w:val="0"/>
          <w:sz w:val="24"/>
        </w:rPr>
      </w:pPr>
    </w:p>
    <w:p w14:paraId="1BEA4CBB">
      <w:pPr>
        <w:widowControl/>
        <w:spacing w:line="360" w:lineRule="atLeast"/>
        <w:ind w:firstLine="482" w:firstLineChars="200"/>
        <w:jc w:val="left"/>
        <w:rPr>
          <w:rFonts w:hint="eastAsia" w:ascii="宋体" w:hAnsi="宋体" w:eastAsia="宋体" w:cs="宋体"/>
          <w:b/>
          <w:bCs/>
          <w:color w:val="000000"/>
          <w:kern w:val="0"/>
          <w:sz w:val="24"/>
        </w:rPr>
      </w:pPr>
    </w:p>
    <w:p w14:paraId="7D305118">
      <w:pPr>
        <w:widowControl/>
        <w:spacing w:line="360" w:lineRule="atLeast"/>
        <w:ind w:firstLine="482" w:firstLineChars="200"/>
        <w:jc w:val="left"/>
        <w:rPr>
          <w:rFonts w:hint="eastAsia" w:ascii="宋体" w:hAnsi="宋体" w:eastAsia="宋体" w:cs="宋体"/>
          <w:b/>
          <w:bCs/>
          <w:color w:val="000000"/>
          <w:kern w:val="0"/>
          <w:sz w:val="24"/>
        </w:rPr>
      </w:pPr>
    </w:p>
    <w:p w14:paraId="76BDF4F7">
      <w:pPr>
        <w:widowControl/>
        <w:spacing w:line="360" w:lineRule="atLeast"/>
        <w:ind w:firstLine="482" w:firstLineChars="200"/>
        <w:jc w:val="left"/>
        <w:rPr>
          <w:rFonts w:hint="eastAsia" w:ascii="宋体" w:hAnsi="宋体" w:eastAsia="宋体" w:cs="宋体"/>
          <w:b/>
          <w:bCs/>
          <w:color w:val="000000"/>
          <w:kern w:val="0"/>
          <w:sz w:val="24"/>
        </w:rPr>
      </w:pPr>
    </w:p>
    <w:p w14:paraId="5112C83C">
      <w:pPr>
        <w:widowControl/>
        <w:spacing w:line="360" w:lineRule="atLeast"/>
        <w:ind w:firstLine="482" w:firstLineChars="200"/>
        <w:jc w:val="left"/>
        <w:rPr>
          <w:rFonts w:hint="eastAsia" w:ascii="宋体" w:hAnsi="宋体" w:eastAsia="宋体" w:cs="宋体"/>
          <w:b/>
          <w:bCs/>
          <w:color w:val="000000"/>
          <w:kern w:val="0"/>
          <w:sz w:val="24"/>
        </w:rPr>
      </w:pPr>
    </w:p>
    <w:p w14:paraId="6A67B3ED">
      <w:pPr>
        <w:widowControl/>
        <w:spacing w:line="360" w:lineRule="atLeast"/>
        <w:ind w:firstLine="482" w:firstLineChars="200"/>
        <w:jc w:val="left"/>
        <w:rPr>
          <w:rFonts w:hint="eastAsia" w:ascii="宋体" w:hAnsi="宋体" w:eastAsia="宋体" w:cs="宋体"/>
          <w:b/>
          <w:bCs/>
          <w:color w:val="000000"/>
          <w:kern w:val="0"/>
          <w:sz w:val="24"/>
        </w:rPr>
      </w:pPr>
    </w:p>
    <w:p w14:paraId="33B9668E">
      <w:pPr>
        <w:widowControl/>
        <w:spacing w:line="360" w:lineRule="atLeast"/>
        <w:ind w:firstLine="482" w:firstLineChars="200"/>
        <w:jc w:val="left"/>
        <w:rPr>
          <w:rFonts w:hint="eastAsia" w:ascii="宋体" w:hAnsi="宋体" w:eastAsia="宋体" w:cs="宋体"/>
          <w:b/>
          <w:bCs/>
          <w:color w:val="000000"/>
          <w:kern w:val="0"/>
          <w:sz w:val="24"/>
        </w:rPr>
      </w:pPr>
    </w:p>
    <w:p w14:paraId="63DBD588">
      <w:pPr>
        <w:widowControl/>
        <w:spacing w:line="360" w:lineRule="atLeast"/>
        <w:ind w:firstLine="482" w:firstLineChars="200"/>
        <w:jc w:val="left"/>
        <w:rPr>
          <w:rFonts w:hint="eastAsia" w:ascii="宋体" w:hAnsi="宋体" w:eastAsia="宋体" w:cs="宋体"/>
          <w:b/>
          <w:bCs/>
          <w:color w:val="000000"/>
          <w:kern w:val="0"/>
          <w:sz w:val="24"/>
        </w:rPr>
      </w:pPr>
    </w:p>
    <w:p w14:paraId="58900A3A">
      <w:pPr>
        <w:widowControl/>
        <w:spacing w:line="360" w:lineRule="atLeast"/>
        <w:ind w:firstLine="482" w:firstLineChars="200"/>
        <w:jc w:val="left"/>
        <w:rPr>
          <w:rFonts w:hint="eastAsia" w:ascii="宋体" w:hAnsi="宋体" w:eastAsia="宋体" w:cs="宋体"/>
          <w:b/>
          <w:bCs/>
          <w:color w:val="000000"/>
          <w:kern w:val="0"/>
          <w:sz w:val="24"/>
        </w:rPr>
      </w:pPr>
    </w:p>
    <w:p w14:paraId="23B25331">
      <w:pPr>
        <w:widowControl/>
        <w:spacing w:line="360" w:lineRule="atLeast"/>
        <w:ind w:firstLine="482" w:firstLineChars="200"/>
        <w:jc w:val="left"/>
        <w:rPr>
          <w:rFonts w:hint="eastAsia" w:ascii="宋体" w:hAnsi="宋体" w:eastAsia="宋体" w:cs="宋体"/>
          <w:b/>
          <w:bCs/>
          <w:color w:val="000000"/>
          <w:kern w:val="0"/>
          <w:sz w:val="24"/>
        </w:rPr>
      </w:pPr>
    </w:p>
    <w:p w14:paraId="0F764AB9">
      <w:pPr>
        <w:widowControl/>
        <w:spacing w:line="360" w:lineRule="atLeast"/>
        <w:ind w:firstLine="482" w:firstLineChars="200"/>
        <w:jc w:val="left"/>
        <w:rPr>
          <w:rFonts w:hint="eastAsia" w:ascii="宋体" w:hAnsi="宋体" w:eastAsia="宋体" w:cs="宋体"/>
          <w:b/>
          <w:bCs/>
          <w:color w:val="000000"/>
          <w:kern w:val="0"/>
          <w:sz w:val="24"/>
        </w:rPr>
      </w:pPr>
    </w:p>
    <w:p w14:paraId="64C87B3E">
      <w:pPr>
        <w:widowControl/>
        <w:spacing w:line="360" w:lineRule="atLeast"/>
        <w:ind w:firstLine="482" w:firstLineChars="200"/>
        <w:jc w:val="left"/>
        <w:rPr>
          <w:rFonts w:hint="eastAsia" w:ascii="宋体" w:hAnsi="宋体" w:eastAsia="宋体" w:cs="宋体"/>
          <w:b/>
          <w:bCs/>
          <w:color w:val="000000"/>
          <w:kern w:val="0"/>
          <w:sz w:val="24"/>
        </w:rPr>
      </w:pPr>
    </w:p>
    <w:p w14:paraId="02AC92EF">
      <w:pPr>
        <w:widowControl/>
        <w:spacing w:line="360" w:lineRule="atLeast"/>
        <w:ind w:firstLine="482" w:firstLineChars="200"/>
        <w:jc w:val="left"/>
        <w:rPr>
          <w:rFonts w:hint="eastAsia" w:ascii="宋体" w:hAnsi="宋体" w:eastAsia="宋体" w:cs="宋体"/>
          <w:b/>
          <w:bCs/>
          <w:color w:val="000000"/>
          <w:kern w:val="0"/>
          <w:sz w:val="24"/>
        </w:rPr>
      </w:pPr>
    </w:p>
    <w:p w14:paraId="48E15FD9">
      <w:pPr>
        <w:widowControl/>
        <w:spacing w:line="360" w:lineRule="atLeast"/>
        <w:ind w:firstLine="482" w:firstLineChars="200"/>
        <w:jc w:val="left"/>
        <w:rPr>
          <w:rFonts w:hint="eastAsia" w:ascii="宋体" w:hAnsi="宋体" w:eastAsia="宋体" w:cs="宋体"/>
          <w:b/>
          <w:bCs/>
          <w:color w:val="000000"/>
          <w:kern w:val="0"/>
          <w:sz w:val="24"/>
        </w:rPr>
      </w:pPr>
    </w:p>
    <w:p w14:paraId="010794E5">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r>
        <w:rPr>
          <w:rFonts w:hint="eastAsia" w:ascii="宋体" w:hAnsi="宋体" w:eastAsia="宋体" w:cs="宋体"/>
          <w:b/>
          <w:bCs/>
          <w:color w:val="000000"/>
          <w:kern w:val="0"/>
          <w:sz w:val="24"/>
        </w:rPr>
        <w:t>电热水器产品质量监督抽查实施细则（2026年版）</w:t>
      </w:r>
    </w:p>
    <w:p w14:paraId="5EFEFFFC">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1 抽样方法</w:t>
      </w:r>
    </w:p>
    <w:p w14:paraId="609F2BAB">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以随机抽样的方式在被抽样生产者、销售者的待销产品中抽取。</w:t>
      </w:r>
    </w:p>
    <w:p w14:paraId="50DF1B76">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随机数一般可使用随机数表等方法产生。</w:t>
      </w:r>
    </w:p>
    <w:p w14:paraId="1A33B634">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每批次产品抽取样品3台，其中2台为检验样品，1台为备用样品。</w:t>
      </w:r>
    </w:p>
    <w:p w14:paraId="5D3AE178">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2 检验依据</w:t>
      </w:r>
    </w:p>
    <w:tbl>
      <w:tblPr>
        <w:tblStyle w:val="5"/>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4404"/>
        <w:gridCol w:w="3654"/>
      </w:tblGrid>
      <w:tr w14:paraId="3512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982" w:type="dxa"/>
          </w:tcPr>
          <w:p w14:paraId="0797A1E0">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4404" w:type="dxa"/>
          </w:tcPr>
          <w:p w14:paraId="7E27105B">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检验项目</w:t>
            </w:r>
          </w:p>
        </w:tc>
        <w:tc>
          <w:tcPr>
            <w:tcW w:w="3654" w:type="dxa"/>
          </w:tcPr>
          <w:p w14:paraId="6C4F1B2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检验方法</w:t>
            </w:r>
          </w:p>
        </w:tc>
      </w:tr>
      <w:tr w14:paraId="6F16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2C547E4D">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4404" w:type="dxa"/>
            <w:vAlign w:val="center"/>
          </w:tcPr>
          <w:p w14:paraId="4A8902F8">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标志</w:t>
            </w:r>
            <w:r>
              <w:rPr>
                <w:rFonts w:hint="eastAsia" w:ascii="宋体" w:hAnsi="宋体" w:eastAsia="宋体" w:cs="宋体"/>
                <w:color w:val="000000"/>
                <w:kern w:val="0"/>
                <w:sz w:val="24"/>
              </w:rPr>
              <w:t>说明</w:t>
            </w:r>
          </w:p>
        </w:tc>
        <w:tc>
          <w:tcPr>
            <w:tcW w:w="3654" w:type="dxa"/>
            <w:vAlign w:val="center"/>
          </w:tcPr>
          <w:p w14:paraId="0400A8FE">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226B35AF">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4706.11-2008</w:t>
            </w:r>
          </w:p>
          <w:p w14:paraId="59B1F768">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4706.12-2006</w:t>
            </w:r>
          </w:p>
        </w:tc>
      </w:tr>
      <w:tr w14:paraId="4792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6F7178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4404" w:type="dxa"/>
            <w:vAlign w:val="center"/>
          </w:tcPr>
          <w:p w14:paraId="7B5F1FA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对触及带电部件的防护</w:t>
            </w:r>
          </w:p>
        </w:tc>
        <w:tc>
          <w:tcPr>
            <w:tcW w:w="3654" w:type="dxa"/>
            <w:vAlign w:val="center"/>
          </w:tcPr>
          <w:p w14:paraId="797AD2B5">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3B90A011">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4706.11-2008</w:t>
            </w:r>
          </w:p>
          <w:p w14:paraId="75763570">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4706.12-2006</w:t>
            </w:r>
          </w:p>
        </w:tc>
      </w:tr>
      <w:tr w14:paraId="0B9A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63ABAA5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4404" w:type="dxa"/>
            <w:vAlign w:val="center"/>
          </w:tcPr>
          <w:p w14:paraId="1E0DF77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工作温度下的泄漏电流和电气强度</w:t>
            </w:r>
          </w:p>
        </w:tc>
        <w:tc>
          <w:tcPr>
            <w:tcW w:w="3654" w:type="dxa"/>
            <w:vAlign w:val="center"/>
          </w:tcPr>
          <w:p w14:paraId="5DA282F7">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42C73BCB">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4706.11-2008</w:t>
            </w:r>
          </w:p>
          <w:p w14:paraId="5D4F807B">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4706.12-2006</w:t>
            </w:r>
          </w:p>
        </w:tc>
      </w:tr>
      <w:tr w14:paraId="02D1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362AC6B">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4404" w:type="dxa"/>
            <w:vAlign w:val="center"/>
          </w:tcPr>
          <w:p w14:paraId="3414425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机械强度</w:t>
            </w:r>
          </w:p>
        </w:tc>
        <w:tc>
          <w:tcPr>
            <w:tcW w:w="3654" w:type="dxa"/>
            <w:vAlign w:val="center"/>
          </w:tcPr>
          <w:p w14:paraId="1FDDFA19">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3A66909B">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4706.11-2008</w:t>
            </w:r>
          </w:p>
          <w:p w14:paraId="7E093690">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4706.12-2006</w:t>
            </w:r>
          </w:p>
        </w:tc>
      </w:tr>
      <w:tr w14:paraId="544E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1123991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404" w:type="dxa"/>
            <w:vAlign w:val="center"/>
          </w:tcPr>
          <w:p w14:paraId="5145356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稳定性和机械危险</w:t>
            </w:r>
          </w:p>
        </w:tc>
        <w:tc>
          <w:tcPr>
            <w:tcW w:w="3654" w:type="dxa"/>
            <w:vAlign w:val="center"/>
          </w:tcPr>
          <w:p w14:paraId="186AF2DB">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F53F5C5">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4706.11-2008</w:t>
            </w:r>
          </w:p>
          <w:p w14:paraId="5D025384">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4706.12-2006</w:t>
            </w:r>
          </w:p>
        </w:tc>
      </w:tr>
      <w:tr w14:paraId="3E74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9F1295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404" w:type="dxa"/>
            <w:vAlign w:val="center"/>
          </w:tcPr>
          <w:p w14:paraId="3758BD2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接地措施</w:t>
            </w:r>
          </w:p>
        </w:tc>
        <w:tc>
          <w:tcPr>
            <w:tcW w:w="3654" w:type="dxa"/>
            <w:vAlign w:val="center"/>
          </w:tcPr>
          <w:p w14:paraId="382EAECA">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737105BE">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4706.11-2008</w:t>
            </w:r>
          </w:p>
          <w:p w14:paraId="27A0C0C7">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4706.12-2006</w:t>
            </w:r>
          </w:p>
        </w:tc>
      </w:tr>
      <w:tr w14:paraId="08F9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13CA6D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4404" w:type="dxa"/>
            <w:vAlign w:val="center"/>
          </w:tcPr>
          <w:p w14:paraId="0263334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电气间隙、爬电距离和固体绝缘</w:t>
            </w:r>
          </w:p>
        </w:tc>
        <w:tc>
          <w:tcPr>
            <w:tcW w:w="3654" w:type="dxa"/>
            <w:vAlign w:val="center"/>
          </w:tcPr>
          <w:p w14:paraId="3586368A">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029CE92B">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4706.11-2008</w:t>
            </w:r>
          </w:p>
          <w:p w14:paraId="60CAC359">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4706.12-2006</w:t>
            </w:r>
          </w:p>
        </w:tc>
      </w:tr>
    </w:tbl>
    <w:p w14:paraId="7C9DAA3D">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执行企业标准、团体标准、地方标准的产品，检验项目参照上述内容执行。</w:t>
      </w:r>
    </w:p>
    <w:p w14:paraId="7164D4EC">
      <w:pPr>
        <w:widowControl/>
        <w:spacing w:line="360" w:lineRule="atLeast"/>
        <w:ind w:firstLine="480" w:firstLineChars="200"/>
        <w:jc w:val="left"/>
        <w:rPr>
          <w:rFonts w:ascii="宋体" w:hAnsi="宋体"/>
          <w:color w:val="000000"/>
          <w:szCs w:val="21"/>
        </w:rPr>
      </w:pPr>
      <w:r>
        <w:rPr>
          <w:rFonts w:hint="eastAsia"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3D36BC4A">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 判定规则</w:t>
      </w:r>
    </w:p>
    <w:p w14:paraId="0170BCF9">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3.1依据标准</w:t>
      </w:r>
    </w:p>
    <w:p w14:paraId="4764F502">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4706.1—2005 家用和类似用途电器的安全  第1部分：通用要求</w:t>
      </w:r>
    </w:p>
    <w:p w14:paraId="12AC8706">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4706.11-2008 家用和类似用途电器的安全 快热式热水器的特殊要求</w:t>
      </w:r>
    </w:p>
    <w:p w14:paraId="7768C7C8">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GB 4706.12-2006 家用和类似用途电器的安全 储水式热水器的特殊要求</w:t>
      </w:r>
    </w:p>
    <w:p w14:paraId="451CAD8D">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现行有效的企业标准、团体标准、地方标准及产品明示质量要求</w:t>
      </w:r>
    </w:p>
    <w:p w14:paraId="548E844E">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3.2判定原则</w:t>
      </w:r>
    </w:p>
    <w:p w14:paraId="132FE003">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689CD3D7">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若被检产品明示的质量要求高于本细则中检验项目依据的标准要求时，应按被检产品明示的质量要求判定。</w:t>
      </w:r>
    </w:p>
    <w:p w14:paraId="0CE0AFDD">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若被检产品明示的质量要求低于本细则中检验项目依据的强制性标准要求时，应按照强制性标准要求判定。</w:t>
      </w:r>
    </w:p>
    <w:p w14:paraId="4FC2401D">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若被检产品明示的质量要求低于或包含本细则中检验项目依据的推荐性标准要求时，应以被检产品明示的质量要求判定。</w:t>
      </w:r>
    </w:p>
    <w:p w14:paraId="1EAAE5CA">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若被检产品明示的质量要求缺少本细则中检验项目依据的强制性标准要求时，应按照强制性标准要求判定。</w:t>
      </w:r>
    </w:p>
    <w:p w14:paraId="418BC459">
      <w:pPr>
        <w:widowControl/>
        <w:spacing w:line="360" w:lineRule="atLeast"/>
        <w:ind w:firstLine="480" w:firstLineChars="200"/>
        <w:jc w:val="left"/>
        <w:rPr>
          <w:rFonts w:ascii="宋体" w:hAnsi="宋体"/>
          <w:color w:val="000000"/>
          <w:szCs w:val="21"/>
        </w:rPr>
      </w:pPr>
      <w:r>
        <w:rPr>
          <w:rFonts w:hint="eastAsia" w:ascii="宋体" w:hAnsi="宋体" w:eastAsia="宋体" w:cs="宋体"/>
          <w:color w:val="000000"/>
          <w:kern w:val="0"/>
          <w:sz w:val="24"/>
        </w:rPr>
        <w:t>若被检产品明示的质量要求缺少本细则中检验项目依据的推荐性标准要求时，该项目不参与判定。</w:t>
      </w:r>
    </w:p>
    <w:p w14:paraId="1D0799A1">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4 附则</w:t>
      </w:r>
    </w:p>
    <w:p w14:paraId="551A0E40">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本细则代替《电热水器产品质量监督抽查实施细则（2025年版）》。</w:t>
      </w:r>
    </w:p>
    <w:p w14:paraId="32CF1697">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r>
        <w:rPr>
          <w:rFonts w:hint="eastAsia" w:ascii="宋体" w:hAnsi="宋体"/>
          <w:color w:val="000000"/>
          <w:szCs w:val="21"/>
        </w:rPr>
        <w:br w:type="page"/>
      </w:r>
      <w:r>
        <w:rPr>
          <w:rFonts w:hint="eastAsia" w:ascii="宋体" w:hAnsi="宋体" w:eastAsia="宋体" w:cs="宋体"/>
          <w:b/>
          <w:bCs/>
          <w:color w:val="000000"/>
          <w:kern w:val="0"/>
          <w:sz w:val="24"/>
        </w:rPr>
        <w:t>电热毯产品质量监督抽查实施细则（2026年版）</w:t>
      </w:r>
    </w:p>
    <w:p w14:paraId="4F0F3F05">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1 抽样方法</w:t>
      </w:r>
    </w:p>
    <w:p w14:paraId="66143BE0">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以随机抽样的方式在被抽样生产者、销售者的待销产品中抽取。</w:t>
      </w:r>
    </w:p>
    <w:p w14:paraId="2F40C183">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随机数一般可使用随机数表等方法产生。</w:t>
      </w:r>
    </w:p>
    <w:p w14:paraId="026354AE">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每批次产品抽取样品5床（条），其中3床（条）为检验样品，2床（条）为备用样品。</w:t>
      </w:r>
    </w:p>
    <w:p w14:paraId="433B091F">
      <w:pPr>
        <w:widowControl/>
        <w:spacing w:line="360" w:lineRule="atLeast"/>
        <w:ind w:firstLine="482" w:firstLineChars="200"/>
        <w:jc w:val="left"/>
        <w:rPr>
          <w:rFonts w:ascii="Times New Roman" w:hAnsi="Times New Roman" w:cs="Times New Roman"/>
          <w:color w:val="000000"/>
          <w:szCs w:val="21"/>
        </w:rPr>
      </w:pPr>
      <w:r>
        <w:rPr>
          <w:rFonts w:ascii="宋体" w:hAnsi="宋体" w:eastAsia="宋体" w:cs="宋体"/>
          <w:b/>
          <w:bCs/>
          <w:color w:val="000000"/>
          <w:kern w:val="0"/>
          <w:sz w:val="24"/>
        </w:rPr>
        <w:t>2 检验依据</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4735"/>
        <w:gridCol w:w="3894"/>
      </w:tblGrid>
      <w:tr w14:paraId="5D29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19" w:type="pct"/>
          </w:tcPr>
          <w:p w14:paraId="7677A813">
            <w:pPr>
              <w:widowControl/>
              <w:spacing w:line="360" w:lineRule="atLeast"/>
              <w:jc w:val="center"/>
              <w:rPr>
                <w:rFonts w:ascii="宋体" w:hAnsi="宋体" w:eastAsia="宋体" w:cs="宋体"/>
                <w:color w:val="000000"/>
                <w:kern w:val="0"/>
                <w:sz w:val="24"/>
              </w:rPr>
            </w:pPr>
            <w:bookmarkStart w:id="2" w:name="OLE_LINK74" w:colFirst="2" w:colLast="2"/>
            <w:bookmarkStart w:id="3" w:name="_Hlk194506580"/>
            <w:bookmarkStart w:id="4" w:name="OLE_LINK75" w:colFirst="2" w:colLast="2"/>
            <w:r>
              <w:rPr>
                <w:rFonts w:ascii="宋体" w:hAnsi="宋体" w:eastAsia="宋体" w:cs="宋体"/>
                <w:color w:val="000000"/>
                <w:kern w:val="0"/>
                <w:sz w:val="24"/>
              </w:rPr>
              <w:t>序号</w:t>
            </w:r>
          </w:p>
        </w:tc>
        <w:tc>
          <w:tcPr>
            <w:tcW w:w="2403" w:type="pct"/>
          </w:tcPr>
          <w:p w14:paraId="3C64A165">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检验项目</w:t>
            </w:r>
          </w:p>
        </w:tc>
        <w:tc>
          <w:tcPr>
            <w:tcW w:w="1976" w:type="pct"/>
          </w:tcPr>
          <w:p w14:paraId="4572A473">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检验方法</w:t>
            </w:r>
          </w:p>
        </w:tc>
      </w:tr>
      <w:tr w14:paraId="5D66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5C62617F">
            <w:pPr>
              <w:widowControl/>
              <w:spacing w:line="360" w:lineRule="atLeast"/>
              <w:jc w:val="center"/>
              <w:rPr>
                <w:rFonts w:ascii="宋体" w:hAnsi="宋体" w:eastAsia="宋体" w:cs="宋体"/>
                <w:color w:val="000000"/>
                <w:kern w:val="0"/>
                <w:sz w:val="24"/>
              </w:rPr>
            </w:pPr>
            <w:bookmarkStart w:id="5" w:name="OLE_LINK46" w:colFirst="2" w:colLast="2"/>
            <w:r>
              <w:rPr>
                <w:rFonts w:hint="eastAsia" w:ascii="宋体" w:hAnsi="宋体" w:eastAsia="宋体" w:cs="宋体"/>
                <w:color w:val="000000"/>
                <w:kern w:val="0"/>
                <w:sz w:val="24"/>
              </w:rPr>
              <w:t>1</w:t>
            </w:r>
          </w:p>
        </w:tc>
        <w:tc>
          <w:tcPr>
            <w:tcW w:w="2403" w:type="pct"/>
            <w:vAlign w:val="center"/>
          </w:tcPr>
          <w:p w14:paraId="3B7609C5">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标志</w:t>
            </w:r>
            <w:r>
              <w:rPr>
                <w:rFonts w:hint="eastAsia" w:ascii="宋体" w:hAnsi="宋体" w:eastAsia="宋体" w:cs="宋体"/>
                <w:color w:val="000000"/>
                <w:kern w:val="0"/>
                <w:sz w:val="24"/>
              </w:rPr>
              <w:t>说明</w:t>
            </w:r>
          </w:p>
        </w:tc>
        <w:tc>
          <w:tcPr>
            <w:tcW w:w="1976" w:type="pct"/>
            <w:vAlign w:val="center"/>
          </w:tcPr>
          <w:p w14:paraId="23F13EE9">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AF0CD5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4706.8-2008</w:t>
            </w:r>
          </w:p>
        </w:tc>
      </w:tr>
      <w:bookmarkEnd w:id="5"/>
      <w:tr w14:paraId="0694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312BE23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2403" w:type="pct"/>
            <w:vAlign w:val="center"/>
          </w:tcPr>
          <w:p w14:paraId="78F2AC2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对触及带电部件的防护</w:t>
            </w:r>
          </w:p>
        </w:tc>
        <w:tc>
          <w:tcPr>
            <w:tcW w:w="1976" w:type="pct"/>
            <w:vAlign w:val="center"/>
          </w:tcPr>
          <w:p w14:paraId="3ABE7E54">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2F80106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4706.8-2008</w:t>
            </w:r>
          </w:p>
        </w:tc>
      </w:tr>
      <w:tr w14:paraId="2847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50CA064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2403" w:type="pct"/>
            <w:vAlign w:val="center"/>
          </w:tcPr>
          <w:p w14:paraId="257C3E6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工作温度下的泄漏电流和电气强度</w:t>
            </w:r>
          </w:p>
        </w:tc>
        <w:tc>
          <w:tcPr>
            <w:tcW w:w="1976" w:type="pct"/>
            <w:vAlign w:val="center"/>
          </w:tcPr>
          <w:p w14:paraId="22CCE31A">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21849BC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4706.8-2008</w:t>
            </w:r>
          </w:p>
        </w:tc>
      </w:tr>
      <w:tr w14:paraId="0FC9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33539FA2">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2403" w:type="pct"/>
            <w:vAlign w:val="center"/>
          </w:tcPr>
          <w:p w14:paraId="3240FC9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机械强度</w:t>
            </w:r>
          </w:p>
        </w:tc>
        <w:tc>
          <w:tcPr>
            <w:tcW w:w="1976" w:type="pct"/>
            <w:vAlign w:val="center"/>
          </w:tcPr>
          <w:p w14:paraId="3B9AB654">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87DBE8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4706.8-2008</w:t>
            </w:r>
          </w:p>
        </w:tc>
      </w:tr>
      <w:tr w14:paraId="1607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53DBB74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2403" w:type="pct"/>
            <w:vAlign w:val="center"/>
          </w:tcPr>
          <w:p w14:paraId="6001B3E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稳定性和机械危险</w:t>
            </w:r>
          </w:p>
        </w:tc>
        <w:tc>
          <w:tcPr>
            <w:tcW w:w="1976" w:type="pct"/>
            <w:vAlign w:val="center"/>
          </w:tcPr>
          <w:p w14:paraId="63B8416B">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05ECAC8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4706.8-2008</w:t>
            </w:r>
          </w:p>
        </w:tc>
      </w:tr>
      <w:tr w14:paraId="2697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25669FE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2403" w:type="pct"/>
            <w:vAlign w:val="center"/>
          </w:tcPr>
          <w:p w14:paraId="77B7B09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接地措施</w:t>
            </w:r>
          </w:p>
        </w:tc>
        <w:tc>
          <w:tcPr>
            <w:tcW w:w="1976" w:type="pct"/>
            <w:vAlign w:val="center"/>
          </w:tcPr>
          <w:p w14:paraId="29394588">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B88F6A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4706.8-2008</w:t>
            </w:r>
          </w:p>
        </w:tc>
      </w:tr>
      <w:tr w14:paraId="3DDE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4812AA2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2403" w:type="pct"/>
            <w:vAlign w:val="center"/>
          </w:tcPr>
          <w:p w14:paraId="704F756D">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电气间隙、爬电距离和固体绝缘</w:t>
            </w:r>
          </w:p>
        </w:tc>
        <w:tc>
          <w:tcPr>
            <w:tcW w:w="1976" w:type="pct"/>
            <w:vAlign w:val="center"/>
          </w:tcPr>
          <w:p w14:paraId="10ED51A0">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755D12C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4706.8-2008</w:t>
            </w:r>
          </w:p>
        </w:tc>
      </w:tr>
      <w:bookmarkEnd w:id="2"/>
      <w:bookmarkEnd w:id="3"/>
      <w:bookmarkEnd w:id="4"/>
    </w:tbl>
    <w:p w14:paraId="06A61E5C">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执行企业标准、团体标准、地方标准的产品，检验项目参照上述内容执行。</w:t>
      </w:r>
    </w:p>
    <w:p w14:paraId="128747E9">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5491B785">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3 判定规则</w:t>
      </w:r>
    </w:p>
    <w:p w14:paraId="091A49E8">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3.1依据标准</w:t>
      </w:r>
    </w:p>
    <w:p w14:paraId="30938ECB">
      <w:pPr>
        <w:widowControl/>
        <w:spacing w:line="360" w:lineRule="atLeast"/>
        <w:ind w:firstLine="480" w:firstLineChars="200"/>
        <w:jc w:val="left"/>
        <w:rPr>
          <w:rFonts w:hint="eastAsia" w:ascii="宋体" w:hAnsi="宋体" w:eastAsia="宋体" w:cs="宋体"/>
          <w:color w:val="000000"/>
          <w:kern w:val="0"/>
          <w:sz w:val="24"/>
        </w:rPr>
      </w:pPr>
      <w:r>
        <w:rPr>
          <w:rFonts w:ascii="宋体" w:hAnsi="宋体" w:eastAsia="宋体" w:cs="宋体"/>
          <w:color w:val="000000"/>
          <w:kern w:val="0"/>
          <w:sz w:val="24"/>
        </w:rPr>
        <w:t>GB 4706.1—2005 家用和类似用途电器的安全  第1部分：通用要求</w:t>
      </w:r>
    </w:p>
    <w:p w14:paraId="4994DB31">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GB 4706.8-2008 家用和类似用途电器的安全 电热毯、电热垫及类似柔性发热器具的特殊要求</w:t>
      </w:r>
    </w:p>
    <w:p w14:paraId="28523D4F">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现行有效的企业标准、团体标准、地方标准及产品明示质量要求</w:t>
      </w:r>
    </w:p>
    <w:p w14:paraId="608AC69F">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3.2判定原则</w:t>
      </w:r>
    </w:p>
    <w:p w14:paraId="31D1FD7D">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3408587B">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若被检产品明示的质量要求高于本细则中检验项目依据的标准要求时，应按被检产品明示的质量要求判定。</w:t>
      </w:r>
    </w:p>
    <w:p w14:paraId="02F6F4F3">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若被检产品明示的质量要求低于本细则中检验项目依据的强制性标准要求时，应按照强制性标准要求判定。</w:t>
      </w:r>
    </w:p>
    <w:p w14:paraId="76D62CBE">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若被检产品明示的质量要求低于或包含本细则中检验项目依据的推荐性标准要求时，应以被检产品明示的质量要求判定。</w:t>
      </w:r>
    </w:p>
    <w:p w14:paraId="21D480C5">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若被检产品明示的质量要求缺少本细则中检验项目依据的强制性标准要求时，应按照强制性标准要求判定。</w:t>
      </w:r>
    </w:p>
    <w:p w14:paraId="3C85686B">
      <w:pPr>
        <w:widowControl/>
        <w:spacing w:line="360" w:lineRule="atLeast"/>
        <w:ind w:firstLine="480" w:firstLineChars="200"/>
        <w:jc w:val="left"/>
        <w:rPr>
          <w:rFonts w:ascii="宋体" w:hAnsi="宋体" w:eastAsia="宋体" w:cs="宋体"/>
          <w:b/>
          <w:bCs/>
          <w:color w:val="000000"/>
          <w:kern w:val="0"/>
          <w:sz w:val="24"/>
        </w:rPr>
      </w:pPr>
      <w:r>
        <w:rPr>
          <w:rFonts w:ascii="宋体" w:hAnsi="宋体" w:eastAsia="宋体" w:cs="宋体"/>
          <w:color w:val="000000"/>
          <w:kern w:val="0"/>
          <w:sz w:val="24"/>
        </w:rPr>
        <w:t>若被检产品明示的质量要求缺少本细则中检验项目依据的推荐性标准要求时，该项目不参与判定。</w:t>
      </w:r>
    </w:p>
    <w:p w14:paraId="34252E77">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4 附则</w:t>
      </w:r>
      <w:bookmarkStart w:id="6" w:name="OLE_LINK41"/>
      <w:bookmarkStart w:id="7" w:name="OLE_LINK42"/>
    </w:p>
    <w:p w14:paraId="4C3BF0CE">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本细则代替的</w:t>
      </w:r>
      <w:bookmarkEnd w:id="6"/>
      <w:bookmarkEnd w:id="7"/>
      <w:r>
        <w:rPr>
          <w:rFonts w:ascii="宋体" w:hAnsi="宋体" w:eastAsia="宋体" w:cs="宋体"/>
          <w:color w:val="000000"/>
          <w:kern w:val="0"/>
          <w:sz w:val="24"/>
        </w:rPr>
        <w:t>《电热毯产品质量监督抽查实施细则（2025年版）》。</w:t>
      </w:r>
    </w:p>
    <w:p w14:paraId="3384BEF7">
      <w:pPr>
        <w:widowControl/>
        <w:spacing w:line="360" w:lineRule="atLeast"/>
        <w:ind w:firstLine="480" w:firstLineChars="200"/>
        <w:jc w:val="left"/>
        <w:rPr>
          <w:rFonts w:hint="eastAsia" w:ascii="宋体" w:hAnsi="宋体" w:eastAsia="宋体" w:cs="宋体"/>
          <w:color w:val="000000"/>
          <w:kern w:val="0"/>
          <w:sz w:val="24"/>
        </w:rPr>
      </w:pPr>
    </w:p>
    <w:p w14:paraId="69BECDAE">
      <w:pPr>
        <w:widowControl/>
        <w:spacing w:line="360" w:lineRule="atLeast"/>
        <w:ind w:firstLine="480" w:firstLineChars="200"/>
        <w:jc w:val="left"/>
        <w:rPr>
          <w:rFonts w:hint="eastAsia" w:ascii="宋体" w:hAnsi="宋体" w:eastAsia="宋体" w:cs="宋体"/>
          <w:color w:val="000000"/>
          <w:kern w:val="0"/>
          <w:sz w:val="24"/>
        </w:rPr>
      </w:pPr>
    </w:p>
    <w:p w14:paraId="51941179">
      <w:pPr>
        <w:widowControl/>
        <w:spacing w:line="360" w:lineRule="atLeast"/>
        <w:ind w:firstLine="480" w:firstLineChars="200"/>
        <w:jc w:val="left"/>
        <w:rPr>
          <w:rFonts w:hint="eastAsia" w:ascii="宋体" w:hAnsi="宋体" w:eastAsia="宋体" w:cs="宋体"/>
          <w:color w:val="000000"/>
          <w:kern w:val="0"/>
          <w:sz w:val="24"/>
        </w:rPr>
      </w:pPr>
    </w:p>
    <w:p w14:paraId="5D48241D">
      <w:pPr>
        <w:widowControl/>
        <w:spacing w:line="360" w:lineRule="atLeast"/>
        <w:ind w:firstLine="480" w:firstLineChars="200"/>
        <w:jc w:val="left"/>
        <w:rPr>
          <w:rFonts w:hint="eastAsia" w:ascii="宋体" w:hAnsi="宋体" w:eastAsia="宋体" w:cs="宋体"/>
          <w:color w:val="000000"/>
          <w:kern w:val="0"/>
          <w:sz w:val="24"/>
        </w:rPr>
      </w:pPr>
    </w:p>
    <w:p w14:paraId="1CA6D406">
      <w:pPr>
        <w:widowControl/>
        <w:spacing w:line="360" w:lineRule="atLeast"/>
        <w:ind w:firstLine="480" w:firstLineChars="200"/>
        <w:jc w:val="left"/>
        <w:rPr>
          <w:rFonts w:hint="eastAsia" w:ascii="宋体" w:hAnsi="宋体" w:eastAsia="宋体" w:cs="宋体"/>
          <w:color w:val="000000"/>
          <w:kern w:val="0"/>
          <w:sz w:val="24"/>
        </w:rPr>
      </w:pPr>
    </w:p>
    <w:p w14:paraId="0C734EF7">
      <w:pPr>
        <w:widowControl/>
        <w:spacing w:line="360" w:lineRule="atLeast"/>
        <w:ind w:firstLine="480" w:firstLineChars="200"/>
        <w:jc w:val="left"/>
        <w:rPr>
          <w:rFonts w:hint="eastAsia" w:ascii="宋体" w:hAnsi="宋体" w:eastAsia="宋体" w:cs="宋体"/>
          <w:color w:val="000000"/>
          <w:kern w:val="0"/>
          <w:sz w:val="24"/>
        </w:rPr>
      </w:pPr>
    </w:p>
    <w:p w14:paraId="33299C53">
      <w:pPr>
        <w:widowControl/>
        <w:spacing w:line="360" w:lineRule="atLeast"/>
        <w:ind w:firstLine="480" w:firstLineChars="200"/>
        <w:jc w:val="left"/>
        <w:rPr>
          <w:rFonts w:hint="eastAsia" w:ascii="宋体" w:hAnsi="宋体" w:eastAsia="宋体" w:cs="宋体"/>
          <w:color w:val="000000"/>
          <w:kern w:val="0"/>
          <w:sz w:val="24"/>
        </w:rPr>
      </w:pPr>
    </w:p>
    <w:p w14:paraId="3B0AFDDF">
      <w:pPr>
        <w:widowControl/>
        <w:spacing w:line="360" w:lineRule="atLeast"/>
        <w:ind w:firstLine="480" w:firstLineChars="200"/>
        <w:jc w:val="left"/>
        <w:rPr>
          <w:rFonts w:hint="eastAsia" w:ascii="宋体" w:hAnsi="宋体" w:eastAsia="宋体" w:cs="宋体"/>
          <w:color w:val="000000"/>
          <w:kern w:val="0"/>
          <w:sz w:val="24"/>
        </w:rPr>
      </w:pPr>
    </w:p>
    <w:p w14:paraId="7604B270">
      <w:pPr>
        <w:widowControl/>
        <w:spacing w:line="360" w:lineRule="atLeast"/>
        <w:ind w:firstLine="480" w:firstLineChars="200"/>
        <w:jc w:val="left"/>
        <w:rPr>
          <w:rFonts w:hint="eastAsia" w:ascii="宋体" w:hAnsi="宋体" w:eastAsia="宋体" w:cs="宋体"/>
          <w:color w:val="000000"/>
          <w:kern w:val="0"/>
          <w:sz w:val="24"/>
        </w:rPr>
      </w:pPr>
    </w:p>
    <w:p w14:paraId="49C20C5F">
      <w:pPr>
        <w:widowControl/>
        <w:spacing w:line="360" w:lineRule="atLeast"/>
        <w:ind w:firstLine="480" w:firstLineChars="200"/>
        <w:jc w:val="left"/>
        <w:rPr>
          <w:rFonts w:hint="eastAsia" w:ascii="宋体" w:hAnsi="宋体" w:eastAsia="宋体" w:cs="宋体"/>
          <w:color w:val="000000"/>
          <w:kern w:val="0"/>
          <w:sz w:val="24"/>
        </w:rPr>
      </w:pPr>
    </w:p>
    <w:p w14:paraId="2D6E631F">
      <w:pPr>
        <w:widowControl/>
        <w:spacing w:line="360" w:lineRule="atLeast"/>
        <w:ind w:firstLine="480" w:firstLineChars="200"/>
        <w:jc w:val="left"/>
        <w:rPr>
          <w:rFonts w:hint="eastAsia" w:ascii="宋体" w:hAnsi="宋体" w:eastAsia="宋体" w:cs="宋体"/>
          <w:color w:val="000000"/>
          <w:kern w:val="0"/>
          <w:sz w:val="24"/>
        </w:rPr>
      </w:pPr>
    </w:p>
    <w:p w14:paraId="289EEE55">
      <w:pPr>
        <w:widowControl/>
        <w:spacing w:line="360" w:lineRule="atLeast"/>
        <w:ind w:firstLine="480" w:firstLineChars="200"/>
        <w:jc w:val="left"/>
        <w:rPr>
          <w:rFonts w:hint="eastAsia" w:ascii="宋体" w:hAnsi="宋体" w:eastAsia="宋体" w:cs="宋体"/>
          <w:color w:val="000000"/>
          <w:kern w:val="0"/>
          <w:sz w:val="24"/>
        </w:rPr>
      </w:pPr>
    </w:p>
    <w:p w14:paraId="1E96A735">
      <w:pPr>
        <w:widowControl/>
        <w:spacing w:line="360" w:lineRule="atLeast"/>
        <w:ind w:firstLine="480" w:firstLineChars="200"/>
        <w:jc w:val="left"/>
        <w:rPr>
          <w:rFonts w:hint="eastAsia" w:ascii="宋体" w:hAnsi="宋体" w:eastAsia="宋体" w:cs="宋体"/>
          <w:color w:val="000000"/>
          <w:kern w:val="0"/>
          <w:sz w:val="24"/>
        </w:rPr>
      </w:pPr>
    </w:p>
    <w:p w14:paraId="7C6F484C">
      <w:pPr>
        <w:widowControl/>
        <w:spacing w:line="360" w:lineRule="atLeast"/>
        <w:ind w:firstLine="480" w:firstLineChars="200"/>
        <w:jc w:val="left"/>
        <w:rPr>
          <w:rFonts w:hint="eastAsia" w:ascii="宋体" w:hAnsi="宋体" w:eastAsia="宋体" w:cs="宋体"/>
          <w:color w:val="000000"/>
          <w:kern w:val="0"/>
          <w:sz w:val="24"/>
        </w:rPr>
      </w:pPr>
    </w:p>
    <w:p w14:paraId="14D76D08">
      <w:pPr>
        <w:widowControl/>
        <w:spacing w:line="360" w:lineRule="atLeast"/>
        <w:ind w:firstLine="480" w:firstLineChars="200"/>
        <w:jc w:val="left"/>
        <w:rPr>
          <w:rFonts w:hint="eastAsia" w:ascii="宋体" w:hAnsi="宋体" w:eastAsia="宋体" w:cs="宋体"/>
          <w:color w:val="000000"/>
          <w:kern w:val="0"/>
          <w:sz w:val="24"/>
        </w:rPr>
      </w:pPr>
    </w:p>
    <w:p w14:paraId="178232BF">
      <w:pPr>
        <w:widowControl/>
        <w:spacing w:line="360" w:lineRule="atLeast"/>
        <w:ind w:firstLine="480" w:firstLineChars="200"/>
        <w:jc w:val="left"/>
        <w:rPr>
          <w:rFonts w:hint="eastAsia" w:ascii="宋体" w:hAnsi="宋体" w:eastAsia="宋体" w:cs="宋体"/>
          <w:color w:val="000000"/>
          <w:kern w:val="0"/>
          <w:sz w:val="24"/>
        </w:rPr>
      </w:pPr>
    </w:p>
    <w:p w14:paraId="7556C97B">
      <w:pPr>
        <w:widowControl/>
        <w:spacing w:line="360" w:lineRule="atLeast"/>
        <w:ind w:firstLine="480" w:firstLineChars="200"/>
        <w:jc w:val="left"/>
        <w:rPr>
          <w:rFonts w:hint="eastAsia" w:ascii="宋体" w:hAnsi="宋体" w:eastAsia="宋体" w:cs="宋体"/>
          <w:color w:val="000000"/>
          <w:kern w:val="0"/>
          <w:sz w:val="24"/>
        </w:rPr>
      </w:pPr>
    </w:p>
    <w:p w14:paraId="6BFE7338">
      <w:pPr>
        <w:widowControl/>
        <w:spacing w:line="360" w:lineRule="atLeast"/>
        <w:ind w:firstLine="480" w:firstLineChars="200"/>
        <w:jc w:val="left"/>
        <w:rPr>
          <w:rFonts w:hint="eastAsia" w:ascii="宋体" w:hAnsi="宋体" w:eastAsia="宋体" w:cs="宋体"/>
          <w:color w:val="000000"/>
          <w:kern w:val="0"/>
          <w:sz w:val="24"/>
        </w:rPr>
      </w:pPr>
    </w:p>
    <w:p w14:paraId="69264E1E">
      <w:pPr>
        <w:widowControl/>
        <w:spacing w:line="360" w:lineRule="atLeast"/>
        <w:ind w:firstLine="480" w:firstLineChars="200"/>
        <w:jc w:val="left"/>
        <w:rPr>
          <w:rFonts w:hint="eastAsia" w:ascii="宋体" w:hAnsi="宋体" w:eastAsia="宋体" w:cs="宋体"/>
          <w:color w:val="000000"/>
          <w:kern w:val="0"/>
          <w:sz w:val="24"/>
        </w:rPr>
      </w:pPr>
    </w:p>
    <w:p w14:paraId="3292B2C4">
      <w:pPr>
        <w:widowControl/>
        <w:spacing w:line="360" w:lineRule="atLeast"/>
        <w:ind w:firstLine="480" w:firstLineChars="200"/>
        <w:jc w:val="left"/>
        <w:rPr>
          <w:rFonts w:hint="eastAsia" w:ascii="宋体" w:hAnsi="宋体" w:eastAsia="宋体" w:cs="宋体"/>
          <w:color w:val="000000"/>
          <w:kern w:val="0"/>
          <w:sz w:val="24"/>
        </w:rPr>
      </w:pPr>
    </w:p>
    <w:p w14:paraId="31EB400C">
      <w:pPr>
        <w:widowControl/>
        <w:spacing w:line="360" w:lineRule="atLeast"/>
        <w:ind w:firstLine="480" w:firstLineChars="200"/>
        <w:jc w:val="left"/>
        <w:rPr>
          <w:rFonts w:hint="eastAsia" w:ascii="宋体" w:hAnsi="宋体" w:eastAsia="宋体" w:cs="宋体"/>
          <w:color w:val="000000"/>
          <w:kern w:val="0"/>
          <w:sz w:val="24"/>
        </w:rPr>
      </w:pPr>
    </w:p>
    <w:p w14:paraId="6390AACF">
      <w:pPr>
        <w:widowControl/>
        <w:spacing w:line="360" w:lineRule="atLeast"/>
        <w:ind w:firstLine="480" w:firstLineChars="200"/>
        <w:jc w:val="left"/>
        <w:rPr>
          <w:rFonts w:hint="eastAsia" w:ascii="宋体" w:hAnsi="宋体" w:eastAsia="宋体" w:cs="宋体"/>
          <w:color w:val="000000"/>
          <w:kern w:val="0"/>
          <w:sz w:val="24"/>
        </w:rPr>
      </w:pPr>
    </w:p>
    <w:p w14:paraId="236DB819">
      <w:pPr>
        <w:widowControl/>
        <w:spacing w:line="360" w:lineRule="atLeast"/>
        <w:ind w:firstLine="480" w:firstLineChars="200"/>
        <w:jc w:val="left"/>
        <w:rPr>
          <w:rFonts w:hint="eastAsia" w:ascii="宋体" w:hAnsi="宋体" w:eastAsia="宋体" w:cs="宋体"/>
          <w:color w:val="000000"/>
          <w:kern w:val="0"/>
          <w:sz w:val="24"/>
        </w:rPr>
      </w:pPr>
    </w:p>
    <w:p w14:paraId="4DF05F3A">
      <w:pPr>
        <w:widowControl/>
        <w:spacing w:line="360" w:lineRule="atLeast"/>
        <w:ind w:firstLine="480" w:firstLineChars="200"/>
        <w:jc w:val="left"/>
        <w:rPr>
          <w:rFonts w:hint="eastAsia" w:ascii="宋体" w:hAnsi="宋体" w:eastAsia="宋体" w:cs="宋体"/>
          <w:color w:val="000000"/>
          <w:kern w:val="0"/>
          <w:sz w:val="24"/>
        </w:rPr>
      </w:pPr>
    </w:p>
    <w:p w14:paraId="5004560D">
      <w:pPr>
        <w:widowControl/>
        <w:spacing w:line="360" w:lineRule="atLeast"/>
        <w:ind w:firstLine="480" w:firstLineChars="200"/>
        <w:jc w:val="left"/>
        <w:rPr>
          <w:rFonts w:hint="eastAsia" w:ascii="宋体" w:hAnsi="宋体" w:eastAsia="宋体" w:cs="宋体"/>
          <w:color w:val="000000"/>
          <w:kern w:val="0"/>
          <w:sz w:val="24"/>
        </w:rPr>
      </w:pPr>
    </w:p>
    <w:p w14:paraId="53AD92E5">
      <w:pPr>
        <w:widowControl/>
        <w:spacing w:line="360" w:lineRule="atLeast"/>
        <w:ind w:firstLine="480" w:firstLineChars="200"/>
        <w:jc w:val="left"/>
        <w:rPr>
          <w:rFonts w:hint="eastAsia" w:ascii="宋体" w:hAnsi="宋体" w:eastAsia="宋体" w:cs="宋体"/>
          <w:color w:val="000000"/>
          <w:kern w:val="0"/>
          <w:sz w:val="24"/>
        </w:rPr>
      </w:pPr>
    </w:p>
    <w:p w14:paraId="092F5CB2">
      <w:pPr>
        <w:widowControl/>
        <w:spacing w:line="360" w:lineRule="atLeast"/>
        <w:ind w:firstLine="480" w:firstLineChars="200"/>
        <w:jc w:val="left"/>
        <w:rPr>
          <w:rFonts w:hint="eastAsia" w:ascii="宋体" w:hAnsi="宋体" w:eastAsia="宋体" w:cs="宋体"/>
          <w:color w:val="000000"/>
          <w:kern w:val="0"/>
          <w:sz w:val="24"/>
        </w:rPr>
      </w:pPr>
    </w:p>
    <w:p w14:paraId="741507D3">
      <w:pPr>
        <w:widowControl/>
        <w:spacing w:line="360" w:lineRule="atLeast"/>
        <w:ind w:firstLine="480" w:firstLineChars="200"/>
        <w:jc w:val="left"/>
        <w:rPr>
          <w:rFonts w:hint="eastAsia" w:ascii="宋体" w:hAnsi="宋体" w:eastAsia="宋体" w:cs="宋体"/>
          <w:color w:val="000000"/>
          <w:kern w:val="0"/>
          <w:sz w:val="24"/>
        </w:rPr>
      </w:pPr>
    </w:p>
    <w:p w14:paraId="1706F7FE">
      <w:pPr>
        <w:widowControl/>
        <w:spacing w:line="360" w:lineRule="atLeast"/>
        <w:ind w:firstLine="480" w:firstLineChars="200"/>
        <w:jc w:val="left"/>
        <w:rPr>
          <w:rFonts w:hint="eastAsia" w:ascii="宋体" w:hAnsi="宋体" w:eastAsia="宋体" w:cs="宋体"/>
          <w:color w:val="000000"/>
          <w:kern w:val="0"/>
          <w:sz w:val="24"/>
        </w:rPr>
      </w:pPr>
    </w:p>
    <w:p w14:paraId="516AC78F">
      <w:pPr>
        <w:widowControl/>
        <w:spacing w:line="360" w:lineRule="atLeast"/>
        <w:ind w:firstLine="480" w:firstLineChars="200"/>
        <w:jc w:val="left"/>
        <w:rPr>
          <w:rFonts w:hint="eastAsia" w:ascii="宋体" w:hAnsi="宋体" w:eastAsia="宋体" w:cs="宋体"/>
          <w:color w:val="000000"/>
          <w:kern w:val="0"/>
          <w:sz w:val="24"/>
        </w:rPr>
      </w:pPr>
    </w:p>
    <w:p w14:paraId="621891A2">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r>
        <w:rPr>
          <w:rFonts w:hint="eastAsia" w:ascii="宋体" w:hAnsi="宋体" w:eastAsia="宋体" w:cs="宋体"/>
          <w:b/>
          <w:bCs/>
          <w:color w:val="000000"/>
          <w:kern w:val="0"/>
          <w:sz w:val="24"/>
        </w:rPr>
        <w:t>浴霸产品质量监督抽查实施细则（2026年版）</w:t>
      </w:r>
    </w:p>
    <w:p w14:paraId="6E268C7E">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1 抽样方法</w:t>
      </w:r>
    </w:p>
    <w:p w14:paraId="31E04F66">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以随机抽样的方式在被抽样生产者、销售者的待销产品中抽取。</w:t>
      </w:r>
    </w:p>
    <w:p w14:paraId="20F61FFF">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随机数一般可使用随机数表等方法产生。</w:t>
      </w:r>
    </w:p>
    <w:p w14:paraId="7AB5E23E">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每批次产品抽取样品5床（条），其中3床（条）为检验样品，2床（条）为备用样品。</w:t>
      </w:r>
    </w:p>
    <w:p w14:paraId="33C078FA">
      <w:pPr>
        <w:widowControl/>
        <w:spacing w:line="360" w:lineRule="atLeast"/>
        <w:ind w:firstLine="482" w:firstLineChars="200"/>
        <w:jc w:val="left"/>
        <w:rPr>
          <w:rFonts w:ascii="Times New Roman" w:hAnsi="Times New Roman" w:cs="Times New Roman"/>
          <w:color w:val="000000"/>
          <w:szCs w:val="21"/>
        </w:rPr>
      </w:pPr>
      <w:r>
        <w:rPr>
          <w:rFonts w:ascii="宋体" w:hAnsi="宋体" w:eastAsia="宋体" w:cs="宋体"/>
          <w:b/>
          <w:bCs/>
          <w:color w:val="000000"/>
          <w:kern w:val="0"/>
          <w:sz w:val="24"/>
        </w:rPr>
        <w:t>2 检验依据</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4735"/>
        <w:gridCol w:w="3894"/>
      </w:tblGrid>
      <w:tr w14:paraId="632A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19" w:type="pct"/>
          </w:tcPr>
          <w:p w14:paraId="1D645C94">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序号</w:t>
            </w:r>
          </w:p>
        </w:tc>
        <w:tc>
          <w:tcPr>
            <w:tcW w:w="2403" w:type="pct"/>
          </w:tcPr>
          <w:p w14:paraId="28DBC67A">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检验项目</w:t>
            </w:r>
          </w:p>
        </w:tc>
        <w:tc>
          <w:tcPr>
            <w:tcW w:w="1976" w:type="pct"/>
          </w:tcPr>
          <w:p w14:paraId="31FC7850">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检验方法</w:t>
            </w:r>
          </w:p>
        </w:tc>
      </w:tr>
      <w:tr w14:paraId="1ABA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7191456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2403" w:type="pct"/>
            <w:vAlign w:val="center"/>
          </w:tcPr>
          <w:p w14:paraId="3FB7EF4A">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标志</w:t>
            </w:r>
            <w:r>
              <w:rPr>
                <w:rFonts w:hint="eastAsia" w:ascii="宋体" w:hAnsi="宋体" w:eastAsia="宋体" w:cs="宋体"/>
                <w:color w:val="000000"/>
                <w:kern w:val="0"/>
                <w:sz w:val="24"/>
              </w:rPr>
              <w:t>说明</w:t>
            </w:r>
          </w:p>
        </w:tc>
        <w:tc>
          <w:tcPr>
            <w:tcW w:w="1976" w:type="pct"/>
            <w:vAlign w:val="center"/>
          </w:tcPr>
          <w:p w14:paraId="6F98009E">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06D0A0B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r w14:paraId="194F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06C9DD9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2403" w:type="pct"/>
            <w:vAlign w:val="center"/>
          </w:tcPr>
          <w:p w14:paraId="269B79D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对触及带电部件的防护</w:t>
            </w:r>
          </w:p>
        </w:tc>
        <w:tc>
          <w:tcPr>
            <w:tcW w:w="1976" w:type="pct"/>
            <w:vAlign w:val="center"/>
          </w:tcPr>
          <w:p w14:paraId="77C648E1">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3954366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r w14:paraId="1CFD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65F63C3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2403" w:type="pct"/>
            <w:vAlign w:val="center"/>
          </w:tcPr>
          <w:p w14:paraId="4351200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工作温度下的泄漏电流和电气强度</w:t>
            </w:r>
          </w:p>
        </w:tc>
        <w:tc>
          <w:tcPr>
            <w:tcW w:w="1976" w:type="pct"/>
            <w:vAlign w:val="center"/>
          </w:tcPr>
          <w:p w14:paraId="4831B792">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4767BC2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r w14:paraId="48154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5E6A369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2403" w:type="pct"/>
            <w:vAlign w:val="center"/>
          </w:tcPr>
          <w:p w14:paraId="259B05D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机械强度</w:t>
            </w:r>
          </w:p>
        </w:tc>
        <w:tc>
          <w:tcPr>
            <w:tcW w:w="1976" w:type="pct"/>
            <w:vAlign w:val="center"/>
          </w:tcPr>
          <w:p w14:paraId="2611A8A8">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03607A2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r w14:paraId="3E94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48AAC5B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2403" w:type="pct"/>
            <w:vAlign w:val="center"/>
          </w:tcPr>
          <w:p w14:paraId="4CAEDB5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稳定性和机械危险</w:t>
            </w:r>
          </w:p>
        </w:tc>
        <w:tc>
          <w:tcPr>
            <w:tcW w:w="1976" w:type="pct"/>
            <w:vAlign w:val="center"/>
          </w:tcPr>
          <w:p w14:paraId="67153A4A">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779434B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r w14:paraId="7647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7C77FE90">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2403" w:type="pct"/>
            <w:vAlign w:val="center"/>
          </w:tcPr>
          <w:p w14:paraId="5D948A3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接地措施</w:t>
            </w:r>
          </w:p>
        </w:tc>
        <w:tc>
          <w:tcPr>
            <w:tcW w:w="1976" w:type="pct"/>
            <w:vAlign w:val="center"/>
          </w:tcPr>
          <w:p w14:paraId="4C1A89C5">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4A62C9D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r w14:paraId="3C78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9" w:type="pct"/>
            <w:vAlign w:val="center"/>
          </w:tcPr>
          <w:p w14:paraId="2B729B5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2403" w:type="pct"/>
            <w:vAlign w:val="center"/>
          </w:tcPr>
          <w:p w14:paraId="3C07A79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电气间隙、爬电距离和固体绝缘</w:t>
            </w:r>
          </w:p>
        </w:tc>
        <w:tc>
          <w:tcPr>
            <w:tcW w:w="1976" w:type="pct"/>
            <w:vAlign w:val="center"/>
          </w:tcPr>
          <w:p w14:paraId="16893489">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03F2F47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4706.23-2007</w:t>
            </w:r>
          </w:p>
        </w:tc>
      </w:tr>
    </w:tbl>
    <w:p w14:paraId="10DCE122">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执行企业标准、团体标准、地方标准的产品，检验项目参照上述内容执行。</w:t>
      </w:r>
    </w:p>
    <w:p w14:paraId="0B924C4E">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19EA3455">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3 判定规则</w:t>
      </w:r>
    </w:p>
    <w:p w14:paraId="1CF6AD73">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3.1依据标准</w:t>
      </w:r>
    </w:p>
    <w:p w14:paraId="4308F85B">
      <w:pPr>
        <w:widowControl/>
        <w:spacing w:line="360" w:lineRule="atLeast"/>
        <w:ind w:firstLine="480" w:firstLineChars="200"/>
        <w:jc w:val="left"/>
        <w:rPr>
          <w:rFonts w:hint="eastAsia" w:ascii="宋体" w:hAnsi="宋体" w:eastAsia="宋体" w:cs="宋体"/>
          <w:color w:val="000000"/>
          <w:kern w:val="0"/>
          <w:sz w:val="24"/>
        </w:rPr>
      </w:pPr>
      <w:r>
        <w:rPr>
          <w:rFonts w:ascii="宋体" w:hAnsi="宋体" w:eastAsia="宋体" w:cs="宋体"/>
          <w:color w:val="000000"/>
          <w:kern w:val="0"/>
          <w:sz w:val="24"/>
        </w:rPr>
        <w:t>GB 4706.1—2005 家用和类似用途电器的安全  第1部分：通用要求</w:t>
      </w:r>
    </w:p>
    <w:p w14:paraId="3F3636E9">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4706.23-2007 家用和类似用途电器的安全  第2部分  室内加热器的特殊要求</w:t>
      </w:r>
    </w:p>
    <w:p w14:paraId="3F865E82">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现行有效的企业标准、团体标准、地方标准及产品明示质量要求</w:t>
      </w:r>
    </w:p>
    <w:p w14:paraId="43FB4A64">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3.2判定原则</w:t>
      </w:r>
    </w:p>
    <w:p w14:paraId="2176ABB1">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67F4AE5C">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若被检产品明示的质量要求高于本细则中检验项目依据的标准要求时，应按被检产品明示的质量要求判定。</w:t>
      </w:r>
    </w:p>
    <w:p w14:paraId="708367E7">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若被检产品明示的质量要求低于本细则中检验项目依据的强制性标准要求时，应按照强制性标准要求判定。</w:t>
      </w:r>
    </w:p>
    <w:p w14:paraId="1A0F0ED0">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若被检产品明示的质量要求低于或包含本细则中检验项目依据的推荐性标准要求时，应以被检产品明示的质量要求判定。</w:t>
      </w:r>
    </w:p>
    <w:p w14:paraId="4ABF126D">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若被检产品明示的质量要求缺少本细则中检验项目依据的强制性标准要求时，应按照强制性标准要求判定。</w:t>
      </w:r>
    </w:p>
    <w:p w14:paraId="02180879">
      <w:pPr>
        <w:widowControl/>
        <w:spacing w:line="360" w:lineRule="atLeast"/>
        <w:ind w:firstLine="480" w:firstLineChars="200"/>
        <w:jc w:val="left"/>
        <w:rPr>
          <w:rFonts w:ascii="宋体" w:hAnsi="宋体" w:eastAsia="宋体" w:cs="宋体"/>
          <w:b/>
          <w:bCs/>
          <w:color w:val="000000"/>
          <w:kern w:val="0"/>
          <w:sz w:val="24"/>
        </w:rPr>
      </w:pPr>
      <w:r>
        <w:rPr>
          <w:rFonts w:ascii="宋体" w:hAnsi="宋体" w:eastAsia="宋体" w:cs="宋体"/>
          <w:color w:val="000000"/>
          <w:kern w:val="0"/>
          <w:sz w:val="24"/>
        </w:rPr>
        <w:t>若被检产品明示的质量要求缺少本细则中检验项目依据的推荐性标准要求时，该项目不参与判定。</w:t>
      </w:r>
    </w:p>
    <w:p w14:paraId="59A10FA0">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4 附则</w:t>
      </w:r>
    </w:p>
    <w:p w14:paraId="3485D9C0">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本细则代替的《</w:t>
      </w:r>
      <w:r>
        <w:rPr>
          <w:rFonts w:hint="eastAsia" w:ascii="宋体" w:hAnsi="宋体" w:eastAsia="宋体" w:cs="宋体"/>
          <w:color w:val="000000"/>
          <w:kern w:val="0"/>
          <w:sz w:val="24"/>
        </w:rPr>
        <w:t>浴</w:t>
      </w:r>
      <w:r>
        <w:rPr>
          <w:rFonts w:ascii="宋体" w:hAnsi="宋体" w:eastAsia="宋体" w:cs="宋体"/>
          <w:color w:val="000000"/>
          <w:kern w:val="0"/>
          <w:sz w:val="24"/>
        </w:rPr>
        <w:t>霸产品质量监督抽查实施细则（2025年版）》。</w:t>
      </w:r>
    </w:p>
    <w:p w14:paraId="2836F659">
      <w:pPr>
        <w:widowControl/>
        <w:numPr>
          <w:ilvl w:val="0"/>
          <w:numId w:val="1"/>
        </w:numPr>
        <w:spacing w:line="360" w:lineRule="atLeast"/>
        <w:ind w:left="0" w:leftChars="0" w:firstLine="420" w:firstLineChars="0"/>
        <w:jc w:val="left"/>
        <w:rPr>
          <w:color w:val="000000"/>
          <w:szCs w:val="21"/>
        </w:rPr>
      </w:pPr>
      <w:r>
        <w:rPr>
          <w:rFonts w:ascii="宋体" w:hAnsi="宋体" w:eastAsia="宋体" w:cs="宋体"/>
          <w:color w:val="000000"/>
          <w:kern w:val="0"/>
          <w:sz w:val="24"/>
        </w:rPr>
        <w:br w:type="page"/>
      </w:r>
      <w:r>
        <w:rPr>
          <w:rFonts w:hint="eastAsia" w:ascii="宋体" w:hAnsi="宋体" w:eastAsia="宋体" w:cs="宋体"/>
          <w:b/>
          <w:bCs/>
          <w:color w:val="000000"/>
          <w:kern w:val="0"/>
          <w:sz w:val="24"/>
        </w:rPr>
        <w:t>可移式通用灯具（含读写台灯）产品质量监督抽查实施细则（2026年版）</w:t>
      </w:r>
    </w:p>
    <w:p w14:paraId="2AE79FD2">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1 抽样方法</w:t>
      </w:r>
    </w:p>
    <w:p w14:paraId="381648CF">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以随机抽样的方式在被抽样生产者、销售者的待销产品中抽取。</w:t>
      </w:r>
    </w:p>
    <w:p w14:paraId="03B4E0CF">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随机数一般可使用随机数表等方法产生。</w:t>
      </w:r>
    </w:p>
    <w:p w14:paraId="130F6431">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每批次产品抽取样品3台，其中2台为检验样品，1台为备用样品。</w:t>
      </w:r>
    </w:p>
    <w:p w14:paraId="045A57F2">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2 检验依据</w:t>
      </w:r>
    </w:p>
    <w:p w14:paraId="281E5C4C">
      <w:pPr>
        <w:widowControl/>
        <w:spacing w:line="360" w:lineRule="atLeast"/>
        <w:ind w:firstLine="482" w:firstLineChars="200"/>
        <w:jc w:val="center"/>
        <w:rPr>
          <w:rFonts w:ascii="宋体" w:hAnsi="宋体" w:eastAsia="宋体" w:cs="宋体"/>
          <w:b/>
          <w:bCs/>
          <w:color w:val="000000"/>
          <w:kern w:val="0"/>
          <w:sz w:val="24"/>
        </w:rPr>
      </w:pPr>
      <w:r>
        <w:rPr>
          <w:rFonts w:hint="eastAsia" w:ascii="宋体" w:hAnsi="宋体" w:eastAsia="宋体" w:cs="宋体"/>
          <w:b/>
          <w:bCs/>
          <w:color w:val="000000"/>
          <w:kern w:val="0"/>
          <w:sz w:val="24"/>
        </w:rPr>
        <w:t>表1 可移式通用灯具（除读写台灯）</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3"/>
        <w:gridCol w:w="4216"/>
        <w:gridCol w:w="4401"/>
      </w:tblGrid>
      <w:tr w14:paraId="5D4C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blHeader/>
          <w:jc w:val="center"/>
        </w:trPr>
        <w:tc>
          <w:tcPr>
            <w:tcW w:w="626" w:type="pct"/>
            <w:vAlign w:val="center"/>
          </w:tcPr>
          <w:p w14:paraId="774C487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2140" w:type="pct"/>
            <w:vAlign w:val="center"/>
          </w:tcPr>
          <w:p w14:paraId="1B0A4F4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检验项目</w:t>
            </w:r>
          </w:p>
        </w:tc>
        <w:tc>
          <w:tcPr>
            <w:tcW w:w="2234" w:type="pct"/>
            <w:vAlign w:val="center"/>
          </w:tcPr>
          <w:p w14:paraId="23F9DD9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检验方法</w:t>
            </w:r>
          </w:p>
        </w:tc>
      </w:tr>
      <w:tr w14:paraId="78E0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14:paraId="6FDAF16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2140" w:type="pct"/>
            <w:vAlign w:val="center"/>
          </w:tcPr>
          <w:p w14:paraId="1F762818">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标记</w:t>
            </w:r>
          </w:p>
        </w:tc>
        <w:tc>
          <w:tcPr>
            <w:tcW w:w="2234" w:type="pct"/>
            <w:vAlign w:val="center"/>
          </w:tcPr>
          <w:p w14:paraId="2DB99CA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GB/T 7000.1—2023</w:t>
            </w:r>
          </w:p>
          <w:p w14:paraId="3F19C79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GB/T 7000.204—2023</w:t>
            </w:r>
          </w:p>
        </w:tc>
      </w:tr>
      <w:tr w14:paraId="77F1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14:paraId="43448700">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2140" w:type="pct"/>
            <w:vAlign w:val="center"/>
          </w:tcPr>
          <w:p w14:paraId="7C74CFA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防触电保护</w:t>
            </w:r>
          </w:p>
        </w:tc>
        <w:tc>
          <w:tcPr>
            <w:tcW w:w="2234" w:type="pct"/>
            <w:vAlign w:val="center"/>
          </w:tcPr>
          <w:p w14:paraId="6E52F0E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GB/T 7000.1—2023</w:t>
            </w:r>
          </w:p>
          <w:p w14:paraId="600DA4C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GB/T 7000.204—2023</w:t>
            </w:r>
          </w:p>
        </w:tc>
      </w:tr>
      <w:tr w14:paraId="6F71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6" w:type="pct"/>
            <w:vAlign w:val="center"/>
          </w:tcPr>
          <w:p w14:paraId="4C98A88D">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2140" w:type="pct"/>
            <w:vAlign w:val="center"/>
          </w:tcPr>
          <w:p w14:paraId="26E2C50F">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耐久性试验</w:t>
            </w:r>
          </w:p>
        </w:tc>
        <w:tc>
          <w:tcPr>
            <w:tcW w:w="2234" w:type="pct"/>
            <w:vAlign w:val="center"/>
          </w:tcPr>
          <w:p w14:paraId="23F896C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GB/T 7000.1—2023</w:t>
            </w:r>
          </w:p>
          <w:p w14:paraId="20A7524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GB/T 7000.204—2023</w:t>
            </w:r>
          </w:p>
        </w:tc>
      </w:tr>
      <w:tr w14:paraId="2234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26" w:type="pct"/>
            <w:vAlign w:val="center"/>
          </w:tcPr>
          <w:p w14:paraId="3F8CB29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2140" w:type="pct"/>
            <w:vAlign w:val="center"/>
          </w:tcPr>
          <w:p w14:paraId="5DF3E972">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耐热</w:t>
            </w:r>
          </w:p>
        </w:tc>
        <w:tc>
          <w:tcPr>
            <w:tcW w:w="2234" w:type="pct"/>
            <w:vAlign w:val="center"/>
          </w:tcPr>
          <w:p w14:paraId="68E4ED4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GB/T 7000.1—2023</w:t>
            </w:r>
          </w:p>
          <w:p w14:paraId="16C3CAD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GB/T 7000.204—2023</w:t>
            </w:r>
          </w:p>
        </w:tc>
      </w:tr>
      <w:tr w14:paraId="295B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26" w:type="pct"/>
            <w:vAlign w:val="center"/>
          </w:tcPr>
          <w:p w14:paraId="103D741A">
            <w:pPr>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2140" w:type="pct"/>
            <w:vAlign w:val="center"/>
          </w:tcPr>
          <w:p w14:paraId="3F67BEA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耐燃烧和防引燃</w:t>
            </w:r>
          </w:p>
        </w:tc>
        <w:tc>
          <w:tcPr>
            <w:tcW w:w="2234" w:type="pct"/>
            <w:vAlign w:val="center"/>
          </w:tcPr>
          <w:p w14:paraId="5D32A0DD">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GB/T 7000.1—2023</w:t>
            </w:r>
          </w:p>
          <w:p w14:paraId="7BF0B8A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GB/T 7000.204—2023</w:t>
            </w:r>
          </w:p>
        </w:tc>
      </w:tr>
      <w:tr w14:paraId="7963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26" w:type="pct"/>
            <w:vAlign w:val="center"/>
          </w:tcPr>
          <w:p w14:paraId="6089013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2140" w:type="pct"/>
            <w:vAlign w:val="center"/>
          </w:tcPr>
          <w:p w14:paraId="6E1601C6">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蓝光危害</w:t>
            </w:r>
          </w:p>
        </w:tc>
        <w:tc>
          <w:tcPr>
            <w:tcW w:w="2234" w:type="pct"/>
            <w:vAlign w:val="center"/>
          </w:tcPr>
          <w:p w14:paraId="110DF280">
            <w:pPr>
              <w:widowControl/>
              <w:spacing w:line="360" w:lineRule="atLeast"/>
              <w:jc w:val="center"/>
              <w:rPr>
                <w:rFonts w:hint="eastAsia" w:ascii="宋体" w:hAnsi="宋体" w:eastAsia="宋体" w:cs="宋体"/>
                <w:color w:val="000000"/>
                <w:kern w:val="0"/>
                <w:sz w:val="24"/>
              </w:rPr>
            </w:pPr>
            <w:r>
              <w:fldChar w:fldCharType="begin"/>
            </w:r>
            <w:r>
              <w:instrText xml:space="preserve"> HYPERLINK "http://standard.sist.org.cn/StdSearch/stdDetail.aspx?AppID=GB/Z%2039942-2021&amp;v=GB/Z%2039942$" \t "http://standard.sist.org.cn/StdSearch/stdSearchHome.aspx?OperType=1&amp;m=%u6807%u51C6&amp;t=%u9898%u5F55%u4FE1%u606F&amp;v=GB/_blank" </w:instrText>
            </w:r>
            <w:r>
              <w:fldChar w:fldCharType="separate"/>
            </w:r>
            <w:r>
              <w:rPr>
                <w:rFonts w:hint="eastAsia" w:ascii="宋体" w:hAnsi="宋体" w:eastAsia="宋体" w:cs="宋体"/>
                <w:color w:val="000000"/>
                <w:kern w:val="0"/>
                <w:sz w:val="24"/>
              </w:rPr>
              <w:t>GB/Z 39942-2021</w:t>
            </w:r>
            <w:r>
              <w:rPr>
                <w:rFonts w:hint="eastAsia" w:ascii="宋体" w:hAnsi="宋体" w:eastAsia="宋体" w:cs="宋体"/>
                <w:color w:val="000000"/>
                <w:kern w:val="0"/>
                <w:sz w:val="24"/>
              </w:rPr>
              <w:fldChar w:fldCharType="end"/>
            </w:r>
          </w:p>
        </w:tc>
      </w:tr>
    </w:tbl>
    <w:p w14:paraId="26A1F3AB">
      <w:pPr>
        <w:snapToGrid w:val="0"/>
        <w:spacing w:line="440" w:lineRule="exact"/>
        <w:jc w:val="center"/>
        <w:rPr>
          <w:rFonts w:eastAsia="黑体"/>
          <w:color w:val="000000"/>
          <w:szCs w:val="21"/>
        </w:rPr>
      </w:pPr>
    </w:p>
    <w:p w14:paraId="6692CB99">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执行企业标准、团体标准、地方标准的产品，检验项目参照上述内容执行。</w:t>
      </w:r>
    </w:p>
    <w:p w14:paraId="30089395">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1A1A914D">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 判定规则</w:t>
      </w:r>
    </w:p>
    <w:p w14:paraId="78E28D65">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3.1依据标准</w:t>
      </w:r>
    </w:p>
    <w:p w14:paraId="3FA9DBE8">
      <w:pPr>
        <w:widowControl/>
        <w:spacing w:line="360" w:lineRule="atLeast"/>
        <w:ind w:firstLine="420" w:firstLineChars="200"/>
        <w:jc w:val="left"/>
        <w:rPr>
          <w:rFonts w:ascii="宋体" w:hAnsi="宋体" w:eastAsia="宋体" w:cs="宋体"/>
          <w:color w:val="000000"/>
          <w:kern w:val="0"/>
          <w:sz w:val="24"/>
        </w:rPr>
      </w:pPr>
      <w:r>
        <w:fldChar w:fldCharType="begin"/>
      </w:r>
      <w:r>
        <w:instrText xml:space="preserve"> HYPERLINK "http://standard.sist.org.cn/StdSearch/stdDetail.aspx?AppID=GB/Z%2039942-2021&amp;v=GB/Z%2039942$" \t "http://standard.sist.org.cn/StdSearch/stdSearchHome.aspx?OperType=1&amp;m=%u6807%u51C6&amp;t=%u9898%u5F55%u4FE1%u606F&amp;v=GB/_blank" </w:instrText>
      </w:r>
      <w:r>
        <w:fldChar w:fldCharType="separate"/>
      </w:r>
      <w:r>
        <w:rPr>
          <w:rFonts w:hint="eastAsia" w:ascii="宋体" w:hAnsi="宋体" w:eastAsia="宋体" w:cs="宋体"/>
          <w:color w:val="000000"/>
          <w:kern w:val="0"/>
          <w:sz w:val="24"/>
        </w:rPr>
        <w:t>GB/Z 39942-2021</w:t>
      </w:r>
      <w:r>
        <w:rPr>
          <w:rFonts w:hint="eastAsia" w:ascii="宋体" w:hAnsi="宋体" w:eastAsia="宋体" w:cs="宋体"/>
          <w:color w:val="000000"/>
          <w:kern w:val="0"/>
          <w:sz w:val="24"/>
        </w:rPr>
        <w:fldChar w:fldCharType="end"/>
      </w:r>
      <w:r>
        <w:rPr>
          <w:rFonts w:hint="eastAsia" w:ascii="宋体" w:hAnsi="宋体" w:eastAsia="宋体" w:cs="宋体"/>
          <w:color w:val="000000"/>
          <w:kern w:val="0"/>
          <w:sz w:val="24"/>
        </w:rPr>
        <w:t>《</w:t>
      </w:r>
      <w:r>
        <w:fldChar w:fldCharType="begin"/>
      </w:r>
      <w:r>
        <w:instrText xml:space="preserve"> HYPERLINK "http://standard.sist.org.cn/StdSearch/stdDetail.aspx?AppID=GB/Z%2039942-2021&amp;v=GB/Z%2039942$" \t "http://standard.sist.org.cn/StdSearch/stdSearchHome.aspx?OperType=1&amp;m=%u6807%u51C6&amp;t=%u9898%u5F55%u4FE1%u606F&amp;v=GB/_blank" </w:instrText>
      </w:r>
      <w:r>
        <w:fldChar w:fldCharType="separate"/>
      </w:r>
      <w:r>
        <w:rPr>
          <w:rFonts w:hint="eastAsia" w:ascii="宋体" w:hAnsi="宋体" w:eastAsia="宋体" w:cs="宋体"/>
          <w:color w:val="000000"/>
          <w:kern w:val="0"/>
          <w:sz w:val="24"/>
        </w:rPr>
        <w:t>应用GB/T 20145评价光源和灯具的蓝光危害</w:t>
      </w:r>
      <w:r>
        <w:rPr>
          <w:rFonts w:hint="eastAsia" w:ascii="宋体" w:hAnsi="宋体" w:eastAsia="宋体" w:cs="宋体"/>
          <w:color w:val="000000"/>
          <w:kern w:val="0"/>
          <w:sz w:val="24"/>
        </w:rPr>
        <w:fldChar w:fldCharType="end"/>
      </w:r>
      <w:r>
        <w:rPr>
          <w:rFonts w:hint="eastAsia" w:ascii="宋体" w:hAnsi="宋体" w:eastAsia="宋体" w:cs="宋体"/>
          <w:color w:val="000000"/>
          <w:kern w:val="0"/>
          <w:sz w:val="24"/>
        </w:rPr>
        <w:t>》</w:t>
      </w:r>
    </w:p>
    <w:p w14:paraId="5A8AFB70">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GB/T 7000.1—2023 灯具  第1部分：一般要求与试验</w:t>
      </w:r>
    </w:p>
    <w:p w14:paraId="776FD973">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GB/T 7000.204—2023 灯具  第2-4部分：特殊要求  可移式通用灯具</w:t>
      </w:r>
    </w:p>
    <w:p w14:paraId="48A37A30">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现行有效的企业标准、团体标准、地方标准及产品明示质量要求</w:t>
      </w:r>
    </w:p>
    <w:p w14:paraId="07001305">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3.2判定原则</w:t>
      </w:r>
    </w:p>
    <w:p w14:paraId="12F4EF73">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49C09864">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若被检产品明示的质量要求高于本细则中检验项目依据的标准要求时，应按被检产品明示的质量要求判定。</w:t>
      </w:r>
    </w:p>
    <w:p w14:paraId="0D902A35">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若被检产品明示的质量要求低于本细则中检验项目依据的强制性标准要求时，应按照强制性标准要求判定。</w:t>
      </w:r>
    </w:p>
    <w:p w14:paraId="61859B74">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若被检产品明示的质量要求低于或包含本细则中检验项目依据的推荐性标准要求时，应以被检产品明示的质量要求判定。</w:t>
      </w:r>
    </w:p>
    <w:p w14:paraId="6C354DED">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若被检产品明示的质量要求缺少本细则中检验项目依据的强制性标准要求时，应按照强制性标准要求判定。</w:t>
      </w:r>
    </w:p>
    <w:p w14:paraId="267713BE">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若被检产品明示的质量要求缺少本细则中检验项目依据的推荐性标准要求时，该项目不参与判定。</w:t>
      </w:r>
    </w:p>
    <w:p w14:paraId="0D804CD3">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4 附则</w:t>
      </w:r>
    </w:p>
    <w:p w14:paraId="0E50CBA9">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本细则代替《可移式通用灯具产品质量监督抽查实施细则（202</w:t>
      </w:r>
      <w:r>
        <w:rPr>
          <w:rFonts w:hint="eastAsia" w:ascii="宋体" w:hAnsi="宋体" w:eastAsia="宋体" w:cs="宋体"/>
          <w:color w:val="000000"/>
          <w:kern w:val="0"/>
          <w:sz w:val="24"/>
          <w:lang w:val="en-US" w:eastAsia="zh-CN"/>
        </w:rPr>
        <w:t>5</w:t>
      </w:r>
      <w:r>
        <w:rPr>
          <w:rFonts w:hint="eastAsia" w:ascii="宋体" w:hAnsi="宋体" w:eastAsia="宋体" w:cs="宋体"/>
          <w:color w:val="000000"/>
          <w:kern w:val="0"/>
          <w:sz w:val="24"/>
        </w:rPr>
        <w:t>年版）》。</w:t>
      </w:r>
    </w:p>
    <w:p w14:paraId="5277C81E">
      <w:pPr>
        <w:widowControl/>
        <w:spacing w:line="360" w:lineRule="atLeast"/>
        <w:ind w:firstLine="420" w:firstLineChars="200"/>
        <w:jc w:val="left"/>
        <w:rPr>
          <w:rFonts w:hint="eastAsia"/>
          <w:color w:val="000000"/>
          <w:szCs w:val="21"/>
        </w:rPr>
      </w:pPr>
      <w:r>
        <w:rPr>
          <w:color w:val="000000"/>
          <w:szCs w:val="21"/>
        </w:rPr>
        <w:br w:type="page"/>
      </w:r>
    </w:p>
    <w:p w14:paraId="170CBEDB">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r>
        <w:rPr>
          <w:rFonts w:hint="eastAsia" w:ascii="宋体" w:hAnsi="宋体" w:eastAsia="宋体" w:cs="宋体"/>
          <w:b/>
          <w:bCs/>
          <w:color w:val="000000"/>
          <w:kern w:val="0"/>
          <w:sz w:val="24"/>
        </w:rPr>
        <w:t>电热水壶\饮水机产品质量监督抽查实施细则（2026年版）</w:t>
      </w:r>
    </w:p>
    <w:p w14:paraId="2575C170">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1 抽样方法</w:t>
      </w:r>
    </w:p>
    <w:p w14:paraId="7C781278">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以随机抽样的方式在被抽样生产者、销售者的待销产品中抽取。随机数一般可使用随机数表等方法产生。每批次产品抽取样品3台，其中2台为检验样品，1台为备用样品。</w:t>
      </w:r>
    </w:p>
    <w:p w14:paraId="2AE7B031">
      <w:pPr>
        <w:widowControl/>
        <w:spacing w:line="360" w:lineRule="atLeast"/>
        <w:ind w:firstLine="482" w:firstLineChars="200"/>
        <w:jc w:val="left"/>
        <w:rPr>
          <w:rFonts w:eastAsia="黑体"/>
          <w:color w:val="000000"/>
          <w:szCs w:val="21"/>
        </w:rPr>
      </w:pPr>
      <w:r>
        <w:rPr>
          <w:rFonts w:hint="eastAsia" w:ascii="宋体" w:hAnsi="宋体" w:eastAsia="宋体" w:cs="宋体"/>
          <w:b/>
          <w:bCs/>
          <w:color w:val="000000"/>
          <w:kern w:val="0"/>
          <w:sz w:val="24"/>
        </w:rPr>
        <w:t>2 检验依据</w:t>
      </w:r>
    </w:p>
    <w:tbl>
      <w:tblPr>
        <w:tblStyle w:val="5"/>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4364"/>
        <w:gridCol w:w="3787"/>
      </w:tblGrid>
      <w:tr w14:paraId="44AB8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blHeader/>
          <w:jc w:val="center"/>
        </w:trPr>
        <w:tc>
          <w:tcPr>
            <w:tcW w:w="883" w:type="dxa"/>
            <w:vAlign w:val="center"/>
          </w:tcPr>
          <w:p w14:paraId="073C85F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4364" w:type="dxa"/>
            <w:vAlign w:val="center"/>
          </w:tcPr>
          <w:p w14:paraId="50619A50">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检验项目</w:t>
            </w:r>
          </w:p>
        </w:tc>
        <w:tc>
          <w:tcPr>
            <w:tcW w:w="3787" w:type="dxa"/>
            <w:vAlign w:val="center"/>
          </w:tcPr>
          <w:p w14:paraId="30B8A85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检验方法</w:t>
            </w:r>
          </w:p>
        </w:tc>
      </w:tr>
      <w:tr w14:paraId="481D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2C34A7A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4364" w:type="dxa"/>
            <w:vAlign w:val="center"/>
          </w:tcPr>
          <w:p w14:paraId="1CDED2E1">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标志</w:t>
            </w:r>
            <w:r>
              <w:rPr>
                <w:rFonts w:hint="eastAsia" w:ascii="宋体" w:hAnsi="宋体" w:eastAsia="宋体" w:cs="宋体"/>
                <w:color w:val="000000"/>
                <w:kern w:val="0"/>
                <w:sz w:val="24"/>
              </w:rPr>
              <w:t>说明</w:t>
            </w:r>
          </w:p>
        </w:tc>
        <w:tc>
          <w:tcPr>
            <w:tcW w:w="3787" w:type="dxa"/>
            <w:vAlign w:val="center"/>
          </w:tcPr>
          <w:p w14:paraId="561DF302">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6316D71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4706.19-2008</w:t>
            </w:r>
          </w:p>
        </w:tc>
      </w:tr>
      <w:tr w14:paraId="745B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70519D9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4364" w:type="dxa"/>
            <w:vAlign w:val="center"/>
          </w:tcPr>
          <w:p w14:paraId="161014F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对触及带电部件的防护</w:t>
            </w:r>
          </w:p>
        </w:tc>
        <w:tc>
          <w:tcPr>
            <w:tcW w:w="3787" w:type="dxa"/>
            <w:vAlign w:val="center"/>
          </w:tcPr>
          <w:p w14:paraId="3B2B74D0">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GB 4706.1-2005 </w:t>
            </w:r>
          </w:p>
          <w:p w14:paraId="450E1191">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 19-2008</w:t>
            </w:r>
          </w:p>
        </w:tc>
      </w:tr>
      <w:tr w14:paraId="56A0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0805ADD2">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4364" w:type="dxa"/>
            <w:vAlign w:val="center"/>
          </w:tcPr>
          <w:p w14:paraId="6FDD462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工作温度下的泄漏电流和电气强度</w:t>
            </w:r>
          </w:p>
        </w:tc>
        <w:tc>
          <w:tcPr>
            <w:tcW w:w="3787" w:type="dxa"/>
            <w:vAlign w:val="center"/>
          </w:tcPr>
          <w:p w14:paraId="5B967A25">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AC9B6E4">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 19-2008</w:t>
            </w:r>
          </w:p>
        </w:tc>
      </w:tr>
      <w:tr w14:paraId="44B7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626EC3C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4364" w:type="dxa"/>
            <w:vAlign w:val="center"/>
          </w:tcPr>
          <w:p w14:paraId="1746639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机械强度</w:t>
            </w:r>
          </w:p>
        </w:tc>
        <w:tc>
          <w:tcPr>
            <w:tcW w:w="3787" w:type="dxa"/>
            <w:vAlign w:val="center"/>
          </w:tcPr>
          <w:p w14:paraId="3263D4DD">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0C0DB9E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 19-2008</w:t>
            </w:r>
          </w:p>
        </w:tc>
      </w:tr>
      <w:tr w14:paraId="7696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44B28E4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5</w:t>
            </w:r>
          </w:p>
        </w:tc>
        <w:tc>
          <w:tcPr>
            <w:tcW w:w="4364" w:type="dxa"/>
            <w:vAlign w:val="center"/>
          </w:tcPr>
          <w:p w14:paraId="4A1C42D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稳定性和机械危险</w:t>
            </w:r>
          </w:p>
        </w:tc>
        <w:tc>
          <w:tcPr>
            <w:tcW w:w="3787" w:type="dxa"/>
            <w:vAlign w:val="center"/>
          </w:tcPr>
          <w:p w14:paraId="4DC379D3">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1466A0B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 19-2008</w:t>
            </w:r>
          </w:p>
        </w:tc>
      </w:tr>
      <w:tr w14:paraId="08BD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11D8184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6</w:t>
            </w:r>
          </w:p>
        </w:tc>
        <w:tc>
          <w:tcPr>
            <w:tcW w:w="4364" w:type="dxa"/>
            <w:vAlign w:val="center"/>
          </w:tcPr>
          <w:p w14:paraId="235C3D2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接地措施</w:t>
            </w:r>
          </w:p>
        </w:tc>
        <w:tc>
          <w:tcPr>
            <w:tcW w:w="3787" w:type="dxa"/>
            <w:vAlign w:val="center"/>
          </w:tcPr>
          <w:p w14:paraId="7C4A8B53">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677042CA">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 19-2008</w:t>
            </w:r>
          </w:p>
        </w:tc>
      </w:tr>
      <w:tr w14:paraId="4352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 w:type="dxa"/>
            <w:vAlign w:val="center"/>
          </w:tcPr>
          <w:p w14:paraId="2A6E568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7</w:t>
            </w:r>
          </w:p>
        </w:tc>
        <w:tc>
          <w:tcPr>
            <w:tcW w:w="4364" w:type="dxa"/>
            <w:vAlign w:val="center"/>
          </w:tcPr>
          <w:p w14:paraId="011C7192">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电气间隙、爬电距离和固体绝缘</w:t>
            </w:r>
          </w:p>
        </w:tc>
        <w:tc>
          <w:tcPr>
            <w:tcW w:w="3787" w:type="dxa"/>
            <w:vAlign w:val="center"/>
          </w:tcPr>
          <w:p w14:paraId="649FC42A">
            <w:pPr>
              <w:widowControl/>
              <w:spacing w:line="360" w:lineRule="atLeast"/>
              <w:jc w:val="center"/>
              <w:rPr>
                <w:rFonts w:hint="eastAsia" w:ascii="宋体" w:hAnsi="宋体" w:eastAsia="宋体" w:cs="宋体"/>
                <w:color w:val="000000"/>
                <w:kern w:val="0"/>
                <w:sz w:val="24"/>
              </w:rPr>
            </w:pPr>
            <w:r>
              <w:rPr>
                <w:rFonts w:hint="eastAsia" w:ascii="宋体" w:hAnsi="宋体" w:eastAsia="宋体" w:cs="宋体"/>
                <w:color w:val="000000"/>
                <w:kern w:val="0"/>
                <w:sz w:val="24"/>
              </w:rPr>
              <w:t>GB 4706.1-2005</w:t>
            </w:r>
          </w:p>
          <w:p w14:paraId="01C5DCED">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4706. 19-2008</w:t>
            </w:r>
          </w:p>
        </w:tc>
      </w:tr>
    </w:tbl>
    <w:p w14:paraId="7C2CB1C4">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执行企业标准、团体标准、地方标准的产品，检验项目参照上述内容执行。</w:t>
      </w:r>
    </w:p>
    <w:p w14:paraId="31D98743">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0D1ADD3C">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 判定规则</w:t>
      </w:r>
    </w:p>
    <w:p w14:paraId="4D807D1E">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3.1依据标准</w:t>
      </w:r>
    </w:p>
    <w:p w14:paraId="62EF6494">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4706.1—2005 家用和类似用途电器的安全  第1部分：通用要求</w:t>
      </w:r>
    </w:p>
    <w:p w14:paraId="45CE52BA">
      <w:pPr>
        <w:widowControl/>
        <w:spacing w:line="360" w:lineRule="atLeast"/>
        <w:ind w:firstLine="480" w:firstLineChars="200"/>
        <w:jc w:val="left"/>
        <w:rPr>
          <w:rFonts w:hint="eastAsia" w:ascii="宋体" w:hAnsi="宋体" w:eastAsia="宋体" w:cs="宋体"/>
          <w:color w:val="000000"/>
          <w:kern w:val="0"/>
          <w:sz w:val="24"/>
        </w:rPr>
      </w:pPr>
      <w:r>
        <w:rPr>
          <w:rFonts w:hint="eastAsia" w:ascii="宋体" w:hAnsi="宋体" w:eastAsia="宋体" w:cs="宋体"/>
          <w:color w:val="000000"/>
          <w:kern w:val="0"/>
          <w:sz w:val="24"/>
        </w:rPr>
        <w:t>GB 4706.19-2008 家用和类似用途电器的安全 液体加热器的特殊要求</w:t>
      </w:r>
    </w:p>
    <w:p w14:paraId="4115F624">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现行有效的企业标准、团体标准、地方标准及产品明示质量要求</w:t>
      </w:r>
    </w:p>
    <w:p w14:paraId="77B6F40D">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3.2判定原则</w:t>
      </w:r>
    </w:p>
    <w:p w14:paraId="37667DFD">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3FD698B8">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若被检产品明示的质量要求高于本细则中检验项目依据的标准要求时，应按被检产品明示的质量要求判定。</w:t>
      </w:r>
    </w:p>
    <w:p w14:paraId="2F68158A">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若被检产品明示的质量要求低于本细则中检验项目依据的强制性标准要求时，应按照强制性标准要求判定。</w:t>
      </w:r>
    </w:p>
    <w:p w14:paraId="7DC01EDC">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若被检产品明示的质量要求低于或包含本细则中检验项目依据的推荐性标准要求时，应以被检产品明示的质量要求判定。</w:t>
      </w:r>
    </w:p>
    <w:p w14:paraId="0342B79B">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若被检产品明示的质量要求缺少本细则中检验项目依据的强制性标准要求时，应按照强制性标准要求判定。</w:t>
      </w:r>
    </w:p>
    <w:p w14:paraId="73264B8B">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若被检产品明示的质量要求缺少本细则中检验项目依据的推荐性标准要求时，该项目不参与判定。</w:t>
      </w:r>
    </w:p>
    <w:p w14:paraId="1F361509">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4 附则</w:t>
      </w:r>
    </w:p>
    <w:p w14:paraId="25638B22">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本细则代替《电热水壶\饮水机产品质量监督抽查实施细则（2025年版）》。</w:t>
      </w:r>
    </w:p>
    <w:p w14:paraId="701C5A3B">
      <w:pPr>
        <w:widowControl/>
        <w:spacing w:line="360" w:lineRule="atLeast"/>
        <w:ind w:firstLine="420" w:firstLineChars="200"/>
        <w:jc w:val="left"/>
        <w:rPr>
          <w:rFonts w:hint="eastAsia"/>
          <w:color w:val="000000"/>
          <w:szCs w:val="21"/>
        </w:rPr>
      </w:pPr>
    </w:p>
    <w:p w14:paraId="3C89CE66">
      <w:pPr>
        <w:widowControl/>
        <w:spacing w:line="360" w:lineRule="atLeast"/>
        <w:ind w:firstLine="420" w:firstLineChars="200"/>
        <w:jc w:val="left"/>
        <w:rPr>
          <w:rFonts w:hint="eastAsia"/>
          <w:color w:val="000000"/>
          <w:szCs w:val="21"/>
        </w:rPr>
      </w:pPr>
    </w:p>
    <w:p w14:paraId="340EAED0">
      <w:pPr>
        <w:widowControl/>
        <w:spacing w:line="360" w:lineRule="atLeast"/>
        <w:ind w:firstLine="420" w:firstLineChars="200"/>
        <w:jc w:val="left"/>
        <w:rPr>
          <w:rFonts w:hint="eastAsia"/>
          <w:color w:val="000000"/>
          <w:szCs w:val="21"/>
        </w:rPr>
      </w:pPr>
    </w:p>
    <w:p w14:paraId="6385E7FF">
      <w:pPr>
        <w:widowControl/>
        <w:spacing w:line="360" w:lineRule="atLeast"/>
        <w:ind w:firstLine="420" w:firstLineChars="200"/>
        <w:jc w:val="left"/>
        <w:rPr>
          <w:rFonts w:hint="eastAsia"/>
          <w:color w:val="000000"/>
          <w:szCs w:val="21"/>
        </w:rPr>
      </w:pPr>
    </w:p>
    <w:p w14:paraId="666417AE">
      <w:pPr>
        <w:widowControl/>
        <w:spacing w:line="360" w:lineRule="atLeast"/>
        <w:ind w:firstLine="420" w:firstLineChars="200"/>
        <w:jc w:val="left"/>
        <w:rPr>
          <w:rFonts w:hint="eastAsia"/>
          <w:color w:val="000000"/>
          <w:szCs w:val="21"/>
        </w:rPr>
      </w:pPr>
    </w:p>
    <w:p w14:paraId="05150549">
      <w:pPr>
        <w:widowControl/>
        <w:spacing w:line="360" w:lineRule="atLeast"/>
        <w:ind w:firstLine="420" w:firstLineChars="200"/>
        <w:jc w:val="left"/>
        <w:rPr>
          <w:rFonts w:hint="eastAsia"/>
          <w:color w:val="000000"/>
          <w:szCs w:val="21"/>
        </w:rPr>
      </w:pPr>
    </w:p>
    <w:p w14:paraId="17912EE0">
      <w:pPr>
        <w:widowControl/>
        <w:spacing w:line="360" w:lineRule="atLeast"/>
        <w:ind w:firstLine="420" w:firstLineChars="200"/>
        <w:jc w:val="left"/>
        <w:rPr>
          <w:rFonts w:hint="eastAsia"/>
          <w:color w:val="000000"/>
          <w:szCs w:val="21"/>
        </w:rPr>
      </w:pPr>
    </w:p>
    <w:p w14:paraId="35E18665">
      <w:pPr>
        <w:widowControl/>
        <w:spacing w:line="360" w:lineRule="atLeast"/>
        <w:ind w:firstLine="420" w:firstLineChars="200"/>
        <w:jc w:val="left"/>
        <w:rPr>
          <w:rFonts w:hint="eastAsia"/>
          <w:color w:val="000000"/>
          <w:szCs w:val="21"/>
        </w:rPr>
      </w:pPr>
    </w:p>
    <w:p w14:paraId="2C630268">
      <w:pPr>
        <w:widowControl/>
        <w:spacing w:line="360" w:lineRule="atLeast"/>
        <w:ind w:firstLine="420" w:firstLineChars="200"/>
        <w:jc w:val="left"/>
        <w:rPr>
          <w:rFonts w:hint="eastAsia"/>
          <w:color w:val="000000"/>
          <w:szCs w:val="21"/>
        </w:rPr>
      </w:pPr>
    </w:p>
    <w:p w14:paraId="51556D6E">
      <w:pPr>
        <w:widowControl/>
        <w:spacing w:line="360" w:lineRule="atLeast"/>
        <w:ind w:firstLine="420" w:firstLineChars="200"/>
        <w:jc w:val="left"/>
        <w:rPr>
          <w:rFonts w:hint="eastAsia"/>
          <w:color w:val="000000"/>
          <w:szCs w:val="21"/>
        </w:rPr>
      </w:pPr>
    </w:p>
    <w:p w14:paraId="1DEC31ED">
      <w:pPr>
        <w:widowControl/>
        <w:spacing w:line="360" w:lineRule="atLeast"/>
        <w:ind w:firstLine="420" w:firstLineChars="200"/>
        <w:jc w:val="left"/>
        <w:rPr>
          <w:rFonts w:hint="eastAsia"/>
          <w:color w:val="000000"/>
          <w:szCs w:val="21"/>
        </w:rPr>
      </w:pPr>
    </w:p>
    <w:p w14:paraId="20B052DA">
      <w:pPr>
        <w:widowControl/>
        <w:spacing w:line="360" w:lineRule="atLeast"/>
        <w:ind w:firstLine="420" w:firstLineChars="200"/>
        <w:jc w:val="left"/>
        <w:rPr>
          <w:rFonts w:hint="eastAsia"/>
          <w:color w:val="000000"/>
          <w:szCs w:val="21"/>
        </w:rPr>
      </w:pPr>
    </w:p>
    <w:p w14:paraId="1A1616FA">
      <w:pPr>
        <w:widowControl/>
        <w:spacing w:line="360" w:lineRule="atLeast"/>
        <w:ind w:firstLine="420" w:firstLineChars="200"/>
        <w:jc w:val="left"/>
        <w:rPr>
          <w:rFonts w:hint="eastAsia"/>
          <w:color w:val="000000"/>
          <w:szCs w:val="21"/>
        </w:rPr>
      </w:pPr>
    </w:p>
    <w:p w14:paraId="7E09F0BE">
      <w:pPr>
        <w:widowControl/>
        <w:spacing w:line="360" w:lineRule="atLeast"/>
        <w:ind w:firstLine="420" w:firstLineChars="200"/>
        <w:jc w:val="left"/>
        <w:rPr>
          <w:rFonts w:hint="eastAsia"/>
          <w:color w:val="000000"/>
          <w:szCs w:val="21"/>
        </w:rPr>
      </w:pPr>
    </w:p>
    <w:p w14:paraId="43C34E87">
      <w:pPr>
        <w:widowControl/>
        <w:spacing w:line="360" w:lineRule="atLeast"/>
        <w:ind w:firstLine="420" w:firstLineChars="200"/>
        <w:jc w:val="left"/>
        <w:rPr>
          <w:rFonts w:hint="eastAsia"/>
          <w:color w:val="000000"/>
          <w:szCs w:val="21"/>
        </w:rPr>
      </w:pPr>
    </w:p>
    <w:p w14:paraId="720F3E32">
      <w:pPr>
        <w:widowControl/>
        <w:spacing w:line="360" w:lineRule="atLeast"/>
        <w:ind w:firstLine="420" w:firstLineChars="200"/>
        <w:jc w:val="left"/>
        <w:rPr>
          <w:rFonts w:hint="eastAsia"/>
          <w:color w:val="000000"/>
          <w:szCs w:val="21"/>
        </w:rPr>
      </w:pPr>
    </w:p>
    <w:p w14:paraId="08E115FF">
      <w:pPr>
        <w:widowControl/>
        <w:spacing w:line="360" w:lineRule="atLeast"/>
        <w:ind w:firstLine="420" w:firstLineChars="200"/>
        <w:jc w:val="left"/>
        <w:rPr>
          <w:rFonts w:hint="eastAsia"/>
          <w:color w:val="000000"/>
          <w:szCs w:val="21"/>
        </w:rPr>
      </w:pPr>
    </w:p>
    <w:p w14:paraId="21776AB7">
      <w:pPr>
        <w:widowControl/>
        <w:spacing w:line="360" w:lineRule="atLeast"/>
        <w:ind w:firstLine="420" w:firstLineChars="200"/>
        <w:jc w:val="left"/>
        <w:rPr>
          <w:rFonts w:hint="eastAsia"/>
          <w:color w:val="000000"/>
          <w:szCs w:val="21"/>
        </w:rPr>
      </w:pPr>
    </w:p>
    <w:p w14:paraId="6BE902CD">
      <w:pPr>
        <w:widowControl/>
        <w:spacing w:line="360" w:lineRule="atLeast"/>
        <w:ind w:firstLine="420" w:firstLineChars="200"/>
        <w:jc w:val="left"/>
        <w:rPr>
          <w:rFonts w:hint="eastAsia"/>
          <w:color w:val="000000"/>
          <w:szCs w:val="21"/>
        </w:rPr>
      </w:pPr>
    </w:p>
    <w:p w14:paraId="1ADF7BEC">
      <w:pPr>
        <w:widowControl/>
        <w:spacing w:line="360" w:lineRule="atLeast"/>
        <w:ind w:firstLine="420" w:firstLineChars="200"/>
        <w:jc w:val="left"/>
        <w:rPr>
          <w:rFonts w:hint="eastAsia"/>
          <w:color w:val="000000"/>
          <w:szCs w:val="21"/>
        </w:rPr>
      </w:pPr>
    </w:p>
    <w:p w14:paraId="544013E0">
      <w:pPr>
        <w:widowControl/>
        <w:spacing w:line="360" w:lineRule="atLeast"/>
        <w:ind w:firstLine="420" w:firstLineChars="200"/>
        <w:jc w:val="left"/>
        <w:rPr>
          <w:rFonts w:hint="eastAsia"/>
          <w:color w:val="000000"/>
          <w:szCs w:val="21"/>
        </w:rPr>
      </w:pPr>
    </w:p>
    <w:p w14:paraId="0BE4B697">
      <w:pPr>
        <w:widowControl/>
        <w:spacing w:line="360" w:lineRule="atLeast"/>
        <w:ind w:firstLine="420" w:firstLineChars="200"/>
        <w:jc w:val="left"/>
        <w:rPr>
          <w:rFonts w:hint="eastAsia"/>
          <w:color w:val="000000"/>
          <w:szCs w:val="21"/>
        </w:rPr>
      </w:pPr>
    </w:p>
    <w:p w14:paraId="53137D92">
      <w:pPr>
        <w:widowControl/>
        <w:spacing w:line="360" w:lineRule="atLeast"/>
        <w:ind w:firstLine="420" w:firstLineChars="200"/>
        <w:jc w:val="left"/>
        <w:rPr>
          <w:rFonts w:hint="eastAsia"/>
          <w:color w:val="000000"/>
          <w:szCs w:val="21"/>
        </w:rPr>
      </w:pPr>
    </w:p>
    <w:p w14:paraId="69893354">
      <w:pPr>
        <w:widowControl/>
        <w:spacing w:line="360" w:lineRule="atLeast"/>
        <w:ind w:firstLine="420" w:firstLineChars="200"/>
        <w:jc w:val="left"/>
        <w:rPr>
          <w:rFonts w:hint="eastAsia"/>
          <w:color w:val="000000"/>
          <w:szCs w:val="21"/>
        </w:rPr>
      </w:pPr>
    </w:p>
    <w:p w14:paraId="287BC239">
      <w:pPr>
        <w:widowControl/>
        <w:spacing w:line="360" w:lineRule="atLeast"/>
        <w:ind w:firstLine="420" w:firstLineChars="200"/>
        <w:jc w:val="left"/>
        <w:rPr>
          <w:rFonts w:hint="eastAsia"/>
          <w:color w:val="000000"/>
          <w:szCs w:val="21"/>
        </w:rPr>
      </w:pPr>
    </w:p>
    <w:p w14:paraId="73C672D6">
      <w:pPr>
        <w:widowControl/>
        <w:spacing w:line="360" w:lineRule="atLeast"/>
        <w:ind w:firstLine="420" w:firstLineChars="200"/>
        <w:jc w:val="left"/>
        <w:rPr>
          <w:rFonts w:hint="eastAsia"/>
          <w:color w:val="000000"/>
          <w:szCs w:val="21"/>
        </w:rPr>
      </w:pPr>
    </w:p>
    <w:p w14:paraId="0B9983DA">
      <w:pPr>
        <w:widowControl/>
        <w:spacing w:line="360" w:lineRule="atLeast"/>
        <w:ind w:firstLine="420" w:firstLineChars="200"/>
        <w:jc w:val="left"/>
        <w:rPr>
          <w:rFonts w:hint="eastAsia"/>
          <w:color w:val="000000"/>
          <w:szCs w:val="21"/>
        </w:rPr>
      </w:pPr>
    </w:p>
    <w:p w14:paraId="11D5B33B">
      <w:pPr>
        <w:widowControl/>
        <w:spacing w:line="360" w:lineRule="atLeast"/>
        <w:ind w:firstLine="420" w:firstLineChars="200"/>
        <w:jc w:val="left"/>
        <w:rPr>
          <w:rFonts w:hint="eastAsia"/>
          <w:color w:val="000000"/>
          <w:szCs w:val="21"/>
        </w:rPr>
      </w:pPr>
    </w:p>
    <w:p w14:paraId="582757BA">
      <w:pPr>
        <w:widowControl/>
        <w:spacing w:line="360" w:lineRule="atLeast"/>
        <w:ind w:firstLine="420" w:firstLineChars="200"/>
        <w:jc w:val="left"/>
        <w:rPr>
          <w:rFonts w:hint="eastAsia"/>
          <w:color w:val="000000"/>
          <w:szCs w:val="21"/>
        </w:rPr>
      </w:pPr>
    </w:p>
    <w:p w14:paraId="48B0F503">
      <w:pPr>
        <w:widowControl/>
        <w:spacing w:line="360" w:lineRule="atLeast"/>
        <w:ind w:firstLine="420" w:firstLineChars="200"/>
        <w:jc w:val="left"/>
        <w:rPr>
          <w:rFonts w:hint="eastAsia"/>
          <w:color w:val="000000"/>
          <w:szCs w:val="21"/>
        </w:rPr>
      </w:pPr>
    </w:p>
    <w:p w14:paraId="0E398086">
      <w:pPr>
        <w:widowControl/>
        <w:spacing w:line="360" w:lineRule="atLeast"/>
        <w:ind w:firstLine="420" w:firstLineChars="200"/>
        <w:jc w:val="left"/>
        <w:rPr>
          <w:rFonts w:hint="eastAsia"/>
          <w:color w:val="000000"/>
          <w:szCs w:val="21"/>
        </w:rPr>
      </w:pPr>
    </w:p>
    <w:p w14:paraId="7318A9D0">
      <w:pPr>
        <w:widowControl/>
        <w:spacing w:line="360" w:lineRule="atLeast"/>
        <w:ind w:firstLine="420" w:firstLineChars="200"/>
        <w:jc w:val="left"/>
        <w:rPr>
          <w:rFonts w:hint="eastAsia"/>
          <w:color w:val="000000"/>
          <w:szCs w:val="21"/>
        </w:rPr>
      </w:pPr>
    </w:p>
    <w:p w14:paraId="0B58E48D">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r>
        <w:rPr>
          <w:rFonts w:hint="eastAsia" w:ascii="宋体" w:hAnsi="宋体" w:eastAsia="宋体" w:cs="宋体"/>
          <w:b/>
          <w:bCs/>
          <w:color w:val="000000"/>
          <w:kern w:val="0"/>
          <w:sz w:val="24"/>
        </w:rPr>
        <w:t>家用燃气灶产品质量监督抽查实施细则（2026年版）</w:t>
      </w:r>
    </w:p>
    <w:p w14:paraId="166FD26C">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1 抽样方法</w:t>
      </w:r>
    </w:p>
    <w:p w14:paraId="7ED13835">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以随机抽样的方式在被抽样生产者、销售者的待销产品中抽取。</w:t>
      </w:r>
    </w:p>
    <w:p w14:paraId="2561BFE8">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随机数一般可使用随机数表等方法产生。</w:t>
      </w:r>
    </w:p>
    <w:p w14:paraId="1CC79B70">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每批次产品抽取样品2台，其中1台为检验样品，1台为备用样品。</w:t>
      </w:r>
    </w:p>
    <w:p w14:paraId="3010782C">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2 检验依据</w:t>
      </w:r>
    </w:p>
    <w:tbl>
      <w:tblPr>
        <w:tblStyle w:val="5"/>
        <w:tblW w:w="8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3707"/>
        <w:gridCol w:w="4077"/>
      </w:tblGrid>
      <w:tr w14:paraId="2740A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92" w:type="dxa"/>
            <w:vAlign w:val="center"/>
          </w:tcPr>
          <w:p w14:paraId="3FFE5F2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3707" w:type="dxa"/>
            <w:vAlign w:val="center"/>
          </w:tcPr>
          <w:p w14:paraId="45C5C1B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检验项目</w:t>
            </w:r>
          </w:p>
        </w:tc>
        <w:tc>
          <w:tcPr>
            <w:tcW w:w="4077" w:type="dxa"/>
            <w:vAlign w:val="center"/>
          </w:tcPr>
          <w:p w14:paraId="3A04056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检验方法</w:t>
            </w:r>
          </w:p>
        </w:tc>
      </w:tr>
      <w:tr w14:paraId="3D6D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Align w:val="center"/>
          </w:tcPr>
          <w:p w14:paraId="3F45358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3707" w:type="dxa"/>
            <w:vAlign w:val="center"/>
          </w:tcPr>
          <w:p w14:paraId="5A85BD2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热负荷</w:t>
            </w:r>
          </w:p>
        </w:tc>
        <w:tc>
          <w:tcPr>
            <w:tcW w:w="4077" w:type="dxa"/>
            <w:vAlign w:val="center"/>
          </w:tcPr>
          <w:p w14:paraId="5E02197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16410—2020</w:t>
            </w:r>
          </w:p>
        </w:tc>
      </w:tr>
      <w:tr w14:paraId="3DAE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Align w:val="center"/>
          </w:tcPr>
          <w:p w14:paraId="3933BB5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3707" w:type="dxa"/>
            <w:vAlign w:val="center"/>
          </w:tcPr>
          <w:p w14:paraId="770303B2">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干烟气中CO浓度（室内型）</w:t>
            </w:r>
          </w:p>
        </w:tc>
        <w:tc>
          <w:tcPr>
            <w:tcW w:w="4077" w:type="dxa"/>
            <w:vAlign w:val="center"/>
          </w:tcPr>
          <w:p w14:paraId="00A8045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16410—2020</w:t>
            </w:r>
          </w:p>
        </w:tc>
      </w:tr>
      <w:tr w14:paraId="6280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Align w:val="center"/>
          </w:tcPr>
          <w:p w14:paraId="7CE4EFF0">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3</w:t>
            </w:r>
          </w:p>
        </w:tc>
        <w:tc>
          <w:tcPr>
            <w:tcW w:w="3707" w:type="dxa"/>
            <w:vAlign w:val="center"/>
          </w:tcPr>
          <w:p w14:paraId="434DCDA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熄火保护装置</w:t>
            </w:r>
          </w:p>
        </w:tc>
        <w:tc>
          <w:tcPr>
            <w:tcW w:w="4077" w:type="dxa"/>
            <w:vAlign w:val="center"/>
          </w:tcPr>
          <w:p w14:paraId="7FF89CE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16410—2020</w:t>
            </w:r>
          </w:p>
        </w:tc>
      </w:tr>
      <w:tr w14:paraId="1B32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2" w:type="dxa"/>
            <w:vAlign w:val="center"/>
          </w:tcPr>
          <w:p w14:paraId="3CC6D507">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4</w:t>
            </w:r>
          </w:p>
        </w:tc>
        <w:tc>
          <w:tcPr>
            <w:tcW w:w="3707" w:type="dxa"/>
            <w:vAlign w:val="center"/>
          </w:tcPr>
          <w:p w14:paraId="4A9E2B23">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耐热冲击</w:t>
            </w:r>
          </w:p>
        </w:tc>
        <w:tc>
          <w:tcPr>
            <w:tcW w:w="4077" w:type="dxa"/>
            <w:vAlign w:val="center"/>
          </w:tcPr>
          <w:p w14:paraId="6E609C1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16410—2020</w:t>
            </w:r>
          </w:p>
        </w:tc>
      </w:tr>
      <w:tr w14:paraId="3FB0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476" w:type="dxa"/>
            <w:gridSpan w:val="3"/>
            <w:vAlign w:val="center"/>
          </w:tcPr>
          <w:p w14:paraId="7A67B5D6">
            <w:pPr>
              <w:widowControl/>
              <w:spacing w:line="360" w:lineRule="atLeast"/>
              <w:jc w:val="left"/>
              <w:rPr>
                <w:rFonts w:ascii="宋体" w:hAnsi="宋体" w:eastAsia="宋体" w:cs="宋体"/>
                <w:color w:val="000000"/>
                <w:kern w:val="0"/>
                <w:sz w:val="24"/>
              </w:rPr>
            </w:pPr>
            <w:r>
              <w:rPr>
                <w:rFonts w:hint="eastAsia" w:ascii="宋体" w:hAnsi="宋体" w:eastAsia="宋体" w:cs="宋体"/>
                <w:color w:val="000000"/>
                <w:kern w:val="0"/>
                <w:sz w:val="24"/>
              </w:rPr>
              <w:t>注：1.温升的检验项目为GB 16410—2020中表3序号1；</w:t>
            </w:r>
          </w:p>
          <w:p w14:paraId="5D6AA0DE">
            <w:pPr>
              <w:widowControl/>
              <w:spacing w:line="360" w:lineRule="atLeast"/>
              <w:jc w:val="left"/>
              <w:rPr>
                <w:rFonts w:ascii="宋体" w:hAnsi="宋体" w:eastAsia="宋体" w:cs="宋体"/>
                <w:color w:val="000000"/>
                <w:kern w:val="0"/>
                <w:sz w:val="24"/>
              </w:rPr>
            </w:pPr>
            <w:r>
              <w:rPr>
                <w:rFonts w:hint="eastAsia" w:ascii="宋体" w:hAnsi="宋体" w:eastAsia="宋体" w:cs="宋体"/>
                <w:color w:val="000000"/>
                <w:kern w:val="0"/>
                <w:sz w:val="24"/>
              </w:rPr>
              <w:t>2.熄火保护装置的检验项目为GB 16410—2020中5.2.8.1 b）；</w:t>
            </w:r>
            <w:r>
              <w:rPr>
                <w:rFonts w:ascii="宋体" w:hAnsi="宋体" w:eastAsia="宋体" w:cs="宋体"/>
                <w:color w:val="000000"/>
                <w:kern w:val="0"/>
                <w:sz w:val="24"/>
              </w:rPr>
              <w:t xml:space="preserve"> </w:t>
            </w:r>
          </w:p>
        </w:tc>
      </w:tr>
    </w:tbl>
    <w:p w14:paraId="388B0A37">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执行企业标准、团体标准、地方标准的产品，检验项目参照上述内容执行。</w:t>
      </w:r>
    </w:p>
    <w:p w14:paraId="73B81850">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271AE712">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 判定规则</w:t>
      </w:r>
    </w:p>
    <w:p w14:paraId="798BB140">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3.1 依据标准</w:t>
      </w:r>
    </w:p>
    <w:p w14:paraId="462B7D6B">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GB 16410—2020 家用燃气灶具</w:t>
      </w:r>
    </w:p>
    <w:p w14:paraId="5CF318B7">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现行有效的企业标准、团体标准、地方标准及产品明示质量要求</w:t>
      </w:r>
    </w:p>
    <w:p w14:paraId="642396AF">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3.2 判定原则</w:t>
      </w:r>
    </w:p>
    <w:p w14:paraId="15A4AC05">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0ACD5F7B">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若被检产品明示的质量要求高于本细则中检验项目依据的标准要求时，应按被检产品明示的质量要求判定。</w:t>
      </w:r>
    </w:p>
    <w:p w14:paraId="6958AD93">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若被检产品明示的质量要求低于本细则中检验项目依据的强制性标准要求时，应按照强制性标准要求判定。</w:t>
      </w:r>
    </w:p>
    <w:p w14:paraId="0C75AEDC">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若被检产品明示的质量要求低于或包含本细则中检验项目依据的推荐性标准要求时，应以被检产品明示的质量要求判定。</w:t>
      </w:r>
    </w:p>
    <w:p w14:paraId="29CAC7AE">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若被检产品明示的质量要求缺少本细则中检验项目依据的强制性标准要求时，应按照强制性标准要求判定。</w:t>
      </w:r>
    </w:p>
    <w:p w14:paraId="0E3C9000">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若被检产品明示的质量要求缺少本细则中检验项目依据的推荐性标准要求时，该项目不参与判定。</w:t>
      </w:r>
    </w:p>
    <w:p w14:paraId="3D316452">
      <w:pPr>
        <w:widowControl/>
        <w:spacing w:line="360" w:lineRule="atLeast"/>
        <w:ind w:firstLine="482" w:firstLineChars="200"/>
        <w:jc w:val="left"/>
        <w:rPr>
          <w:rFonts w:ascii="宋体" w:hAnsi="宋体" w:eastAsia="宋体" w:cs="宋体"/>
          <w:b/>
          <w:bCs/>
          <w:color w:val="000000"/>
          <w:kern w:val="0"/>
          <w:sz w:val="24"/>
        </w:rPr>
      </w:pPr>
      <w:bookmarkStart w:id="18" w:name="_GoBack"/>
      <w:bookmarkEnd w:id="18"/>
      <w:r>
        <w:rPr>
          <w:rFonts w:hint="eastAsia" w:ascii="宋体" w:hAnsi="宋体" w:eastAsia="宋体" w:cs="宋体"/>
          <w:b/>
          <w:bCs/>
          <w:color w:val="000000"/>
          <w:kern w:val="0"/>
          <w:sz w:val="24"/>
        </w:rPr>
        <w:t>4 附则</w:t>
      </w:r>
    </w:p>
    <w:p w14:paraId="4ECC41A9">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本细则代替《家用燃气灶产品质量监督抽查实施细则（202</w:t>
      </w:r>
      <w:r>
        <w:rPr>
          <w:rFonts w:hint="eastAsia" w:ascii="宋体" w:hAnsi="宋体" w:eastAsia="宋体" w:cs="宋体"/>
          <w:color w:val="000000"/>
          <w:kern w:val="0"/>
          <w:sz w:val="24"/>
          <w:lang w:val="en-US" w:eastAsia="zh-CN"/>
        </w:rPr>
        <w:t>5</w:t>
      </w:r>
      <w:r>
        <w:rPr>
          <w:rFonts w:hint="eastAsia" w:ascii="宋体" w:hAnsi="宋体" w:eastAsia="宋体" w:cs="宋体"/>
          <w:color w:val="000000"/>
          <w:kern w:val="0"/>
          <w:sz w:val="24"/>
        </w:rPr>
        <w:t>年版）》。</w:t>
      </w:r>
    </w:p>
    <w:p w14:paraId="31B65EFE">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r>
        <w:rPr>
          <w:rFonts w:hint="eastAsia" w:ascii="宋体" w:hAnsi="宋体" w:eastAsia="宋体" w:cs="宋体"/>
          <w:color w:val="000000"/>
          <w:kern w:val="0"/>
          <w:sz w:val="24"/>
        </w:rPr>
        <w:br w:type="page"/>
      </w:r>
      <w:r>
        <w:rPr>
          <w:rFonts w:hint="eastAsia" w:ascii="宋体" w:hAnsi="宋体" w:eastAsia="宋体" w:cs="宋体"/>
          <w:b/>
          <w:bCs/>
          <w:color w:val="000000"/>
          <w:kern w:val="0"/>
          <w:sz w:val="24"/>
        </w:rPr>
        <w:softHyphen/>
      </w:r>
      <w:bookmarkStart w:id="8" w:name="OLE_LINK25"/>
      <w:bookmarkStart w:id="9" w:name="OLE_LINK26"/>
      <w:bookmarkStart w:id="10" w:name="OLE_LINK29"/>
      <w:r>
        <w:rPr>
          <w:rFonts w:hint="eastAsia" w:ascii="宋体" w:hAnsi="宋体" w:eastAsia="宋体" w:cs="宋体"/>
          <w:b/>
          <w:bCs/>
          <w:color w:val="000000"/>
          <w:kern w:val="0"/>
          <w:sz w:val="24"/>
        </w:rPr>
        <w:t>燃气用具连接用不锈钢波纹软管产品</w:t>
      </w:r>
      <w:bookmarkEnd w:id="8"/>
      <w:bookmarkEnd w:id="9"/>
      <w:bookmarkEnd w:id="10"/>
      <w:r>
        <w:rPr>
          <w:rFonts w:hint="eastAsia" w:ascii="宋体" w:hAnsi="宋体" w:eastAsia="宋体" w:cs="宋体"/>
          <w:b/>
          <w:bCs/>
          <w:color w:val="000000"/>
          <w:kern w:val="0"/>
          <w:sz w:val="24"/>
        </w:rPr>
        <w:t>质量监督抽查实施细则（2026年版）</w:t>
      </w:r>
    </w:p>
    <w:p w14:paraId="7024146A">
      <w:pPr>
        <w:widowControl/>
        <w:spacing w:line="360" w:lineRule="atLeast"/>
        <w:ind w:firstLine="482" w:firstLineChars="200"/>
        <w:jc w:val="left"/>
        <w:rPr>
          <w:rFonts w:ascii="宋体" w:hAnsi="宋体" w:eastAsia="宋体" w:cs="宋体"/>
          <w:b/>
          <w:bCs/>
          <w:color w:val="000000"/>
          <w:kern w:val="0"/>
          <w:sz w:val="24"/>
        </w:rPr>
      </w:pPr>
    </w:p>
    <w:p w14:paraId="32694C20">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1 抽样方法</w:t>
      </w:r>
    </w:p>
    <w:p w14:paraId="0937F16E">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以随机抽样的方式在被抽样生产者、销售者的待销产品中抽取。</w:t>
      </w:r>
    </w:p>
    <w:p w14:paraId="3DF931A0">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随机数一般可使用随机数表等方法产生。</w:t>
      </w:r>
    </w:p>
    <w:p w14:paraId="04266A47">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每批次产品抽取样品6根，其中3根为检验样品，3根为备用样品。</w:t>
      </w:r>
    </w:p>
    <w:p w14:paraId="257D9A62">
      <w:pPr>
        <w:widowControl/>
        <w:spacing w:line="360" w:lineRule="atLeast"/>
        <w:ind w:firstLine="482" w:firstLineChars="200"/>
        <w:jc w:val="left"/>
        <w:rPr>
          <w:szCs w:val="21"/>
        </w:rPr>
      </w:pPr>
      <w:r>
        <w:rPr>
          <w:rFonts w:hint="eastAsia" w:ascii="宋体" w:hAnsi="宋体" w:eastAsia="宋体" w:cs="宋体"/>
          <w:b/>
          <w:bCs/>
          <w:color w:val="000000"/>
          <w:kern w:val="0"/>
          <w:sz w:val="24"/>
        </w:rPr>
        <w:t>2 检验依据</w:t>
      </w:r>
    </w:p>
    <w:tbl>
      <w:tblPr>
        <w:tblStyle w:val="5"/>
        <w:tblW w:w="47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2"/>
        <w:gridCol w:w="4185"/>
        <w:gridCol w:w="4318"/>
      </w:tblGrid>
      <w:tr w14:paraId="37E24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416" w:type="pct"/>
            <w:vAlign w:val="center"/>
          </w:tcPr>
          <w:p w14:paraId="69FCAD8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序号</w:t>
            </w:r>
          </w:p>
        </w:tc>
        <w:tc>
          <w:tcPr>
            <w:tcW w:w="2256" w:type="pct"/>
            <w:vAlign w:val="center"/>
          </w:tcPr>
          <w:p w14:paraId="5AAF77B9">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检验项目</w:t>
            </w:r>
          </w:p>
        </w:tc>
        <w:tc>
          <w:tcPr>
            <w:tcW w:w="2328" w:type="pct"/>
            <w:vAlign w:val="center"/>
          </w:tcPr>
          <w:p w14:paraId="3496831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检验方法</w:t>
            </w:r>
          </w:p>
        </w:tc>
      </w:tr>
      <w:tr w14:paraId="2E7E1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416" w:type="pct"/>
            <w:vAlign w:val="center"/>
          </w:tcPr>
          <w:p w14:paraId="2C8B1598">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1</w:t>
            </w:r>
          </w:p>
        </w:tc>
        <w:tc>
          <w:tcPr>
            <w:tcW w:w="2256" w:type="pct"/>
            <w:tcBorders>
              <w:bottom w:val="single" w:color="auto" w:sz="4" w:space="0"/>
            </w:tcBorders>
            <w:vAlign w:val="center"/>
          </w:tcPr>
          <w:p w14:paraId="5F9ED70E">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气密性</w:t>
            </w:r>
          </w:p>
        </w:tc>
        <w:tc>
          <w:tcPr>
            <w:tcW w:w="2328" w:type="pct"/>
            <w:vAlign w:val="center"/>
          </w:tcPr>
          <w:p w14:paraId="29D95A7B">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41317—2024</w:t>
            </w:r>
          </w:p>
        </w:tc>
      </w:tr>
      <w:tr w14:paraId="1205F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416" w:type="pct"/>
            <w:vAlign w:val="center"/>
          </w:tcPr>
          <w:p w14:paraId="07771C1C">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2</w:t>
            </w:r>
          </w:p>
        </w:tc>
        <w:tc>
          <w:tcPr>
            <w:tcW w:w="2256" w:type="pct"/>
            <w:tcBorders>
              <w:top w:val="single" w:color="auto" w:sz="4" w:space="0"/>
              <w:bottom w:val="single" w:color="auto" w:sz="4" w:space="0"/>
            </w:tcBorders>
            <w:vAlign w:val="center"/>
          </w:tcPr>
          <w:p w14:paraId="0125B8A6">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耐压性</w:t>
            </w:r>
          </w:p>
        </w:tc>
        <w:tc>
          <w:tcPr>
            <w:tcW w:w="2328" w:type="pct"/>
            <w:vAlign w:val="center"/>
          </w:tcPr>
          <w:p w14:paraId="33DA2CE5">
            <w:pPr>
              <w:widowControl/>
              <w:spacing w:line="360" w:lineRule="atLeast"/>
              <w:jc w:val="center"/>
              <w:rPr>
                <w:rFonts w:ascii="宋体" w:hAnsi="宋体" w:eastAsia="宋体" w:cs="宋体"/>
                <w:color w:val="000000"/>
                <w:kern w:val="0"/>
                <w:sz w:val="24"/>
              </w:rPr>
            </w:pPr>
            <w:r>
              <w:rPr>
                <w:rFonts w:hint="eastAsia" w:ascii="宋体" w:hAnsi="宋体" w:eastAsia="宋体" w:cs="宋体"/>
                <w:color w:val="000000"/>
                <w:kern w:val="0"/>
                <w:sz w:val="24"/>
              </w:rPr>
              <w:t>GB 41317—2024</w:t>
            </w:r>
          </w:p>
        </w:tc>
      </w:tr>
    </w:tbl>
    <w:p w14:paraId="61AA38FC">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执行企业标准、团体标准、地方标准的产品，检验项目参照上述内容执行。</w:t>
      </w:r>
    </w:p>
    <w:p w14:paraId="5583D9F2">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30973179">
      <w:pPr>
        <w:widowControl/>
        <w:spacing w:line="360" w:lineRule="atLeast"/>
        <w:ind w:firstLine="480" w:firstLineChars="200"/>
        <w:jc w:val="left"/>
        <w:rPr>
          <w:rFonts w:ascii="宋体" w:hAnsi="宋体" w:eastAsia="宋体" w:cs="宋体"/>
          <w:color w:val="000000"/>
          <w:kern w:val="0"/>
          <w:sz w:val="24"/>
        </w:rPr>
      </w:pPr>
    </w:p>
    <w:p w14:paraId="027DB938">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 判定规则</w:t>
      </w:r>
    </w:p>
    <w:p w14:paraId="1836C253">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3.1 依据标准</w:t>
      </w:r>
    </w:p>
    <w:p w14:paraId="0A0FB636">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GB 41317—2024 燃气用具连接用不锈钢波纹软管</w:t>
      </w:r>
    </w:p>
    <w:p w14:paraId="2B5A059C">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现行有效的企业标准、团体标准、地方标准及产品明示质量要求</w:t>
      </w:r>
    </w:p>
    <w:p w14:paraId="55B95DFA">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3.2 判定原则</w:t>
      </w:r>
    </w:p>
    <w:p w14:paraId="7F53C019">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6C9CD1B5">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若被检产品明示的质量要求高于本细则中检验项目依据的标准要求时，应按被检产品明示的质量要求判定。</w:t>
      </w:r>
    </w:p>
    <w:p w14:paraId="5633803D">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若被检产品明示的质量要求低于本细则中检验项目依据的强制性标准要求时，应按照强制性标准要求判定。</w:t>
      </w:r>
    </w:p>
    <w:p w14:paraId="753B36B7">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若被检产品明示的质量要求低于或包含本细则中检验项目依据的推荐性标准要求时，应以被检产品明示的质量要求判定。</w:t>
      </w:r>
    </w:p>
    <w:p w14:paraId="50135B60">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若被检产品明示的质量要求缺少本细则中检验项目依据的强制性标准要求时，应按照强制性标准要求判定。</w:t>
      </w:r>
    </w:p>
    <w:p w14:paraId="73B24A54">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若被检产品明示的质量要求缺少本细则中检验项目依据的推荐性标准要求时，该项目不参与判定。</w:t>
      </w:r>
    </w:p>
    <w:p w14:paraId="0283E653">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rPr>
        <w:t>4 附则</w:t>
      </w:r>
    </w:p>
    <w:p w14:paraId="3454D01E">
      <w:pPr>
        <w:widowControl/>
        <w:spacing w:line="360" w:lineRule="atLeast"/>
        <w:ind w:firstLine="480" w:firstLineChars="200"/>
        <w:jc w:val="left"/>
        <w:rPr>
          <w:rFonts w:ascii="宋体" w:hAnsi="宋体" w:eastAsia="宋体" w:cs="宋体"/>
          <w:color w:val="000000"/>
          <w:kern w:val="0"/>
          <w:sz w:val="24"/>
        </w:rPr>
      </w:pPr>
      <w:bookmarkStart w:id="11" w:name="OLE_LINK19"/>
      <w:r>
        <w:rPr>
          <w:rFonts w:hint="eastAsia" w:ascii="宋体" w:hAnsi="宋体" w:eastAsia="宋体" w:cs="宋体"/>
          <w:color w:val="000000"/>
          <w:kern w:val="0"/>
          <w:sz w:val="24"/>
        </w:rPr>
        <w:t>本细则代替《市场监管总局关于发布木制家具等100种产品质量监督抽查实施细则的公告》（2024年第41号）中的《燃气用具连接用软管产品质量监督抽查实施细则（202</w:t>
      </w:r>
      <w:r>
        <w:rPr>
          <w:rFonts w:hint="eastAsia" w:ascii="宋体" w:hAnsi="宋体" w:eastAsia="宋体" w:cs="宋体"/>
          <w:color w:val="000000"/>
          <w:kern w:val="0"/>
          <w:sz w:val="24"/>
          <w:lang w:val="en-US" w:eastAsia="zh-CN"/>
        </w:rPr>
        <w:t>5</w:t>
      </w:r>
      <w:r>
        <w:rPr>
          <w:rFonts w:hint="eastAsia" w:ascii="宋体" w:hAnsi="宋体" w:eastAsia="宋体" w:cs="宋体"/>
          <w:color w:val="000000"/>
          <w:kern w:val="0"/>
          <w:sz w:val="24"/>
        </w:rPr>
        <w:t>年版）》。</w:t>
      </w:r>
      <w:bookmarkEnd w:id="11"/>
    </w:p>
    <w:p w14:paraId="58B9CA76">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sectPr>
          <w:pgSz w:w="11906" w:h="16838"/>
          <w:pgMar w:top="1440" w:right="1134" w:bottom="1440" w:left="1134" w:header="851" w:footer="992" w:gutter="0"/>
          <w:cols w:space="425" w:num="1"/>
          <w:docGrid w:type="lines" w:linePitch="312" w:charSpace="0"/>
        </w:sectPr>
      </w:pPr>
    </w:p>
    <w:p w14:paraId="52768DFF">
      <w:pPr>
        <w:widowControl/>
        <w:numPr>
          <w:ilvl w:val="0"/>
          <w:numId w:val="1"/>
        </w:numPr>
        <w:spacing w:line="360" w:lineRule="atLeast"/>
        <w:ind w:left="0" w:leftChars="0" w:firstLine="420" w:firstLineChars="0"/>
        <w:jc w:val="left"/>
        <w:rPr>
          <w:rFonts w:hint="eastAsia" w:ascii="宋体" w:hAnsi="宋体" w:eastAsia="宋体" w:cs="宋体"/>
          <w:b/>
          <w:bCs/>
          <w:color w:val="000000"/>
          <w:kern w:val="0"/>
          <w:sz w:val="24"/>
        </w:rPr>
      </w:pPr>
      <w:bookmarkStart w:id="12" w:name="OLE_LINK24"/>
      <w:r>
        <w:rPr>
          <w:rFonts w:hint="eastAsia" w:ascii="宋体" w:hAnsi="宋体" w:eastAsia="宋体" w:cs="宋体"/>
          <w:b/>
          <w:bCs/>
          <w:color w:val="000000"/>
          <w:kern w:val="0"/>
          <w:sz w:val="24"/>
        </w:rPr>
        <w:t>燃气用具连接用金属包覆软管</w:t>
      </w:r>
      <w:bookmarkEnd w:id="12"/>
      <w:r>
        <w:rPr>
          <w:rFonts w:hint="eastAsia" w:ascii="宋体" w:hAnsi="宋体" w:eastAsia="宋体" w:cs="宋体"/>
          <w:b/>
          <w:bCs/>
          <w:color w:val="000000"/>
          <w:kern w:val="0"/>
          <w:sz w:val="24"/>
        </w:rPr>
        <w:t>产品质量监督抽查实施细则（2026年版）</w:t>
      </w:r>
    </w:p>
    <w:p w14:paraId="2DDDE3E4">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1 抽样方法</w:t>
      </w:r>
    </w:p>
    <w:p w14:paraId="12CC9C0D">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以随机</w:t>
      </w:r>
      <w:bookmarkStart w:id="13" w:name="OLE_LINK9"/>
      <w:r>
        <w:rPr>
          <w:rFonts w:ascii="宋体" w:hAnsi="宋体" w:eastAsia="宋体" w:cs="宋体"/>
          <w:color w:val="000000"/>
          <w:kern w:val="0"/>
          <w:sz w:val="24"/>
        </w:rPr>
        <w:t>抽样的方式在被抽样生产者、销售者的待销产品中抽取。</w:t>
      </w:r>
    </w:p>
    <w:p w14:paraId="634808A6">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随机数一般可使用随机数表等方法产生。</w:t>
      </w:r>
    </w:p>
    <w:bookmarkEnd w:id="13"/>
    <w:p w14:paraId="63EF9722">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每批次产品抽取样品6根，其中3根为检验样品，3根为备用样品。</w:t>
      </w:r>
    </w:p>
    <w:p w14:paraId="14491DE7">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2 检验依据</w:t>
      </w:r>
    </w:p>
    <w:tbl>
      <w:tblPr>
        <w:tblStyle w:val="5"/>
        <w:tblpPr w:leftFromText="180" w:rightFromText="180" w:vertAnchor="text" w:horzAnchor="page" w:tblpX="1290" w:tblpY="435"/>
        <w:tblOverlap w:val="never"/>
        <w:tblW w:w="478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82"/>
        <w:gridCol w:w="5759"/>
        <w:gridCol w:w="2887"/>
      </w:tblGrid>
      <w:tr w14:paraId="42B67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trPr>
        <w:tc>
          <w:tcPr>
            <w:tcW w:w="415" w:type="pct"/>
            <w:vAlign w:val="center"/>
          </w:tcPr>
          <w:p w14:paraId="098B50C5">
            <w:pPr>
              <w:widowControl/>
              <w:spacing w:line="360" w:lineRule="atLeast"/>
              <w:jc w:val="left"/>
              <w:rPr>
                <w:rFonts w:ascii="宋体" w:hAnsi="宋体" w:eastAsia="宋体" w:cs="宋体"/>
                <w:color w:val="000000"/>
                <w:kern w:val="0"/>
                <w:sz w:val="24"/>
              </w:rPr>
            </w:pPr>
            <w:bookmarkStart w:id="14" w:name="OLE_LINK12"/>
            <w:bookmarkStart w:id="15" w:name="OLE_LINK11"/>
            <w:bookmarkStart w:id="16" w:name="OLE_LINK16"/>
            <w:bookmarkStart w:id="17" w:name="OLE_LINK15"/>
            <w:r>
              <w:rPr>
                <w:rFonts w:ascii="宋体" w:hAnsi="宋体" w:eastAsia="宋体" w:cs="宋体"/>
                <w:color w:val="000000"/>
                <w:kern w:val="0"/>
                <w:sz w:val="24"/>
              </w:rPr>
              <w:t>序号</w:t>
            </w:r>
          </w:p>
        </w:tc>
        <w:tc>
          <w:tcPr>
            <w:tcW w:w="3054" w:type="pct"/>
            <w:vAlign w:val="center"/>
          </w:tcPr>
          <w:p w14:paraId="766308C2">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检验项目</w:t>
            </w:r>
          </w:p>
        </w:tc>
        <w:tc>
          <w:tcPr>
            <w:tcW w:w="1531" w:type="pct"/>
            <w:vAlign w:val="center"/>
          </w:tcPr>
          <w:p w14:paraId="7C9C34C3">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检验方法</w:t>
            </w:r>
          </w:p>
        </w:tc>
      </w:tr>
      <w:tr w14:paraId="3D3D1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trPr>
        <w:tc>
          <w:tcPr>
            <w:tcW w:w="415" w:type="pct"/>
            <w:vAlign w:val="center"/>
          </w:tcPr>
          <w:p w14:paraId="3614BD36">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1</w:t>
            </w:r>
          </w:p>
        </w:tc>
        <w:tc>
          <w:tcPr>
            <w:tcW w:w="3054" w:type="pct"/>
            <w:vAlign w:val="center"/>
          </w:tcPr>
          <w:p w14:paraId="4FAC1D6F">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气密性</w:t>
            </w:r>
          </w:p>
        </w:tc>
        <w:tc>
          <w:tcPr>
            <w:tcW w:w="1531" w:type="pct"/>
            <w:vAlign w:val="center"/>
          </w:tcPr>
          <w:p w14:paraId="3601CA2F">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44017—2024</w:t>
            </w:r>
          </w:p>
        </w:tc>
      </w:tr>
      <w:tr w14:paraId="30869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trPr>
        <w:tc>
          <w:tcPr>
            <w:tcW w:w="415" w:type="pct"/>
            <w:vAlign w:val="center"/>
          </w:tcPr>
          <w:p w14:paraId="0026B4B8">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2</w:t>
            </w:r>
          </w:p>
        </w:tc>
        <w:tc>
          <w:tcPr>
            <w:tcW w:w="3054" w:type="pct"/>
            <w:vAlign w:val="center"/>
          </w:tcPr>
          <w:p w14:paraId="3B6C9918">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耐安装强度</w:t>
            </w:r>
          </w:p>
        </w:tc>
        <w:tc>
          <w:tcPr>
            <w:tcW w:w="1531" w:type="pct"/>
            <w:vAlign w:val="center"/>
          </w:tcPr>
          <w:p w14:paraId="24159979">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44017—2024</w:t>
            </w:r>
          </w:p>
        </w:tc>
      </w:tr>
      <w:tr w14:paraId="51250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415" w:type="pct"/>
            <w:vAlign w:val="center"/>
          </w:tcPr>
          <w:p w14:paraId="510B374D">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4</w:t>
            </w:r>
          </w:p>
        </w:tc>
        <w:tc>
          <w:tcPr>
            <w:tcW w:w="3054" w:type="pct"/>
            <w:tcBorders>
              <w:bottom w:val="single" w:color="auto" w:sz="4" w:space="0"/>
            </w:tcBorders>
            <w:vAlign w:val="center"/>
          </w:tcPr>
          <w:p w14:paraId="0847C499">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耐压性</w:t>
            </w:r>
          </w:p>
        </w:tc>
        <w:tc>
          <w:tcPr>
            <w:tcW w:w="1531" w:type="pct"/>
            <w:vAlign w:val="center"/>
          </w:tcPr>
          <w:p w14:paraId="5D085316">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44017—2024</w:t>
            </w:r>
          </w:p>
        </w:tc>
      </w:tr>
      <w:tr w14:paraId="5FDA6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trPr>
        <w:tc>
          <w:tcPr>
            <w:tcW w:w="415" w:type="pct"/>
            <w:vAlign w:val="center"/>
          </w:tcPr>
          <w:p w14:paraId="3112689D">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5</w:t>
            </w:r>
          </w:p>
        </w:tc>
        <w:tc>
          <w:tcPr>
            <w:tcW w:w="3054" w:type="pct"/>
            <w:vAlign w:val="center"/>
          </w:tcPr>
          <w:p w14:paraId="0ACE8041">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抗拉性</w:t>
            </w:r>
          </w:p>
        </w:tc>
        <w:tc>
          <w:tcPr>
            <w:tcW w:w="1531" w:type="pct"/>
            <w:vAlign w:val="center"/>
          </w:tcPr>
          <w:p w14:paraId="7C5A95F3">
            <w:pPr>
              <w:widowControl/>
              <w:spacing w:line="360" w:lineRule="atLeast"/>
              <w:jc w:val="center"/>
              <w:rPr>
                <w:rFonts w:ascii="宋体" w:hAnsi="宋体" w:eastAsia="宋体" w:cs="宋体"/>
                <w:color w:val="000000"/>
                <w:kern w:val="0"/>
                <w:sz w:val="24"/>
              </w:rPr>
            </w:pPr>
            <w:r>
              <w:rPr>
                <w:rFonts w:ascii="宋体" w:hAnsi="宋体" w:eastAsia="宋体" w:cs="宋体"/>
                <w:color w:val="000000"/>
                <w:kern w:val="0"/>
                <w:sz w:val="24"/>
              </w:rPr>
              <w:t>GB 44017—2024</w:t>
            </w:r>
          </w:p>
        </w:tc>
      </w:tr>
      <w:bookmarkEnd w:id="14"/>
      <w:bookmarkEnd w:id="15"/>
      <w:bookmarkEnd w:id="16"/>
      <w:bookmarkEnd w:id="17"/>
    </w:tbl>
    <w:p w14:paraId="19FCA812">
      <w:pPr>
        <w:widowControl/>
        <w:spacing w:line="360" w:lineRule="atLeast"/>
        <w:jc w:val="both"/>
        <w:rPr>
          <w:rFonts w:ascii="宋体" w:hAnsi="宋体" w:eastAsia="宋体" w:cs="宋体"/>
          <w:color w:val="000000"/>
          <w:kern w:val="0"/>
          <w:sz w:val="24"/>
        </w:rPr>
      </w:pPr>
    </w:p>
    <w:p w14:paraId="6F4E42F2">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执行企业标准、团体标准、地方标准的产品，检验项目参照上述内容执行。</w:t>
      </w:r>
    </w:p>
    <w:p w14:paraId="29FB094A">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凡是注日期的文件，其随后所有的修改单（不包括勘误的内容）或修订版不适用于本细则。凡是不注日期的文件，其最新版本适用于本细则。</w:t>
      </w:r>
    </w:p>
    <w:p w14:paraId="2427ED42">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3 判定规则</w:t>
      </w:r>
    </w:p>
    <w:p w14:paraId="0BD882D5">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3.1</w:t>
      </w:r>
      <w:r>
        <w:rPr>
          <w:rFonts w:hint="eastAsia" w:ascii="宋体" w:hAnsi="宋体" w:eastAsia="宋体" w:cs="宋体"/>
          <w:b/>
          <w:bCs/>
          <w:color w:val="000000"/>
          <w:kern w:val="0"/>
          <w:sz w:val="24"/>
        </w:rPr>
        <w:t xml:space="preserve"> </w:t>
      </w:r>
      <w:r>
        <w:rPr>
          <w:rFonts w:ascii="宋体" w:hAnsi="宋体" w:eastAsia="宋体" w:cs="宋体"/>
          <w:b/>
          <w:bCs/>
          <w:color w:val="000000"/>
          <w:kern w:val="0"/>
          <w:sz w:val="24"/>
        </w:rPr>
        <w:t>依据标准</w:t>
      </w:r>
    </w:p>
    <w:p w14:paraId="4446F37D">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GB 44017</w:t>
      </w:r>
      <w:r>
        <w:rPr>
          <w:rFonts w:hint="eastAsia" w:ascii="宋体" w:hAnsi="宋体" w:eastAsia="宋体" w:cs="宋体"/>
          <w:color w:val="000000"/>
          <w:kern w:val="0"/>
          <w:sz w:val="24"/>
        </w:rPr>
        <w:t>—</w:t>
      </w:r>
      <w:r>
        <w:rPr>
          <w:rFonts w:ascii="宋体" w:hAnsi="宋体" w:eastAsia="宋体" w:cs="宋体"/>
          <w:color w:val="000000"/>
          <w:kern w:val="0"/>
          <w:sz w:val="24"/>
        </w:rPr>
        <w:t>2024 燃气用具连接用金属包覆软管</w:t>
      </w:r>
    </w:p>
    <w:p w14:paraId="7B77796A">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现行有效的企业标准、团体标准、地方标准及产品明示质量要求</w:t>
      </w:r>
    </w:p>
    <w:p w14:paraId="3C0267DE">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3.2</w:t>
      </w:r>
      <w:r>
        <w:rPr>
          <w:rFonts w:hint="eastAsia" w:ascii="宋体" w:hAnsi="宋体" w:eastAsia="宋体" w:cs="宋体"/>
          <w:b/>
          <w:bCs/>
          <w:color w:val="000000"/>
          <w:kern w:val="0"/>
          <w:sz w:val="24"/>
        </w:rPr>
        <w:t xml:space="preserve"> </w:t>
      </w:r>
      <w:r>
        <w:rPr>
          <w:rFonts w:ascii="宋体" w:hAnsi="宋体" w:eastAsia="宋体" w:cs="宋体"/>
          <w:b/>
          <w:bCs/>
          <w:color w:val="000000"/>
          <w:kern w:val="0"/>
          <w:sz w:val="24"/>
        </w:rPr>
        <w:t>判定原则</w:t>
      </w:r>
    </w:p>
    <w:p w14:paraId="164EE793">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经检验，检验项目全部合格，判定为被抽查产品所检项目未发现不合格；检验项目中任一项或一项以上不合格，判定为被抽查产品不合格。</w:t>
      </w:r>
    </w:p>
    <w:p w14:paraId="3300548A">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若被检产品明示的质量要求高于本细则中检验项目依据的标准要求时，应按被检产品明示的质量要求判定。</w:t>
      </w:r>
    </w:p>
    <w:p w14:paraId="4C727EB8">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若被检产品明示的质量要求低于本细则中检验项目依据的强制性标准要求时，应按照强制性标准要求判定。</w:t>
      </w:r>
    </w:p>
    <w:p w14:paraId="72E4C000">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若被检产品明示的质量要求低于或包含本细则中检验项目依据的推荐性标准要求时，应以被检产品明示的质量要求判定。</w:t>
      </w:r>
    </w:p>
    <w:p w14:paraId="662B8372">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若被检产品明示的质量要求缺少本细则中检验项目依据的强制性标准要求时，应按照强制性标准要求判定。</w:t>
      </w:r>
    </w:p>
    <w:p w14:paraId="61DEB794">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若被检产品明示的质量要求缺少本细则中检验项目依据的推荐性标准要求时，该项目不参与判定。</w:t>
      </w:r>
    </w:p>
    <w:p w14:paraId="3C4C8360">
      <w:pPr>
        <w:widowControl/>
        <w:spacing w:line="360" w:lineRule="atLeast"/>
        <w:ind w:firstLine="482" w:firstLineChars="200"/>
        <w:jc w:val="left"/>
        <w:rPr>
          <w:rFonts w:ascii="宋体" w:hAnsi="宋体" w:eastAsia="宋体" w:cs="宋体"/>
          <w:b/>
          <w:bCs/>
          <w:color w:val="000000"/>
          <w:kern w:val="0"/>
          <w:sz w:val="24"/>
        </w:rPr>
      </w:pPr>
      <w:r>
        <w:rPr>
          <w:rFonts w:ascii="宋体" w:hAnsi="宋体" w:eastAsia="宋体" w:cs="宋体"/>
          <w:b/>
          <w:bCs/>
          <w:color w:val="000000"/>
          <w:kern w:val="0"/>
          <w:sz w:val="24"/>
        </w:rPr>
        <w:t>4 附则</w:t>
      </w:r>
    </w:p>
    <w:p w14:paraId="075FB29E">
      <w:pPr>
        <w:widowControl/>
        <w:spacing w:line="360" w:lineRule="atLeast"/>
        <w:ind w:firstLine="480" w:firstLineChars="200"/>
        <w:jc w:val="left"/>
        <w:rPr>
          <w:rFonts w:ascii="宋体" w:hAnsi="宋体" w:eastAsia="宋体" w:cs="宋体"/>
          <w:color w:val="000000"/>
          <w:kern w:val="0"/>
          <w:sz w:val="24"/>
        </w:rPr>
      </w:pPr>
      <w:r>
        <w:rPr>
          <w:rFonts w:ascii="宋体" w:hAnsi="宋体" w:eastAsia="宋体" w:cs="宋体"/>
          <w:color w:val="000000"/>
          <w:kern w:val="0"/>
          <w:sz w:val="24"/>
        </w:rPr>
        <w:t>本细则代替《燃气用具连接用软管产品质量监督抽查实施细则（2024年版）》。</w:t>
      </w:r>
    </w:p>
    <w:p w14:paraId="2D39754A">
      <w:pPr>
        <w:widowControl/>
        <w:spacing w:line="360" w:lineRule="atLeast"/>
        <w:jc w:val="left"/>
        <w:rPr>
          <w:rFonts w:ascii="宋体" w:hAnsi="宋体" w:eastAsia="宋体" w:cs="宋体"/>
          <w:color w:val="000000"/>
          <w:kern w:val="0"/>
          <w:sz w:val="24"/>
        </w:rPr>
      </w:pPr>
    </w:p>
    <w:p w14:paraId="25F46531">
      <w:pPr>
        <w:rPr>
          <w:rFonts w:ascii="宋体" w:hAnsi="宋体" w:eastAsia="宋体" w:cs="宋体"/>
          <w:color w:val="000000"/>
          <w:kern w:val="0"/>
          <w:sz w:val="24"/>
        </w:rPr>
      </w:pPr>
      <w:r>
        <w:rPr>
          <w:rFonts w:ascii="宋体" w:hAnsi="宋体" w:eastAsia="宋体" w:cs="宋体"/>
          <w:color w:val="000000"/>
          <w:kern w:val="0"/>
          <w:sz w:val="24"/>
        </w:rPr>
        <w:br w:type="page"/>
      </w:r>
    </w:p>
    <w:p w14:paraId="607DE082">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lang w:eastAsia="zh-CN"/>
        </w:rPr>
        <w:t>二</w:t>
      </w:r>
      <w:r>
        <w:rPr>
          <w:rFonts w:hint="eastAsia" w:ascii="宋体" w:hAnsi="宋体" w:eastAsia="宋体" w:cs="宋体"/>
          <w:b/>
          <w:bCs/>
          <w:color w:val="000000"/>
          <w:kern w:val="0"/>
          <w:sz w:val="24"/>
        </w:rPr>
        <w:t>、检验工作安排</w:t>
      </w:r>
    </w:p>
    <w:p w14:paraId="5087BC7A">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1、样品送检：</w:t>
      </w:r>
      <w:r>
        <w:rPr>
          <w:rFonts w:hint="eastAsia" w:ascii="宋体" w:hAnsi="宋体" w:eastAsia="宋体" w:cs="宋体"/>
          <w:color w:val="000000"/>
          <w:kern w:val="0"/>
          <w:sz w:val="24"/>
        </w:rPr>
        <w:t>样品送达实验室后，由专人签收登记，确认封条完整性及样品状态。若封条破损或样品损坏无法正常检测，则启动备用样品；若备用样品亦损坏，则重新抽样或取消该批次，并上报喀什市市场监督管理局。</w:t>
      </w:r>
    </w:p>
    <w:p w14:paraId="165F3A4B">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2、检验过程：</w:t>
      </w:r>
      <w:r>
        <w:rPr>
          <w:rFonts w:hint="eastAsia" w:ascii="宋体" w:hAnsi="宋体" w:eastAsia="宋体" w:cs="宋体"/>
          <w:color w:val="000000"/>
          <w:kern w:val="0"/>
          <w:sz w:val="24"/>
        </w:rPr>
        <w:t>安排专业检测小组按标准进行检测。检测过程中出现不合格项目时，由另一工程师重新进行该项目检测，确认结果是否一致。如不一致，由检测小组讨论统一，确保检测结果客观权威。</w:t>
      </w:r>
    </w:p>
    <w:p w14:paraId="5102E8C4">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3、结果分析：</w:t>
      </w:r>
      <w:r>
        <w:rPr>
          <w:rFonts w:hint="eastAsia" w:ascii="宋体" w:hAnsi="宋体" w:eastAsia="宋体" w:cs="宋体"/>
          <w:color w:val="000000"/>
          <w:kern w:val="0"/>
          <w:sz w:val="24"/>
        </w:rPr>
        <w:t>对检测结果进行分析，评估产品质量，提出不合格项目的整改建议及问题原因分析，指导企业整改。</w:t>
      </w:r>
    </w:p>
    <w:p w14:paraId="2E12F341">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4、报告编制：</w:t>
      </w:r>
      <w:r>
        <w:rPr>
          <w:rFonts w:hint="eastAsia" w:ascii="宋体" w:hAnsi="宋体" w:eastAsia="宋体" w:cs="宋体"/>
          <w:color w:val="000000"/>
          <w:kern w:val="0"/>
          <w:sz w:val="24"/>
        </w:rPr>
        <w:t>编制详细检测报告，内容包括：样品信息、抽样时间、抽样地点、到样时间、样品状态、检测结果、检测不合格项的详细图片信息、质量分析和整改建议等。</w:t>
      </w:r>
    </w:p>
    <w:p w14:paraId="1577E365">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5、结果公示：</w:t>
      </w:r>
      <w:r>
        <w:rPr>
          <w:rFonts w:hint="eastAsia" w:ascii="宋体" w:hAnsi="宋体" w:eastAsia="宋体" w:cs="宋体"/>
          <w:color w:val="000000"/>
          <w:kern w:val="0"/>
          <w:sz w:val="24"/>
        </w:rPr>
        <w:t>按要求将检测结果上报喀什市市场监督管理局。</w:t>
      </w:r>
    </w:p>
    <w:p w14:paraId="1CCD4FAD">
      <w:pPr>
        <w:widowControl/>
        <w:spacing w:line="360" w:lineRule="atLeast"/>
        <w:ind w:firstLine="480" w:firstLineChars="200"/>
        <w:jc w:val="left"/>
        <w:rPr>
          <w:rFonts w:ascii="宋体" w:hAnsi="宋体" w:eastAsia="宋体" w:cs="宋体"/>
          <w:color w:val="000000"/>
          <w:kern w:val="0"/>
          <w:sz w:val="24"/>
        </w:rPr>
      </w:pPr>
    </w:p>
    <w:p w14:paraId="5825E466">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lang w:eastAsia="zh-CN"/>
        </w:rPr>
        <w:t>三</w:t>
      </w:r>
      <w:r>
        <w:rPr>
          <w:rFonts w:hint="eastAsia" w:ascii="宋体" w:hAnsi="宋体" w:eastAsia="宋体" w:cs="宋体"/>
          <w:b/>
          <w:bCs/>
          <w:color w:val="000000"/>
          <w:kern w:val="0"/>
          <w:sz w:val="24"/>
        </w:rPr>
        <w:t>、样品处置</w:t>
      </w:r>
    </w:p>
    <w:p w14:paraId="55497071">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1、样品接收与登记：</w:t>
      </w:r>
      <w:r>
        <w:rPr>
          <w:rFonts w:hint="eastAsia" w:ascii="宋体" w:hAnsi="宋体" w:eastAsia="宋体" w:cs="宋体"/>
          <w:color w:val="000000"/>
          <w:kern w:val="0"/>
          <w:sz w:val="24"/>
        </w:rPr>
        <w:t>样品到达实验室后，由专人签收、登记，确保样品信息全程可追溯。</w:t>
      </w:r>
    </w:p>
    <w:p w14:paraId="630ED640">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2、样品存储：</w:t>
      </w:r>
      <w:r>
        <w:rPr>
          <w:rFonts w:hint="eastAsia" w:ascii="宋体" w:hAnsi="宋体" w:eastAsia="宋体" w:cs="宋体"/>
          <w:color w:val="000000"/>
          <w:kern w:val="0"/>
          <w:sz w:val="24"/>
        </w:rPr>
        <w:t>根据产品特性设置专用存储区域（常温、恒温、防潮等），确保样品在检测前状态稳定。</w:t>
      </w:r>
    </w:p>
    <w:p w14:paraId="4FF28764">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3、复检样品保留：</w:t>
      </w:r>
      <w:r>
        <w:rPr>
          <w:rFonts w:hint="eastAsia" w:ascii="宋体" w:hAnsi="宋体" w:eastAsia="宋体" w:cs="宋体"/>
          <w:color w:val="000000"/>
          <w:kern w:val="0"/>
          <w:sz w:val="24"/>
        </w:rPr>
        <w:t>所有样品保留复检备份样品，封存于被检单位或抽样方处。如需复检，由抽样方取回复检样品。复检样品保留期限不少于3个月或按喀什市市场监督管理局要求执行。</w:t>
      </w:r>
    </w:p>
    <w:p w14:paraId="6DCF2BA9">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4、检测后处置：</w:t>
      </w:r>
      <w:r>
        <w:rPr>
          <w:rFonts w:hint="eastAsia" w:ascii="宋体" w:hAnsi="宋体" w:eastAsia="宋体" w:cs="宋体"/>
          <w:color w:val="000000"/>
          <w:kern w:val="0"/>
          <w:sz w:val="24"/>
        </w:rPr>
        <w:t>检测完成后，按喀什市市场监督管理局要求执行退样、销毁或留样处理，并保留处置记录。</w:t>
      </w:r>
    </w:p>
    <w:p w14:paraId="304CEEF4">
      <w:pPr>
        <w:widowControl/>
        <w:spacing w:line="360" w:lineRule="atLeast"/>
        <w:ind w:firstLine="480" w:firstLineChars="200"/>
        <w:jc w:val="left"/>
        <w:rPr>
          <w:rFonts w:ascii="宋体" w:hAnsi="宋体" w:eastAsia="宋体" w:cs="宋体"/>
          <w:color w:val="000000"/>
          <w:kern w:val="0"/>
          <w:sz w:val="24"/>
        </w:rPr>
      </w:pPr>
    </w:p>
    <w:p w14:paraId="19B12BB8">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lang w:eastAsia="zh-CN"/>
        </w:rPr>
        <w:t>四</w:t>
      </w:r>
      <w:r>
        <w:rPr>
          <w:rFonts w:hint="eastAsia" w:ascii="宋体" w:hAnsi="宋体" w:eastAsia="宋体" w:cs="宋体"/>
          <w:b/>
          <w:bCs/>
          <w:color w:val="000000"/>
          <w:kern w:val="0"/>
          <w:sz w:val="24"/>
        </w:rPr>
        <w:t>、复检与异议处理</w:t>
      </w:r>
    </w:p>
    <w:p w14:paraId="15F31FD1">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1、被检单位对检验结果有异议的，可在收到报告之日起 15日内 书面提出复检申请。</w:t>
      </w:r>
    </w:p>
    <w:p w14:paraId="22130D61">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2、本机构在收到复检申请后 2个工作日内完成复检条件审核，并配合喀什市市场监督管理局组织复检。</w:t>
      </w:r>
    </w:p>
    <w:p w14:paraId="270ACBBD">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3、复检样品优先使用原留样（复检备份样品），复检机构由喀什市市场监督管理局指定或双方协商确定。</w:t>
      </w:r>
    </w:p>
    <w:p w14:paraId="3C642282">
      <w:pPr>
        <w:widowControl/>
        <w:spacing w:line="360" w:lineRule="atLeast"/>
        <w:ind w:firstLine="480" w:firstLineChars="200"/>
        <w:jc w:val="left"/>
        <w:rPr>
          <w:rFonts w:ascii="宋体" w:hAnsi="宋体" w:eastAsia="宋体" w:cs="宋体"/>
          <w:color w:val="000000"/>
          <w:kern w:val="0"/>
          <w:sz w:val="24"/>
        </w:rPr>
      </w:pPr>
      <w:r>
        <w:rPr>
          <w:rFonts w:hint="eastAsia" w:ascii="宋体" w:hAnsi="宋体" w:eastAsia="宋体" w:cs="宋体"/>
          <w:color w:val="000000"/>
          <w:kern w:val="0"/>
          <w:sz w:val="24"/>
        </w:rPr>
        <w:t>4、复检费用由责任方承担，复检结论为最终判定依据。</w:t>
      </w:r>
    </w:p>
    <w:p w14:paraId="22B3BFFE">
      <w:pPr>
        <w:widowControl/>
        <w:spacing w:line="360" w:lineRule="atLeast"/>
        <w:ind w:firstLine="480" w:firstLineChars="200"/>
        <w:jc w:val="left"/>
        <w:rPr>
          <w:rFonts w:ascii="宋体" w:hAnsi="宋体" w:eastAsia="宋体" w:cs="宋体"/>
          <w:color w:val="000000"/>
          <w:kern w:val="0"/>
          <w:sz w:val="24"/>
        </w:rPr>
      </w:pPr>
    </w:p>
    <w:p w14:paraId="72683965">
      <w:pPr>
        <w:widowControl/>
        <w:spacing w:line="360" w:lineRule="atLeast"/>
        <w:ind w:firstLine="482" w:firstLineChars="200"/>
        <w:jc w:val="left"/>
        <w:rPr>
          <w:rFonts w:ascii="宋体" w:hAnsi="宋体" w:eastAsia="宋体" w:cs="宋体"/>
          <w:b/>
          <w:bCs/>
          <w:color w:val="000000"/>
          <w:kern w:val="0"/>
          <w:sz w:val="24"/>
        </w:rPr>
      </w:pPr>
      <w:r>
        <w:rPr>
          <w:rFonts w:hint="eastAsia" w:ascii="宋体" w:hAnsi="宋体" w:eastAsia="宋体" w:cs="宋体"/>
          <w:b/>
          <w:bCs/>
          <w:color w:val="000000"/>
          <w:kern w:val="0"/>
          <w:sz w:val="24"/>
          <w:lang w:eastAsia="zh-CN"/>
        </w:rPr>
        <w:t>五</w:t>
      </w:r>
      <w:r>
        <w:rPr>
          <w:rFonts w:hint="eastAsia" w:ascii="宋体" w:hAnsi="宋体" w:eastAsia="宋体" w:cs="宋体"/>
          <w:b/>
          <w:bCs/>
          <w:color w:val="000000"/>
          <w:kern w:val="0"/>
          <w:sz w:val="24"/>
        </w:rPr>
        <w:t>、结果送达</w:t>
      </w:r>
    </w:p>
    <w:p w14:paraId="600A2DB2">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1、文书准备：</w:t>
      </w:r>
      <w:r>
        <w:rPr>
          <w:rFonts w:hint="eastAsia" w:ascii="宋体" w:hAnsi="宋体" w:eastAsia="宋体" w:cs="宋体"/>
          <w:color w:val="000000"/>
          <w:kern w:val="0"/>
          <w:sz w:val="24"/>
        </w:rPr>
        <w:t>结果出具后3个工作日内复核报告并制作《监督抽查结果通知书》《检验报告》《送达回证》等文书。</w:t>
      </w:r>
    </w:p>
    <w:p w14:paraId="4F30D410">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2、执行送达：</w:t>
      </w:r>
      <w:r>
        <w:rPr>
          <w:rFonts w:hint="eastAsia" w:ascii="宋体" w:hAnsi="宋体" w:eastAsia="宋体" w:cs="宋体"/>
          <w:color w:val="000000"/>
          <w:kern w:val="0"/>
          <w:sz w:val="24"/>
        </w:rPr>
        <w:t>优先通过政府指定平台或官方邮箱进行电子送达，同步通过EMS邮寄纸质文书。</w:t>
      </w:r>
    </w:p>
    <w:p w14:paraId="24F29282">
      <w:pPr>
        <w:widowControl/>
        <w:spacing w:line="360" w:lineRule="atLeast"/>
        <w:ind w:firstLine="482" w:firstLineChars="200"/>
        <w:jc w:val="left"/>
        <w:rPr>
          <w:rFonts w:ascii="宋体" w:hAnsi="宋体" w:eastAsia="宋体" w:cs="宋体"/>
          <w:color w:val="000000"/>
          <w:kern w:val="0"/>
          <w:sz w:val="24"/>
        </w:rPr>
      </w:pPr>
      <w:r>
        <w:rPr>
          <w:rFonts w:hint="eastAsia" w:ascii="宋体" w:hAnsi="宋体" w:eastAsia="宋体" w:cs="宋体"/>
          <w:b/>
          <w:bCs/>
          <w:color w:val="000000"/>
          <w:kern w:val="0"/>
          <w:sz w:val="24"/>
        </w:rPr>
        <w:t>3、跟踪归档：</w:t>
      </w:r>
      <w:r>
        <w:rPr>
          <w:rFonts w:hint="eastAsia" w:ascii="宋体" w:hAnsi="宋体" w:eastAsia="宋体" w:cs="宋体"/>
          <w:color w:val="000000"/>
          <w:kern w:val="0"/>
          <w:sz w:val="24"/>
        </w:rPr>
        <w:t>全程跟踪物流及签收状态，异常时启动补充送达（电话、邮件、再次邮寄），确保送达率100%。所有送达凭证电子化归档备查。</w:t>
      </w: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44043B-EEF2-4B76-8956-6236D5EA648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633A907-A534-4330-816B-2F9D3A930F63}"/>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A0DC4F"/>
    <w:multiLevelType w:val="singleLevel"/>
    <w:tmpl w:val="3AA0DC4F"/>
    <w:lvl w:ilvl="0" w:tentative="0">
      <w:start w:val="1"/>
      <w:numFmt w:val="chineseCounting"/>
      <w:suff w:val="nothing"/>
      <w:lvlText w:val="（%1）"/>
      <w:lvlJc w:val="left"/>
      <w:pPr>
        <w:ind w:left="0" w:firstLine="420"/>
      </w:pPr>
      <w:rPr>
        <w:rFonts w:hint="eastAsia"/>
        <w:b/>
        <w:bCs/>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972A34"/>
    <w:rsid w:val="001408B9"/>
    <w:rsid w:val="00146F6F"/>
    <w:rsid w:val="0029755C"/>
    <w:rsid w:val="003E1612"/>
    <w:rsid w:val="003F3585"/>
    <w:rsid w:val="00582AEC"/>
    <w:rsid w:val="0058651C"/>
    <w:rsid w:val="00776D75"/>
    <w:rsid w:val="007C3E51"/>
    <w:rsid w:val="008225DE"/>
    <w:rsid w:val="00823D10"/>
    <w:rsid w:val="008B3289"/>
    <w:rsid w:val="009A42C9"/>
    <w:rsid w:val="009A4DAA"/>
    <w:rsid w:val="009E19EB"/>
    <w:rsid w:val="00A72D5F"/>
    <w:rsid w:val="00AC2F5C"/>
    <w:rsid w:val="00B006F3"/>
    <w:rsid w:val="00B759AD"/>
    <w:rsid w:val="00C13D3F"/>
    <w:rsid w:val="00CD4B65"/>
    <w:rsid w:val="00CD4EF6"/>
    <w:rsid w:val="00CF16CC"/>
    <w:rsid w:val="00DC7A4F"/>
    <w:rsid w:val="00F00523"/>
    <w:rsid w:val="039667A9"/>
    <w:rsid w:val="0543026B"/>
    <w:rsid w:val="054A0E25"/>
    <w:rsid w:val="06FE6B3F"/>
    <w:rsid w:val="07A07BF6"/>
    <w:rsid w:val="07C21FD0"/>
    <w:rsid w:val="09E55D95"/>
    <w:rsid w:val="0B5605CC"/>
    <w:rsid w:val="0EB977F0"/>
    <w:rsid w:val="0F5F2145"/>
    <w:rsid w:val="1331204B"/>
    <w:rsid w:val="13B95008"/>
    <w:rsid w:val="1534197E"/>
    <w:rsid w:val="1650051A"/>
    <w:rsid w:val="165C73DE"/>
    <w:rsid w:val="169F796D"/>
    <w:rsid w:val="1A5F0EA6"/>
    <w:rsid w:val="1C907DE2"/>
    <w:rsid w:val="1C9553F8"/>
    <w:rsid w:val="1CC3102C"/>
    <w:rsid w:val="1D570900"/>
    <w:rsid w:val="2078528A"/>
    <w:rsid w:val="226F33EA"/>
    <w:rsid w:val="23D83E1C"/>
    <w:rsid w:val="246658A8"/>
    <w:rsid w:val="2AD03149"/>
    <w:rsid w:val="2BB86A0D"/>
    <w:rsid w:val="2C7E1A70"/>
    <w:rsid w:val="2C8E59C0"/>
    <w:rsid w:val="2DAA682A"/>
    <w:rsid w:val="2E5642BC"/>
    <w:rsid w:val="2E972A34"/>
    <w:rsid w:val="2F310ED4"/>
    <w:rsid w:val="2F866E22"/>
    <w:rsid w:val="2FC92075"/>
    <w:rsid w:val="328E2276"/>
    <w:rsid w:val="33863895"/>
    <w:rsid w:val="36E7289C"/>
    <w:rsid w:val="3BAB20EB"/>
    <w:rsid w:val="3FE05BB7"/>
    <w:rsid w:val="44FD0B3A"/>
    <w:rsid w:val="45583E57"/>
    <w:rsid w:val="47381007"/>
    <w:rsid w:val="47AA0711"/>
    <w:rsid w:val="4A385E83"/>
    <w:rsid w:val="4B1D6435"/>
    <w:rsid w:val="4B4B0544"/>
    <w:rsid w:val="4C8B1B78"/>
    <w:rsid w:val="4D8F7605"/>
    <w:rsid w:val="4E881E17"/>
    <w:rsid w:val="530103EA"/>
    <w:rsid w:val="536A2433"/>
    <w:rsid w:val="571B53DB"/>
    <w:rsid w:val="59243368"/>
    <w:rsid w:val="5A504131"/>
    <w:rsid w:val="5C0D1BAE"/>
    <w:rsid w:val="5C677510"/>
    <w:rsid w:val="5DDE3802"/>
    <w:rsid w:val="5EB12C47"/>
    <w:rsid w:val="5F047DE2"/>
    <w:rsid w:val="6138383D"/>
    <w:rsid w:val="625E7607"/>
    <w:rsid w:val="62A279D4"/>
    <w:rsid w:val="66284FB6"/>
    <w:rsid w:val="666F5074"/>
    <w:rsid w:val="6837248C"/>
    <w:rsid w:val="6D287521"/>
    <w:rsid w:val="6DFA0AEE"/>
    <w:rsid w:val="72B92358"/>
    <w:rsid w:val="73E831D5"/>
    <w:rsid w:val="73ED2599"/>
    <w:rsid w:val="77EF1DAB"/>
    <w:rsid w:val="78B139DF"/>
    <w:rsid w:val="7A9E02BB"/>
    <w:rsid w:val="7E5C45A3"/>
    <w:rsid w:val="7EF17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page number"/>
    <w:qFormat/>
    <w:uiPriority w:val="0"/>
  </w:style>
  <w:style w:type="character" w:styleId="9">
    <w:name w:val="annotation reference"/>
    <w:unhideWhenUsed/>
    <w:qFormat/>
    <w:uiPriority w:val="99"/>
    <w:rPr>
      <w:sz w:val="21"/>
      <w:szCs w:val="21"/>
    </w:rPr>
  </w:style>
  <w:style w:type="character" w:customStyle="1" w:styleId="10">
    <w:name w:val="页眉 Char"/>
    <w:basedOn w:val="6"/>
    <w:link w:val="4"/>
    <w:qFormat/>
    <w:uiPriority w:val="0"/>
    <w:rPr>
      <w:kern w:val="2"/>
      <w:sz w:val="18"/>
      <w:szCs w:val="18"/>
    </w:rPr>
  </w:style>
  <w:style w:type="character" w:customStyle="1" w:styleId="11">
    <w:name w:val="页脚 Char"/>
    <w:basedOn w:val="6"/>
    <w:link w:val="3"/>
    <w:qFormat/>
    <w:uiPriority w:val="0"/>
    <w:rPr>
      <w:kern w:val="2"/>
      <w:sz w:val="18"/>
      <w:szCs w:val="18"/>
    </w:rPr>
  </w:style>
  <w:style w:type="character" w:customStyle="1" w:styleId="12">
    <w:name w:val="标题 2 Char"/>
    <w:basedOn w:val="6"/>
    <w:link w:val="2"/>
    <w:qFormat/>
    <w:uiPriority w:val="9"/>
    <w:rPr>
      <w:rFonts w:ascii="宋体" w:hAnsi="宋体" w:eastAsia="宋体" w:cs="宋体"/>
      <w:b/>
      <w:bCs/>
      <w:sz w:val="36"/>
      <w:szCs w:val="36"/>
    </w:rPr>
  </w:style>
  <w:style w:type="paragraph" w:customStyle="1" w:styleId="13">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24"/>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1300</Words>
  <Characters>1610</Characters>
  <Lines>123</Lines>
  <Paragraphs>34</Paragraphs>
  <TotalTime>5632</TotalTime>
  <ScaleCrop>false</ScaleCrop>
  <LinksUpToDate>false</LinksUpToDate>
  <CharactersWithSpaces>1646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2026-07-01T07:20:00Z</dcterms:created>
  <dc:creator>桃子</dc:creator>
  <cp:lastModifiedBy>沉默</cp:lastModifiedBy>
  <dcterms:modified xsi:type="dcterms:W3CDTF">2026-07-28T03:39:20Z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3503B3BCEFF94529B740667E2FBD487C_13</vt:lpwstr>
  </property>
  <property fmtid="{D5CDD505-2E9C-101B-9397-08002B2CF9AE}" pid="4" name="KSOTemplateDocerSaveRecord">
    <vt:lpwstr>eyJoZGlkIjoiNTQ1ZWI2MDMwYzg2OWNjMjcwY2U3MDdjNzRhOTRlYTYiLCJ1c2VySWQiOiI0NzA2ODMyMjIifQ==</vt:lpwstr>
  </property>
</Properties>
</file>