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baseline"/>
        <w:rPr>
          <w:rFonts w:hint="eastAsia" w:ascii="Times New Roman" w:hAnsi="Times New Roman" w:eastAsia="方正小标宋_GBK" w:cs="Times New Roman"/>
          <w:spacing w:val="-15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15"/>
          <w:sz w:val="40"/>
          <w:szCs w:val="40"/>
          <w:lang w:val="en-US" w:eastAsia="zh-CN"/>
        </w:rPr>
        <w:t>喀什市人民政府征地补偿安置方案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16" w:firstLineChars="200"/>
        <w:jc w:val="both"/>
        <w:textAlignment w:val="baseline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pacing w:val="4"/>
          <w:sz w:val="30"/>
          <w:szCs w:val="30"/>
        </w:rPr>
        <w:t>根据《中华人民共和国土地管理法》第四十七条、第四十八条，《中华人民共和国土地管理法实施条例》第二十七条、第二十八条，《新疆维吾尔自治区实施&lt;中华人民共和国土地管理法&gt;办法》第二十六条的规定，依据征收土地预公告、拟征收土地现状调查和社会稳定风险评估情况，现将拟定征收土地补偿安置方案的有关事项公告如下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5"/>
        <w:textAlignment w:val="baseline"/>
        <w:outlineLvl w:val="1"/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一、征收范围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eastAsia" w:ascii="方正仿宋_GBK" w:hAnsi="方正仿宋_GBK" w:eastAsia="方正仿宋_GBK" w:cs="方正仿宋_GBK"/>
          <w:spacing w:val="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4"/>
          <w:sz w:val="30"/>
          <w:szCs w:val="30"/>
        </w:rPr>
        <w:t>本次拟征收位于</w:t>
      </w:r>
      <w:r>
        <w:rPr>
          <w:rFonts w:hint="eastAsia" w:ascii="方正仿宋_GBK" w:hAnsi="方正仿宋_GBK" w:eastAsia="方正仿宋_GBK" w:cs="方正仿宋_GBK"/>
          <w:spacing w:val="4"/>
          <w:sz w:val="30"/>
          <w:szCs w:val="30"/>
          <w:lang w:val="en-US" w:eastAsia="zh-CN"/>
        </w:rPr>
        <w:t>帕哈太克里乡，尤喀尔克喀库拉村、帕合太克里村、稻香村</w:t>
      </w:r>
      <w:r>
        <w:rPr>
          <w:rFonts w:hint="eastAsia" w:ascii="方正仿宋_GBK" w:hAnsi="方正仿宋_GBK" w:eastAsia="方正仿宋_GBK" w:cs="方正仿宋_GBK"/>
          <w:spacing w:val="4"/>
          <w:sz w:val="30"/>
          <w:szCs w:val="30"/>
        </w:rPr>
        <w:t>范围内，拟征收农民集体所有土地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0.0261</w:t>
      </w:r>
      <w:r>
        <w:rPr>
          <w:rFonts w:hint="eastAsia" w:ascii="方正仿宋_GBK" w:hAnsi="方正仿宋_GBK" w:eastAsia="方正仿宋_GBK" w:cs="方正仿宋_GBK"/>
          <w:spacing w:val="4"/>
          <w:sz w:val="30"/>
          <w:szCs w:val="30"/>
        </w:rPr>
        <w:t>公顷，具体位置详见附图。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ascii="仿宋" w:hAnsi="仿宋" w:eastAsia="仿宋" w:cs="仿宋"/>
          <w:spacing w:val="4"/>
        </w:rPr>
      </w:pPr>
      <w:r>
        <w:rPr>
          <w:rFonts w:hint="eastAsia" w:ascii="方正仿宋_GBK" w:hAnsi="方正仿宋_GBK" w:eastAsia="方正仿宋_GBK" w:cs="方正仿宋_GBK"/>
          <w:spacing w:val="4"/>
          <w:sz w:val="30"/>
          <w:szCs w:val="30"/>
        </w:rPr>
        <w:t>实际征收土地范围以最终批准文件为准。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5"/>
        <w:textAlignment w:val="baseline"/>
        <w:outlineLvl w:val="1"/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二、征收目的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eastAsia" w:ascii="方正仿宋_GBK" w:hAnsi="方正仿宋_GBK" w:eastAsia="方正仿宋_GBK" w:cs="方正仿宋_GBK"/>
          <w:spacing w:val="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4"/>
          <w:sz w:val="30"/>
          <w:szCs w:val="30"/>
        </w:rPr>
        <w:t>根据《中华人民共和国土地管理法》第四十五条的规定，本次拟征收土地目</w:t>
      </w:r>
      <w:r>
        <w:rPr>
          <w:rFonts w:hint="eastAsia" w:ascii="方正仿宋_GBK" w:hAnsi="方正仿宋_GBK" w:eastAsia="方正仿宋_GBK" w:cs="方正仿宋_GBK"/>
          <w:spacing w:val="4"/>
          <w:sz w:val="30"/>
          <w:szCs w:val="30"/>
          <w:lang w:val="en-US" w:eastAsia="zh-CN"/>
        </w:rPr>
        <w:t>的为政府组织实施的交通基础设施建设需要用地的，符</w:t>
      </w:r>
      <w:r>
        <w:rPr>
          <w:rFonts w:hint="eastAsia" w:ascii="方正仿宋_GBK" w:hAnsi="方正仿宋_GBK" w:eastAsia="方正仿宋_GBK" w:cs="方正仿宋_GBK"/>
          <w:spacing w:val="4"/>
          <w:sz w:val="30"/>
          <w:szCs w:val="30"/>
        </w:rPr>
        <w:t>合公共利益的需要。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5"/>
        <w:textAlignment w:val="baseline"/>
        <w:outlineLvl w:val="1"/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三、土地现状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default" w:ascii="Times New Roman" w:hAnsi="Times New Roman" w:eastAsia="方正仿宋_GBK" w:cs="Times New Roman"/>
          <w:spacing w:val="4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根据拟征收土地现状调查情况，本次拟征收土地现状如下：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default" w:ascii="Times New Roman" w:hAnsi="Times New Roman" w:eastAsia="方正仿宋_GBK" w:cs="Times New Roman"/>
          <w:spacing w:val="4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1、拟征收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帕哈太克里乡尤喀尔克喀库拉村村民小组集体所有土地0.0106公顷（0.1590亩）。其中，农用地0.0091公顷（0.1365亩），含耕地0.0049公顷（0.0735亩）；无建设用地，未利用地0.0015公顷（0.0225亩）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default" w:ascii="Times New Roman" w:hAnsi="Times New Roman" w:eastAsia="方正仿宋_GBK" w:cs="Times New Roman"/>
          <w:spacing w:val="4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2、拟征收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帕哈太克里乡帕哈太克里村村民小组集体所有土地0.0145公顷（0.2175亩）。其中，农用地0.0081公顷（0.1215亩），含耕地0.0025公顷（0.0375亩）；建设用地0.0064公顷（0.0960亩）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；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未利用地0公顷（0亩）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/>
        </w:rPr>
      </w:pP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、拟征收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帕哈太克里乡稻香村村民小组集体所有土地0.0010公顷（0.0150亩）。其中，农用地0.0010公顷（0.0150亩），无耕地；无建设用地；未利用地0公顷（0亩）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5"/>
        <w:textAlignment w:val="baseline"/>
        <w:outlineLvl w:val="1"/>
        <w:rPr>
          <w:rFonts w:hint="default" w:ascii="Times New Roman" w:hAnsi="Times New Roman" w:eastAsia="方正黑体_GBK" w:cs="Times New Roman"/>
          <w:spacing w:val="8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8"/>
          <w:sz w:val="31"/>
          <w:szCs w:val="31"/>
        </w:rPr>
        <w:t>四、补偿方式和标准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98" w:line="580" w:lineRule="exact"/>
        <w:ind w:left="637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9"/>
        </w:rPr>
        <w:t>（一）土地补偿费和安置补助费标准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default" w:ascii="Times New Roman" w:hAnsi="Times New Roman" w:eastAsia="方正仿宋_GBK" w:cs="Times New Roman"/>
          <w:spacing w:val="4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根据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《关于重新公布自治区征收农用地区片综合地价标准的通知》（新自然资规〔2024〕1号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的规定，土地补偿费标准为</w:t>
      </w:r>
      <w:r>
        <w:rPr>
          <w:rFonts w:hint="eastAsia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21.6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万元/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公顷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，安置补助费标准为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50.4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万元/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公顷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青苗补偿标准和地面附着物补偿标准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地上附着物和青苗等的补偿费用按照《关于下发自治区国土资源系统土地管理行政事业性收费标准的通知》(新计价房〔2001〕500号)</w:t>
      </w:r>
      <w:r>
        <w:rPr>
          <w:rFonts w:hint="eastAsia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等规定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执行。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left="0" w:leftChars="0" w:firstLine="639" w:firstLineChars="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4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4"/>
          <w:sz w:val="30"/>
          <w:szCs w:val="30"/>
          <w:lang w:val="en-US" w:eastAsia="zh-CN"/>
        </w:rPr>
        <w:t>农村村民住宅和其他房屋补偿标准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涉及农村村民住宅和其他房屋的，遵照《自治区重点建设项目征地拆迁补偿标准》（新国土资发〔2009〕131号）的规定执行。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5"/>
        <w:textAlignment w:val="baseline"/>
        <w:outlineLvl w:val="1"/>
        <w:rPr>
          <w:rFonts w:hint="default" w:ascii="Times New Roman" w:hAnsi="Times New Roman" w:eastAsia="方正黑体_GBK" w:cs="Times New Roman"/>
          <w:spacing w:val="8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8"/>
          <w:sz w:val="31"/>
          <w:szCs w:val="31"/>
        </w:rPr>
        <w:t>五、安置对象、方式及社会保障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default" w:ascii="Times New Roman" w:hAnsi="Times New Roman" w:eastAsia="方正仿宋_GBK" w:cs="Times New Roman"/>
          <w:spacing w:val="43"/>
        </w:rPr>
      </w:pP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本次征收土地涉及被征地农民的安置和社会保障《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关于完善自治区被征地农民参加基本养老保险有关政策的通知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》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新人社发〔2017〕86号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>中社会保障费用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的规定执行。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ind w:firstLine="639"/>
        <w:jc w:val="both"/>
        <w:textAlignment w:val="baseline"/>
        <w:rPr>
          <w:rFonts w:hint="default" w:ascii="Times New Roman" w:hAnsi="Times New Roman" w:eastAsia="方正仿宋_GBK" w:cs="Times New Roman"/>
          <w:spacing w:val="4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特此公告。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方正仿宋_GBK" w:hAnsi="方正仿宋_GBK" w:eastAsia="方正仿宋_GBK" w:cs="方正仿宋_GBK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righ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righ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 xml:space="preserve"> </w:t>
      </w:r>
    </w:p>
    <w:sectPr>
      <w:footerReference r:id="rId5" w:type="default"/>
      <w:pgSz w:w="11907" w:h="16840"/>
      <w:pgMar w:top="1984" w:right="1531" w:bottom="1701" w:left="1531" w:header="0" w:footer="14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86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10390D"/>
    <w:multiLevelType w:val="singleLevel"/>
    <w:tmpl w:val="EF10390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507178"/>
    <w:rsid w:val="01D21C21"/>
    <w:rsid w:val="028537DD"/>
    <w:rsid w:val="02E9543A"/>
    <w:rsid w:val="0737795B"/>
    <w:rsid w:val="08A96637"/>
    <w:rsid w:val="0912318E"/>
    <w:rsid w:val="09F77876"/>
    <w:rsid w:val="0A2166A1"/>
    <w:rsid w:val="0A79028B"/>
    <w:rsid w:val="0BEE10B3"/>
    <w:rsid w:val="0EF031C4"/>
    <w:rsid w:val="155913E5"/>
    <w:rsid w:val="1DAC0FEC"/>
    <w:rsid w:val="28247630"/>
    <w:rsid w:val="29F85218"/>
    <w:rsid w:val="2A4C3B2F"/>
    <w:rsid w:val="2ACE3D1B"/>
    <w:rsid w:val="39C042F9"/>
    <w:rsid w:val="3A5E2E4D"/>
    <w:rsid w:val="3A900623"/>
    <w:rsid w:val="3B4C2CCE"/>
    <w:rsid w:val="3DD72E2F"/>
    <w:rsid w:val="437D08DD"/>
    <w:rsid w:val="441F15F1"/>
    <w:rsid w:val="479E1800"/>
    <w:rsid w:val="499C12C5"/>
    <w:rsid w:val="4A2E4F3A"/>
    <w:rsid w:val="4CC36B68"/>
    <w:rsid w:val="4F6939F7"/>
    <w:rsid w:val="4FA7451F"/>
    <w:rsid w:val="52293F62"/>
    <w:rsid w:val="5CAE5B1D"/>
    <w:rsid w:val="6054773D"/>
    <w:rsid w:val="605C4EB2"/>
    <w:rsid w:val="613822EB"/>
    <w:rsid w:val="63C96F68"/>
    <w:rsid w:val="6B1E16E2"/>
    <w:rsid w:val="6D695C9E"/>
    <w:rsid w:val="6F882348"/>
    <w:rsid w:val="729E74BD"/>
    <w:rsid w:val="77A47413"/>
    <w:rsid w:val="7921185F"/>
    <w:rsid w:val="79C9300E"/>
    <w:rsid w:val="7FEA5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770</Words>
  <Characters>825</Characters>
  <TotalTime>5</TotalTime>
  <ScaleCrop>false</ScaleCrop>
  <LinksUpToDate>false</LinksUpToDate>
  <CharactersWithSpaces>855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2025-09-04T16:23:00Z</dcterms:created>
  <dc:creator>玛依努尔</dc:creator>
  <cp:lastModifiedBy>Administrator</cp:lastModifiedBy>
  <dcterms:modified xsi:type="dcterms:W3CDTF">2026-02-14T02:54:52Z</dcterms:modified>
  <dc:subject>玛依努尔</dc:subject>
  <dc:title>新疆维吾尔自治区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2025-09-04T16:25:54Z</vt:filetime>
  </property>
  <property fmtid="{D5CDD505-2E9C-101B-9397-08002B2CF9AE}" pid="4" name="KSOTemplateDocerSaveRecord">
    <vt:lpwstr>eyJoZGlkIjoiNzE2ZGJmNmJiNmM4M2YzZWQwMzExMGNhNTFiYjZlZTYiLCJ1c2VySWQiOiI0MDY4Nzc2MjcifQ==</vt:lpwstr>
  </property>
  <property fmtid="{D5CDD505-2E9C-101B-9397-08002B2CF9AE}" pid="5" name="KSOProductBuildVer">
    <vt:lpwstr>2052-11.8.2.10229</vt:lpwstr>
  </property>
  <property fmtid="{D5CDD505-2E9C-101B-9397-08002B2CF9AE}" pid="6" name="ICV">
    <vt:lpwstr>FC365BC1B76C43FB81B2DB74E773AA44_13</vt:lpwstr>
  </property>
</Properties>
</file>