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Times New Roman" w:hAnsi="Times New Roman" w:eastAsia="方正小标宋_GBK" w:cs="方正小标宋_GBK"/>
          <w:b w:val="0"/>
          <w:bCs w:val="0"/>
          <w:spacing w:val="11"/>
          <w:sz w:val="44"/>
          <w:szCs w:val="44"/>
          <w:u w:val="none" w:color="auto"/>
        </w:rPr>
      </w:pPr>
      <w:bookmarkStart w:id="0" w:name="_GoBack"/>
      <w:bookmarkEnd w:id="0"/>
      <w:r>
        <w:rPr>
          <w:rFonts w:hint="eastAsia" w:ascii="Times New Roman" w:hAnsi="Times New Roman" w:eastAsia="方正小标宋_GBK" w:cs="方正小标宋_GBK"/>
          <w:b w:val="0"/>
          <w:bCs w:val="0"/>
          <w:spacing w:val="11"/>
          <w:sz w:val="44"/>
          <w:szCs w:val="44"/>
          <w:u w:val="none" w:color="auto"/>
        </w:rPr>
        <w:t>新疆喀什地区喀什市世纪大道快速路改造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Times New Roman" w:hAnsi="Times New Roman" w:eastAsia="方正小标宋_GBK" w:cs="方正小标宋_GBK"/>
          <w:b w:val="0"/>
          <w:bCs w:val="0"/>
          <w:spacing w:val="11"/>
          <w:sz w:val="44"/>
          <w:szCs w:val="44"/>
          <w:u w:val="none" w:color="auto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b w:val="0"/>
          <w:bCs w:val="0"/>
          <w:spacing w:val="11"/>
          <w:sz w:val="44"/>
          <w:szCs w:val="44"/>
          <w:u w:val="none" w:color="auto"/>
        </w:rPr>
        <w:t>项目征地补偿安置</w:t>
      </w:r>
      <w:r>
        <w:rPr>
          <w:rFonts w:hint="eastAsia" w:ascii="Times New Roman" w:hAnsi="Times New Roman" w:eastAsia="方正小标宋_GBK" w:cs="方正小标宋_GBK"/>
          <w:b w:val="0"/>
          <w:bCs w:val="0"/>
          <w:spacing w:val="11"/>
          <w:sz w:val="44"/>
          <w:szCs w:val="44"/>
          <w:u w:val="none" w:color="auto"/>
          <w:lang w:val="en-US" w:eastAsia="zh-CN"/>
        </w:rPr>
        <w:t>方</w:t>
      </w:r>
      <w:r>
        <w:rPr>
          <w:rFonts w:hint="eastAsia" w:ascii="Times New Roman" w:hAnsi="Times New Roman" w:eastAsia="方正小标宋_GBK" w:cs="方正小标宋_GBK"/>
          <w:b w:val="0"/>
          <w:bCs w:val="0"/>
          <w:spacing w:val="11"/>
          <w:sz w:val="44"/>
          <w:szCs w:val="44"/>
          <w:u w:val="none" w:color="auto"/>
        </w:rPr>
        <w:t>案</w:t>
      </w:r>
    </w:p>
    <w:p>
      <w:pPr>
        <w:pStyle w:val="11"/>
        <w:keepNext w:val="0"/>
        <w:keepLines w:val="0"/>
        <w:pageBreakBefore w:val="0"/>
        <w:shd w:val="clear" w:color="auto" w:fill="auto"/>
        <w:kinsoku/>
        <w:topLinePunct w:val="0"/>
        <w:autoSpaceDE/>
        <w:autoSpaceDN/>
        <w:bidi w:val="0"/>
        <w:adjustRightInd/>
        <w:snapToGrid/>
        <w:spacing w:line="520" w:lineRule="exact"/>
        <w:ind w:firstLine="0"/>
        <w:jc w:val="center"/>
        <w:textAlignment w:val="auto"/>
        <w:rPr>
          <w:rFonts w:hint="eastAsia" w:ascii="Times New Roman" w:hAnsi="Times New Roman" w:eastAsia="方正仿宋_GBK" w:cs="方正仿宋_GBK"/>
          <w:smallCaps w:val="0"/>
          <w:snapToGrid/>
          <w:color w:val="auto"/>
          <w:kern w:val="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4" w:firstLineChars="200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pacing w:val="6"/>
          <w:sz w:val="32"/>
          <w:szCs w:val="32"/>
        </w:rPr>
        <w:t>根据《中华人民共和国土地管理法》第四十七条、第四十八条，《中华人民共和国土地管理法实施条例》第二十七条、第二十八条，《新疆维吾尔自治区实施&lt;中华人民共和国土地管理法&gt;办法》第二十六条的规定，依据征收土地预公告、拟征收土地现状调查和社会稳定风险评估情况，现将拟定征收土地补偿安置方案的有关事项公告如下：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4" w:firstLineChars="200"/>
        <w:textAlignment w:val="baseline"/>
        <w:rPr>
          <w:rFonts w:hint="eastAsia" w:ascii="Times New Roman" w:hAnsi="Times New Roman" w:eastAsia="方正黑体_GBK" w:cs="方正黑体_GBK"/>
          <w:spacing w:val="6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spacing w:val="6"/>
          <w:sz w:val="32"/>
          <w:szCs w:val="32"/>
        </w:rPr>
        <w:t>一、征收范围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4" w:firstLineChars="200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pacing w:val="6"/>
          <w:sz w:val="32"/>
          <w:szCs w:val="32"/>
        </w:rPr>
        <w:t>本次拟征收位于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highlight w:val="none"/>
          <w:lang w:val="en-US" w:eastAsia="zh-CN"/>
        </w:rPr>
        <w:t>喀什市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东湖街道办事处芙蓉社区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highlight w:val="none"/>
          <w:lang w:val="en-US" w:eastAsia="zh-CN"/>
        </w:rPr>
        <w:t>，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和谐街道办事处布拉克村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highlight w:val="none"/>
          <w:lang w:val="en-US" w:eastAsia="zh-CN"/>
        </w:rPr>
        <w:t>，浩罕乡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华电（19）村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highlight w:val="none"/>
          <w:lang w:val="en-US" w:eastAsia="zh-CN"/>
        </w:rPr>
        <w:t>、托万卡孜日克（11）村，乃则尔巴格镇群布斯（15）村、徕宁村（14）村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highlight w:val="none"/>
        </w:rPr>
        <w:t>范围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</w:rPr>
        <w:t>内，拟征收农民集体所有土地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10.9268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</w:rPr>
        <w:t>公顷，具体位置详见附图。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4" w:firstLineChars="200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pacing w:val="6"/>
          <w:sz w:val="32"/>
          <w:szCs w:val="32"/>
        </w:rPr>
        <w:t>实际征收土地范围以最终批准文件为准。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4" w:firstLineChars="200"/>
        <w:textAlignment w:val="baseline"/>
        <w:rPr>
          <w:rFonts w:hint="eastAsia" w:ascii="Times New Roman" w:hAnsi="Times New Roman" w:eastAsia="方正黑体_GBK" w:cs="方正黑体_GBK"/>
          <w:spacing w:val="6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spacing w:val="6"/>
          <w:sz w:val="32"/>
          <w:szCs w:val="32"/>
        </w:rPr>
        <w:t>二、征收目的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4" w:firstLineChars="200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highlight w:val="none"/>
        </w:rPr>
        <w:t>根据《中华人民共和国土地管理法》第四十五条的规定，本次拟征收土地目的为</w:t>
      </w:r>
      <w:r>
        <w:rPr>
          <w:rFonts w:hint="eastAsia" w:ascii="Times New Roman" w:hAnsi="Times New Roman" w:eastAsia="方正仿宋_GBK" w:cs="方正仿宋_GBK"/>
          <w:b w:val="0"/>
          <w:bCs w:val="0"/>
          <w:i w:val="0"/>
          <w:iCs w:val="0"/>
          <w:caps w:val="0"/>
          <w:color w:val="333333"/>
          <w:spacing w:val="6"/>
          <w:sz w:val="32"/>
          <w:szCs w:val="32"/>
          <w:highlight w:val="none"/>
          <w:shd w:val="clear" w:color="auto" w:fill="FFFFFF"/>
        </w:rPr>
        <w:t>由政府组织实施的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lang w:val="en-US" w:eastAsia="zh-CN"/>
        </w:rPr>
        <w:t>交通基础设施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</w:rPr>
        <w:t>需要用地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highlight w:val="none"/>
        </w:rPr>
        <w:t>，符合公共利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</w:rPr>
        <w:t>益的需要。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4" w:firstLineChars="200"/>
        <w:textAlignment w:val="baseline"/>
        <w:rPr>
          <w:rFonts w:hint="eastAsia" w:ascii="Times New Roman" w:hAnsi="Times New Roman" w:eastAsia="方正黑体_GBK" w:cs="方正黑体_GBK"/>
          <w:spacing w:val="6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spacing w:val="6"/>
          <w:sz w:val="32"/>
          <w:szCs w:val="32"/>
        </w:rPr>
        <w:t>三、土地现状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4" w:firstLineChars="200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</w:rPr>
      </w:pP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</w:rPr>
        <w:t>根据拟征收土地现状调查情况，本次拟征收土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highlight w:val="none"/>
          <w:u w:val="none" w:color="auto"/>
        </w:rPr>
        <w:t>地现状如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</w:rPr>
        <w:t>下：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4" w:firstLineChars="200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1.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</w:rPr>
        <w:t>拟征收</w:t>
      </w:r>
      <w:r>
        <w:rPr>
          <w:rFonts w:hint="eastAsia" w:ascii="Times New Roman" w:hAnsi="Times New Roman" w:eastAsia="方正仿宋_GBK" w:cs="方正仿宋_GBK"/>
          <w:color w:val="auto"/>
          <w:sz w:val="32"/>
          <w:szCs w:val="32"/>
          <w:lang w:val="en-US" w:eastAsia="zh-CN"/>
        </w:rPr>
        <w:t>东湖街道办事处芙蓉社区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</w:rPr>
        <w:t>集体所有土地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1.6264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</w:rPr>
        <w:t>公顷（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24.396亩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</w:rPr>
        <w:t>）。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农用地1.2025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</w:rPr>
        <w:t>公顷（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18.0375亩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</w:rPr>
        <w:t>）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，其中，林地1.2025公顷（18.0375亩），建设用地0.4239公顷（6.3585亩）。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4" w:firstLineChars="200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2.拟征收和谐街道办事处布拉克村集体所有土地2.7322公顷（40.983亩）。农用地1.377公顷（20.655亩），其中，林地1.3708公顷（20.562亩），其他农用地0.0062公顷（0.093亩），建设用地1.3552公顷（20.328亩）。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4" w:firstLineChars="200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 xml:space="preserve">3.拟征收浩罕乡华电（19）村集体所有土地1.5163公顷（22.7445亩）。农用地0.8328公顷（12.492亩），其中，林地0.8205公顷（12.3075亩），其他农用地0.0123公顷（0.1845亩），建设用地0.6835公顷（10.2525亩）。 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4" w:firstLineChars="200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4.拟征收浩罕乡托万卡孜日克（11）村集体所有土地1.7107公顷（25.6605亩）。农用地1.1323公顷（16.9845亩），其中，耕地0.0413公顷（0.6195亩），林地1.0777公顷（16.1655亩），其他农用地0.0133公顷（0.1995亩），建设用地0.5784公顷（8.676亩）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4" w:firstLineChars="200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5.拟征收乃则尔巴格镇群布斯（15）村集体所有土地0.6768公顷（10.152亩）。农用地0.5497公顷（8.2455亩），其中，耕地0.1415公顷（2.1225亩），林地0.3859公顷（5.7885亩），其他农用地0.0223公顷（0.3345亩），建设用地0.1271公顷（1.9065亩）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4" w:firstLineChars="200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6.拟征收乃则尔巴格镇徕宁（14）村集体所有土地2.6644公顷（39.966亩）。农用地1.1648公顷（17.472亩），其中，耕地0.4275公顷（6.4125亩），园地0.1765公顷（2.6475亩），林地0.3248公顷（4.872亩），其他农用地0.236公顷（3.54亩），建设用地1.4996公顷（22.494亩）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4" w:firstLineChars="200"/>
        <w:textAlignment w:val="baseline"/>
        <w:rPr>
          <w:rFonts w:hint="eastAsia" w:ascii="Times New Roman" w:hAnsi="Times New Roman" w:eastAsia="方正黑体_GBK" w:cs="方正黑体_GBK"/>
          <w:spacing w:val="6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spacing w:val="6"/>
          <w:sz w:val="32"/>
          <w:szCs w:val="32"/>
        </w:rPr>
        <w:t>四、补偿方式和标准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7" w:firstLineChars="200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</w:rPr>
      </w:pPr>
      <w:r>
        <w:rPr>
          <w:rFonts w:hint="eastAsia" w:ascii="Times New Roman" w:hAnsi="Times New Roman" w:eastAsia="方正仿宋_GBK" w:cs="方正仿宋_GBK"/>
          <w:b/>
          <w:bCs/>
          <w:spacing w:val="6"/>
          <w:sz w:val="32"/>
          <w:szCs w:val="32"/>
          <w:u w:val="none" w:color="auto"/>
        </w:rPr>
        <w:t>（一）土地补偿费和安置补助费标准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40" w:firstLineChars="200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  <w:r>
        <w:rPr>
          <w:rFonts w:hint="eastAsia" w:ascii="Times New Roman" w:hAnsi="Times New Roman" w:eastAsia="方正仿宋_GBK" w:cs="方正仿宋_GBK"/>
          <w:smallCaps w:val="0"/>
          <w:color w:val="auto"/>
          <w:sz w:val="32"/>
          <w:szCs w:val="32"/>
        </w:rPr>
        <w:t>根据《关于重新公布自治区征收农用地区片综合地价标准的通知》（新自然资规〔2024〕1号）</w:t>
      </w:r>
      <w:r>
        <w:rPr>
          <w:rFonts w:hint="eastAsia" w:ascii="Times New Roman" w:hAnsi="Times New Roman" w:eastAsia="方正仿宋_GBK" w:cs="方正仿宋_GBK"/>
          <w:smallCaps w:val="0"/>
          <w:color w:val="auto"/>
          <w:sz w:val="32"/>
          <w:szCs w:val="32"/>
          <w:lang w:val="en-US" w:eastAsia="zh-CN"/>
        </w:rPr>
        <w:t>等执行</w:t>
      </w:r>
      <w:r>
        <w:rPr>
          <w:rFonts w:hint="eastAsia" w:ascii="Times New Roman" w:hAnsi="Times New Roman" w:eastAsia="方正仿宋_GBK" w:cs="方正仿宋_GBK"/>
          <w:smallCaps w:val="0"/>
          <w:color w:val="auto"/>
          <w:sz w:val="32"/>
          <w:szCs w:val="32"/>
        </w:rPr>
        <w:t>，土地补偿费标</w:t>
      </w:r>
      <w:r>
        <w:rPr>
          <w:rFonts w:hint="eastAsia" w:ascii="Times New Roman" w:hAnsi="Times New Roman" w:eastAsia="方正仿宋_GBK" w:cs="方正仿宋_GBK"/>
          <w:smallCaps w:val="0"/>
          <w:color w:val="auto"/>
          <w:sz w:val="32"/>
          <w:szCs w:val="32"/>
          <w:lang w:val="en-US" w:eastAsia="zh-CN"/>
        </w:rPr>
        <w:t>准为21.6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 xml:space="preserve">万元/公顷，安置补助费标准为50.4万元/公顷。   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7" w:firstLineChars="200"/>
        <w:textAlignment w:val="baseline"/>
        <w:rPr>
          <w:rFonts w:hint="eastAsia" w:ascii="Times New Roman" w:hAnsi="Times New Roman" w:eastAsia="方正仿宋_GBK" w:cs="方正仿宋_GBK"/>
          <w:b/>
          <w:bCs/>
          <w:spacing w:val="6"/>
          <w:sz w:val="32"/>
          <w:szCs w:val="32"/>
          <w:u w:val="none" w:color="auto"/>
          <w:lang w:val="en-US" w:eastAsia="zh-CN"/>
        </w:rPr>
      </w:pPr>
      <w:r>
        <w:rPr>
          <w:rFonts w:hint="eastAsia" w:ascii="Times New Roman" w:hAnsi="Times New Roman" w:eastAsia="方正仿宋_GBK" w:cs="方正仿宋_GBK"/>
          <w:b/>
          <w:bCs/>
          <w:spacing w:val="6"/>
          <w:sz w:val="32"/>
          <w:szCs w:val="32"/>
          <w:u w:val="none" w:color="auto"/>
          <w:lang w:val="en-US" w:eastAsia="zh-CN"/>
        </w:rPr>
        <w:t>（二）地上附着物补偿标准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4" w:firstLineChars="200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地上附着物补偿按《自治区重点建设项目征地拆迁补偿标准》（新国土资发〔</w:t>
      </w:r>
      <w:r>
        <w:rPr>
          <w:rFonts w:hint="default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2009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〕</w:t>
      </w:r>
      <w:r>
        <w:rPr>
          <w:rFonts w:hint="default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131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号）的规定执行</w:t>
      </w:r>
    </w:p>
    <w:p>
      <w:pPr>
        <w:keepNext w:val="0"/>
        <w:keepLines w:val="0"/>
        <w:pageBreakBefore w:val="0"/>
        <w:widowControl/>
        <w:suppressLineNumbers w:val="0"/>
        <w:wordWrap/>
        <w:topLinePunct w:val="0"/>
        <w:bidi w:val="0"/>
        <w:adjustRightInd w:val="0"/>
        <w:spacing w:line="570" w:lineRule="exact"/>
        <w:ind w:firstLine="667" w:firstLineChars="200"/>
        <w:jc w:val="left"/>
      </w:pPr>
      <w:r>
        <w:rPr>
          <w:rFonts w:hint="eastAsia" w:ascii="Times New Roman" w:hAnsi="Times New Roman" w:eastAsia="方正仿宋_GBK" w:cs="方正仿宋_GBK"/>
          <w:b/>
          <w:bCs/>
          <w:spacing w:val="6"/>
          <w:sz w:val="32"/>
          <w:szCs w:val="32"/>
          <w:u w:val="none" w:color="auto"/>
          <w:lang w:val="en-US" w:eastAsia="zh-CN"/>
        </w:rPr>
        <w:t>（三）</w:t>
      </w:r>
      <w:r>
        <w:rPr>
          <w:rFonts w:ascii="方正仿宋_GBK" w:hAnsi="方正仿宋_GBK" w:eastAsia="方正仿宋_GBK" w:cs="方正仿宋_GBK"/>
          <w:b/>
          <w:bCs/>
          <w:snapToGrid w:val="0"/>
          <w:color w:val="000000"/>
          <w:kern w:val="0"/>
          <w:sz w:val="31"/>
          <w:szCs w:val="31"/>
          <w:lang w:val="en-US" w:eastAsia="zh-CN" w:bidi="ar"/>
        </w:rPr>
        <w:t>农村村民住宅和其他房屋补偿标准</w:t>
      </w:r>
    </w:p>
    <w:p>
      <w:pPr>
        <w:pStyle w:val="2"/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/>
        <w:spacing w:beforeAutospacing="0" w:after="0" w:line="570" w:lineRule="exact"/>
        <w:ind w:left="0" w:leftChars="0" w:firstLine="664" w:firstLineChars="200"/>
        <w:textAlignment w:val="auto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涉及农村村民住宅和其他房屋的，遵照《自治区重点建设项目征地拆迁补偿标准》（新国土资发〔</w:t>
      </w:r>
      <w:r>
        <w:rPr>
          <w:rFonts w:hint="default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2009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〕</w:t>
      </w:r>
      <w:r>
        <w:rPr>
          <w:rFonts w:hint="default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131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>号）的规定执行。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topLinePunct w:val="0"/>
        <w:autoSpaceDE/>
        <w:autoSpaceDN/>
        <w:bidi w:val="0"/>
        <w:adjustRightInd w:val="0"/>
        <w:snapToGrid/>
        <w:spacing w:beforeAutospacing="0" w:after="0" w:line="570" w:lineRule="exact"/>
        <w:ind w:left="0" w:leftChars="0" w:firstLine="664" w:firstLineChars="200"/>
        <w:textAlignment w:val="auto"/>
        <w:rPr>
          <w:rFonts w:hint="eastAsia" w:ascii="Times New Roman" w:hAnsi="Times New Roman" w:eastAsia="方正黑体_GBK" w:cs="方正黑体_GBK"/>
          <w:spacing w:val="6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spacing w:val="6"/>
          <w:sz w:val="32"/>
          <w:szCs w:val="32"/>
        </w:rPr>
        <w:t>五、安置对象、方式及社会保障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4" w:firstLineChars="200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pacing w:val="6"/>
          <w:sz w:val="32"/>
          <w:szCs w:val="32"/>
        </w:rPr>
        <w:t>本次征收土地涉及被征地农民的安置和社会保障按照</w:t>
      </w:r>
      <w:r>
        <w:rPr>
          <w:rFonts w:hint="eastAsia" w:ascii="Times New Roman" w:hAnsi="Times New Roman" w:eastAsia="方正仿宋_GBK" w:cs="方正仿宋_GBK"/>
          <w:color w:val="auto"/>
          <w:spacing w:val="6"/>
          <w:sz w:val="32"/>
          <w:szCs w:val="32"/>
        </w:rPr>
        <w:t>《关于</w:t>
      </w:r>
      <w:r>
        <w:rPr>
          <w:rFonts w:hint="eastAsia" w:ascii="Times New Roman" w:hAnsi="Times New Roman" w:eastAsia="方正仿宋_GBK" w:cs="方正仿宋_GBK"/>
          <w:color w:val="auto"/>
          <w:spacing w:val="6"/>
          <w:sz w:val="32"/>
          <w:szCs w:val="32"/>
          <w:lang w:eastAsia="zh-CN"/>
        </w:rPr>
        <w:t>印发</w:t>
      </w:r>
      <w:r>
        <w:rPr>
          <w:rFonts w:hint="eastAsia" w:ascii="Times New Roman" w:hAnsi="Times New Roman" w:eastAsia="方正仿宋_GBK" w:cs="方正仿宋_GBK"/>
          <w:color w:val="auto"/>
          <w:spacing w:val="6"/>
          <w:sz w:val="32"/>
          <w:szCs w:val="32"/>
        </w:rPr>
        <w:t>自治区被征地农民参加基本养老保险</w:t>
      </w:r>
      <w:r>
        <w:rPr>
          <w:rFonts w:hint="eastAsia" w:ascii="Times New Roman" w:hAnsi="Times New Roman" w:eastAsia="方正仿宋_GBK" w:cs="方正仿宋_GBK"/>
          <w:color w:val="auto"/>
          <w:spacing w:val="6"/>
          <w:sz w:val="32"/>
          <w:szCs w:val="32"/>
          <w:lang w:eastAsia="zh-CN"/>
        </w:rPr>
        <w:t>实施细则</w:t>
      </w:r>
      <w:r>
        <w:rPr>
          <w:rFonts w:hint="eastAsia" w:ascii="Times New Roman" w:hAnsi="Times New Roman" w:eastAsia="方正仿宋_GBK" w:cs="方正仿宋_GBK"/>
          <w:color w:val="auto"/>
          <w:spacing w:val="6"/>
          <w:sz w:val="32"/>
          <w:szCs w:val="32"/>
        </w:rPr>
        <w:t>的通知》（新人社发〔201</w:t>
      </w:r>
      <w:r>
        <w:rPr>
          <w:rFonts w:hint="eastAsia" w:ascii="Times New Roman" w:hAnsi="Times New Roman" w:eastAsia="方正仿宋_GBK" w:cs="方正仿宋_GBK"/>
          <w:color w:val="auto"/>
          <w:spacing w:val="6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方正仿宋_GBK" w:cs="方正仿宋_GBK"/>
          <w:color w:val="auto"/>
          <w:spacing w:val="6"/>
          <w:sz w:val="32"/>
          <w:szCs w:val="32"/>
        </w:rPr>
        <w:t>〕</w:t>
      </w:r>
      <w:r>
        <w:rPr>
          <w:rFonts w:hint="eastAsia" w:ascii="Times New Roman" w:hAnsi="Times New Roman" w:eastAsia="方正仿宋_GBK" w:cs="方正仿宋_GBK"/>
          <w:color w:val="auto"/>
          <w:spacing w:val="6"/>
          <w:sz w:val="32"/>
          <w:szCs w:val="32"/>
          <w:lang w:val="en-US" w:eastAsia="zh-CN"/>
        </w:rPr>
        <w:t>14</w:t>
      </w:r>
      <w:r>
        <w:rPr>
          <w:rFonts w:hint="eastAsia" w:ascii="Times New Roman" w:hAnsi="Times New Roman" w:eastAsia="方正仿宋_GBK" w:cs="方正仿宋_GBK"/>
          <w:color w:val="auto"/>
          <w:spacing w:val="6"/>
          <w:sz w:val="32"/>
          <w:szCs w:val="32"/>
        </w:rPr>
        <w:t>号）</w:t>
      </w:r>
      <w:r>
        <w:rPr>
          <w:rFonts w:hint="eastAsia" w:ascii="Times New Roman" w:hAnsi="Times New Roman" w:eastAsia="方正仿宋_GBK" w:cs="方正仿宋_GBK"/>
          <w:color w:val="auto"/>
          <w:spacing w:val="6"/>
          <w:sz w:val="32"/>
          <w:szCs w:val="32"/>
          <w:lang w:eastAsia="zh-CN"/>
        </w:rPr>
        <w:t>、《关于完善自治区被征地农民参加基本养老保险有关政策的通知》（</w:t>
      </w:r>
      <w:r>
        <w:rPr>
          <w:rFonts w:hint="eastAsia" w:ascii="Times New Roman" w:hAnsi="Times New Roman" w:eastAsia="方正仿宋_GBK" w:cs="方正仿宋_GBK"/>
          <w:color w:val="auto"/>
          <w:spacing w:val="6"/>
          <w:sz w:val="32"/>
          <w:szCs w:val="32"/>
          <w:lang w:val="en-US" w:eastAsia="zh-CN"/>
        </w:rPr>
        <w:t>新人社发〔2017〕86号</w:t>
      </w:r>
      <w:r>
        <w:rPr>
          <w:rFonts w:hint="eastAsia" w:ascii="Times New Roman" w:hAnsi="Times New Roman" w:eastAsia="方正仿宋_GBK" w:cs="方正仿宋_GBK"/>
          <w:color w:val="auto"/>
          <w:spacing w:val="6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</w:rPr>
        <w:t>的规定执行。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70" w:lineRule="exact"/>
        <w:ind w:left="0" w:right="0" w:firstLine="664" w:firstLineChars="200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pacing w:val="6"/>
          <w:sz w:val="32"/>
          <w:szCs w:val="32"/>
        </w:rPr>
        <w:t>特此公告。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20" w:lineRule="exact"/>
        <w:ind w:left="0" w:right="0" w:firstLine="664" w:firstLineChars="200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</w:rPr>
      </w:pPr>
    </w:p>
    <w:p>
      <w:pPr>
        <w:pStyle w:val="7"/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20" w:lineRule="exact"/>
        <w:ind w:right="0" w:firstLine="664" w:firstLineChars="200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</w:rPr>
      </w:pP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  <w:t xml:space="preserve">                  </w:t>
      </w: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155575</wp:posOffset>
            </wp:positionV>
            <wp:extent cx="5605780" cy="3962400"/>
            <wp:effectExtent l="0" t="0" r="7620" b="0"/>
            <wp:wrapNone/>
            <wp:docPr id="2" name="图片 2" descr="D:/2、工作/2、2025年工作/1、批次/4、喀什市/2、城镇批/3、征收材料/图/1、喀什市333.jpg1、喀什市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2、工作/2、2025年工作/1、批次/4、喀什市/2、城镇批/3、征收材料/图/1、喀什市333.jpg1、喀什市333"/>
                    <pic:cNvPicPr>
                      <a:picLocks noChangeAspect="1"/>
                    </pic:cNvPicPr>
                  </pic:nvPicPr>
                  <pic:blipFill>
                    <a:blip r:embed="rId4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ind w:firstLine="5440" w:firstLineChars="1700"/>
        <w:jc w:val="left"/>
        <w:textAlignment w:val="baseline"/>
        <w:rPr>
          <w:rFonts w:hint="eastAsia" w:ascii="Times New Roman" w:hAnsi="Times New Roman" w:eastAsia="方正仿宋_GBK" w:cs="方正仿宋_GBK"/>
          <w:sz w:val="32"/>
          <w:szCs w:val="32"/>
          <w:u w:val="none" w:color="auto"/>
          <w:lang w:val="en-US" w:eastAsia="zh-CN"/>
        </w:rPr>
      </w:pP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  <w:r>
        <w:rPr>
          <w:rFonts w:hint="eastAsia" w:ascii="Times New Roman" w:hAnsi="Times New Roman" w:eastAsia="方正仿宋_GBK" w:cs="方正仿宋_GBK"/>
          <w:spacing w:val="6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96520</wp:posOffset>
            </wp:positionV>
            <wp:extent cx="5605780" cy="3962400"/>
            <wp:effectExtent l="0" t="0" r="7620" b="0"/>
            <wp:wrapNone/>
            <wp:docPr id="1" name="图片 1" descr="D:/2、工作/2、2025年工作/1、批次/4、喀什市/2、城镇批/3、征收材料/图/1、喀什市33.jpg1、喀什市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2、工作/2、2025年工作/1、批次/4、喀什市/2、城镇批/3、征收材料/图/1、喀什市33.jpg1、喀什市33"/>
                    <pic:cNvPicPr>
                      <a:picLocks noChangeAspect="1"/>
                    </pic:cNvPicPr>
                  </pic:nvPicPr>
                  <pic:blipFill>
                    <a:blip r:embed="rId5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numPr>
          <w:ilvl w:val="0"/>
          <w:numId w:val="0"/>
        </w:numPr>
        <w:kinsoku w:val="0"/>
        <w:autoSpaceDE w:val="0"/>
        <w:autoSpaceDN w:val="0"/>
        <w:adjustRightInd w:val="0"/>
        <w:snapToGrid w:val="0"/>
        <w:spacing w:line="240" w:lineRule="auto"/>
        <w:jc w:val="left"/>
        <w:textAlignment w:val="baseline"/>
        <w:rPr>
          <w:rFonts w:hint="eastAsia" w:ascii="Times New Roman" w:hAnsi="Times New Roman" w:eastAsia="方正仿宋_GBK" w:cs="方正仿宋_GBK"/>
          <w:spacing w:val="6"/>
          <w:sz w:val="32"/>
          <w:szCs w:val="32"/>
          <w:u w:val="none" w:color="auto"/>
          <w:lang w:val="en-US" w:eastAsia="zh-CN"/>
        </w:rPr>
      </w:pPr>
    </w:p>
    <w:sectPr>
      <w:pgSz w:w="11906" w:h="16838"/>
      <w:pgMar w:top="1984" w:right="1531" w:bottom="170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83B6385A-4207-4861-A32B-92C3EC4DFE66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B8F4BF50-1847-481A-B97B-16E2FF015968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9DD4AAE6-6AB4-4630-9E92-E5902B7FE36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ECEAD42"/>
    <w:multiLevelType w:val="singleLevel"/>
    <w:tmpl w:val="EECEAD42"/>
    <w:lvl w:ilvl="0" w:tentative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1C1462"/>
    <w:rsid w:val="027430BB"/>
    <w:rsid w:val="02B0089C"/>
    <w:rsid w:val="06B87E0F"/>
    <w:rsid w:val="07070468"/>
    <w:rsid w:val="071B5ED5"/>
    <w:rsid w:val="07323446"/>
    <w:rsid w:val="0900488A"/>
    <w:rsid w:val="0A426D43"/>
    <w:rsid w:val="0B872561"/>
    <w:rsid w:val="0CEC5742"/>
    <w:rsid w:val="0F022A12"/>
    <w:rsid w:val="0FCF1ED3"/>
    <w:rsid w:val="10930F32"/>
    <w:rsid w:val="16182DC6"/>
    <w:rsid w:val="17E24C7E"/>
    <w:rsid w:val="1811244B"/>
    <w:rsid w:val="19F2207A"/>
    <w:rsid w:val="1BB80186"/>
    <w:rsid w:val="1CC96E50"/>
    <w:rsid w:val="1CFC0972"/>
    <w:rsid w:val="20516888"/>
    <w:rsid w:val="214333E6"/>
    <w:rsid w:val="246F22D0"/>
    <w:rsid w:val="265F25D3"/>
    <w:rsid w:val="278F1E9D"/>
    <w:rsid w:val="284D6E9F"/>
    <w:rsid w:val="29BA3928"/>
    <w:rsid w:val="2A293D0E"/>
    <w:rsid w:val="2B8E1ECF"/>
    <w:rsid w:val="2B9E6947"/>
    <w:rsid w:val="2D12128B"/>
    <w:rsid w:val="2F634F22"/>
    <w:rsid w:val="2FF9238E"/>
    <w:rsid w:val="30E652F5"/>
    <w:rsid w:val="324A05DB"/>
    <w:rsid w:val="348154FF"/>
    <w:rsid w:val="3715740A"/>
    <w:rsid w:val="38A45FAF"/>
    <w:rsid w:val="3AD37AFC"/>
    <w:rsid w:val="3BC455E0"/>
    <w:rsid w:val="3C10166C"/>
    <w:rsid w:val="3DEE62BF"/>
    <w:rsid w:val="3E1F4AFF"/>
    <w:rsid w:val="41FB71FC"/>
    <w:rsid w:val="45441838"/>
    <w:rsid w:val="457F2E38"/>
    <w:rsid w:val="45E46EA6"/>
    <w:rsid w:val="48834320"/>
    <w:rsid w:val="49262A38"/>
    <w:rsid w:val="496F4984"/>
    <w:rsid w:val="4BC07CA2"/>
    <w:rsid w:val="54716B45"/>
    <w:rsid w:val="555E386A"/>
    <w:rsid w:val="5A755E08"/>
    <w:rsid w:val="5C455FAB"/>
    <w:rsid w:val="5CCD51B4"/>
    <w:rsid w:val="5FC1771D"/>
    <w:rsid w:val="60654693"/>
    <w:rsid w:val="644E1145"/>
    <w:rsid w:val="68F77E6E"/>
    <w:rsid w:val="6BAB44A8"/>
    <w:rsid w:val="6C2A6B6E"/>
    <w:rsid w:val="6CB379E0"/>
    <w:rsid w:val="6E1C1462"/>
    <w:rsid w:val="6E7813C6"/>
    <w:rsid w:val="6E790C2E"/>
    <w:rsid w:val="703F398C"/>
    <w:rsid w:val="73C54340"/>
    <w:rsid w:val="77681C90"/>
    <w:rsid w:val="789A04F9"/>
    <w:rsid w:val="799F4335"/>
    <w:rsid w:val="7D43322A"/>
    <w:rsid w:val="7EE4256B"/>
    <w:rsid w:val="7FB46E5D"/>
    <w:rsid w:val="7FD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3"/>
    <w:qFormat/>
    <w:uiPriority w:val="0"/>
    <w:pPr>
      <w:spacing w:after="120"/>
      <w:ind w:left="420" w:leftChars="200"/>
    </w:pPr>
  </w:style>
  <w:style w:type="paragraph" w:styleId="3">
    <w:name w:val="Body Text First Indent 2"/>
    <w:basedOn w:val="2"/>
    <w:next w:val="4"/>
    <w:unhideWhenUsed/>
    <w:qFormat/>
    <w:uiPriority w:val="99"/>
    <w:pPr>
      <w:spacing w:before="100" w:beforeAutospacing="1" w:line="400" w:lineRule="exact"/>
      <w:ind w:firstLine="420" w:firstLineChars="200"/>
    </w:pPr>
    <w:rPr>
      <w:rFonts w:ascii="Calibri" w:hAnsi="Calibri"/>
    </w:rPr>
  </w:style>
  <w:style w:type="paragraph" w:styleId="4">
    <w:name w:val="Plain Text"/>
    <w:basedOn w:val="1"/>
    <w:next w:val="5"/>
    <w:qFormat/>
    <w:uiPriority w:val="0"/>
    <w:rPr>
      <w:rFonts w:ascii="宋体" w:hAnsi="Courier New"/>
    </w:rPr>
  </w:style>
  <w:style w:type="paragraph" w:styleId="5">
    <w:name w:val="List Number 5"/>
    <w:basedOn w:val="1"/>
    <w:qFormat/>
    <w:uiPriority w:val="0"/>
    <w:pPr>
      <w:numPr>
        <w:ilvl w:val="0"/>
        <w:numId w:val="1"/>
      </w:numPr>
    </w:p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正文文本1"/>
    <w:basedOn w:val="1"/>
    <w:qFormat/>
    <w:uiPriority w:val="0"/>
    <w:pPr>
      <w:widowControl w:val="0"/>
      <w:shd w:val="clear" w:color="auto" w:fill="auto"/>
      <w:spacing w:line="420" w:lineRule="auto"/>
      <w:ind w:firstLine="400"/>
    </w:pPr>
    <w:rPr>
      <w:rFonts w:ascii="宋体" w:hAnsi="宋体" w:eastAsia="宋体" w:cs="宋体"/>
      <w:color w:val="454543"/>
      <w:sz w:val="28"/>
      <w:szCs w:val="28"/>
      <w:u w:val="none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2019</Words>
  <Characters>2431</Characters>
  <Lines>0</Lines>
  <Paragraphs>0</Paragraphs>
  <TotalTime>23</TotalTime>
  <ScaleCrop>false</ScaleCrop>
  <LinksUpToDate>false</LinksUpToDate>
  <CharactersWithSpaces>2471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2025-05-12T12:05:00Z</dcterms:created>
  <dc:creator>阿压压</dc:creator>
  <cp:lastModifiedBy>Administrator</cp:lastModifiedBy>
  <cp:lastPrinted>2026-02-11T09:32:00Z</cp:lastPrinted>
  <dcterms:modified xsi:type="dcterms:W3CDTF">2026-02-12T07:30:49Z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C6E8B376484249A98B10AB11EE7C9F65_13</vt:lpwstr>
  </property>
  <property fmtid="{D5CDD505-2E9C-101B-9397-08002B2CF9AE}" pid="4" name="KSOTemplateDocerSaveRecord">
    <vt:lpwstr>eyJoZGlkIjoiOTk2NTk3MmE4YTc5ZjY0MmI4MWMyZTRhNDg0ZjJiNzQiLCJ1c2VySWQiOiIzNzc0NjUzNjQifQ==</vt:lpwstr>
  </property>
</Properties>
</file>