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9DB62">
      <w:pPr>
        <w:spacing w:before="3264" w:line="360" w:lineRule="auto"/>
        <w:ind w:firstLine="720" w:firstLineChars="200"/>
        <w:jc w:val="both"/>
        <w:rPr>
          <w:rFonts w:hint="eastAsia" w:eastAsia="黑体"/>
          <w:bCs/>
          <w:kern w:val="0"/>
          <w:sz w:val="32"/>
          <w:szCs w:val="32"/>
          <w:lang w:val="en-US" w:eastAsia="zh-CN"/>
        </w:rPr>
      </w:pPr>
      <w:r>
        <w:rPr>
          <w:rFonts w:ascii="Times New Roman" w:hAnsi="Times New Roman"/>
          <w:sz w:val="36"/>
        </w:rPr>
        <mc:AlternateContent>
          <mc:Choice Requires="wps">
            <w:drawing>
              <wp:anchor distT="0" distB="0" distL="114300" distR="114300" simplePos="0" relativeHeight="251669504" behindDoc="0" locked="0" layoutInCell="1" allowOverlap="1">
                <wp:simplePos x="0" y="0"/>
                <wp:positionH relativeFrom="column">
                  <wp:posOffset>680085</wp:posOffset>
                </wp:positionH>
                <wp:positionV relativeFrom="paragraph">
                  <wp:posOffset>32385</wp:posOffset>
                </wp:positionV>
                <wp:extent cx="4319905" cy="1800225"/>
                <wp:effectExtent l="0" t="0" r="8255" b="13335"/>
                <wp:wrapNone/>
                <wp:docPr id="1482371521" name="文本框 1482371521"/>
                <wp:cNvGraphicFramePr/>
                <a:graphic xmlns:a="http://schemas.openxmlformats.org/drawingml/2006/main">
                  <a:graphicData uri="http://schemas.microsoft.com/office/word/2010/wordprocessingShape">
                    <wps:wsp>
                      <wps:cNvSpPr txBox="1"/>
                      <wps:spPr>
                        <a:xfrm>
                          <a:off x="0" y="0"/>
                          <a:ext cx="4319905" cy="1800225"/>
                        </a:xfrm>
                        <a:prstGeom prst="rect">
                          <a:avLst/>
                        </a:prstGeom>
                        <a:ln>
                          <a:noFill/>
                          <a:prstDash val="sysDot"/>
                        </a:ln>
                      </wps:spPr>
                      <wps:style>
                        <a:lnRef idx="2">
                          <a:schemeClr val="dk1"/>
                        </a:lnRef>
                        <a:fillRef idx="1">
                          <a:schemeClr val="lt1"/>
                        </a:fillRef>
                        <a:effectRef idx="0">
                          <a:schemeClr val="dk1"/>
                        </a:effectRef>
                        <a:fontRef idx="minor">
                          <a:schemeClr val="dk1"/>
                        </a:fontRef>
                      </wps:style>
                      <wps:txbx>
                        <w:txbxContent>
                          <w:p w14:paraId="45DDE55B">
                            <w:pPr>
                              <w:snapToGrid w:val="0"/>
                              <w:spacing w:line="820" w:lineRule="exact"/>
                              <w:jc w:val="center"/>
                              <w:rPr>
                                <w:rFonts w:eastAsia="黑体"/>
                                <w:b/>
                                <w:bCs/>
                                <w:spacing w:val="6"/>
                                <w:kern w:val="0"/>
                                <w:sz w:val="52"/>
                                <w:szCs w:val="40"/>
                              </w:rPr>
                            </w:pPr>
                            <w:r>
                              <w:rPr>
                                <w:rFonts w:hint="eastAsia" w:eastAsia="黑体"/>
                                <w:b/>
                                <w:bCs/>
                                <w:spacing w:val="6"/>
                                <w:kern w:val="0"/>
                                <w:sz w:val="44"/>
                                <w:szCs w:val="32"/>
                                <w:lang w:val="en-US" w:eastAsia="zh-CN"/>
                              </w:rPr>
                              <w:t>喀什市市场监督管理局</w:t>
                            </w:r>
                            <w:r>
                              <w:rPr>
                                <w:rFonts w:eastAsia="黑体"/>
                                <w:b/>
                                <w:bCs/>
                                <w:spacing w:val="6"/>
                                <w:kern w:val="0"/>
                                <w:sz w:val="44"/>
                                <w:szCs w:val="32"/>
                              </w:rPr>
                              <w:t>202</w:t>
                            </w:r>
                            <w:r>
                              <w:rPr>
                                <w:rFonts w:hint="eastAsia" w:eastAsia="黑体"/>
                                <w:b/>
                                <w:bCs/>
                                <w:spacing w:val="6"/>
                                <w:kern w:val="0"/>
                                <w:sz w:val="44"/>
                                <w:szCs w:val="32"/>
                              </w:rPr>
                              <w:t>5</w:t>
                            </w:r>
                            <w:r>
                              <w:rPr>
                                <w:rFonts w:eastAsia="黑体"/>
                                <w:b/>
                                <w:bCs/>
                                <w:spacing w:val="6"/>
                                <w:kern w:val="0"/>
                                <w:sz w:val="44"/>
                                <w:szCs w:val="32"/>
                              </w:rPr>
                              <w:t>年度部门整体支出</w:t>
                            </w:r>
                            <w:r>
                              <w:rPr>
                                <w:rFonts w:hint="eastAsia" w:eastAsia="黑体"/>
                                <w:b/>
                                <w:bCs/>
                                <w:spacing w:val="6"/>
                                <w:kern w:val="0"/>
                                <w:sz w:val="44"/>
                                <w:szCs w:val="32"/>
                                <w:lang w:val="en-US" w:eastAsia="zh-CN"/>
                              </w:rPr>
                              <w:t>绩效评价报告</w:t>
                            </w:r>
                          </w:p>
                          <w:p w14:paraId="1EDA4F87">
                            <w:pPr>
                              <w:pStyle w:val="2"/>
                              <w:tabs>
                                <w:tab w:val="center" w:pos="4153"/>
                                <w:tab w:val="left" w:pos="4680"/>
                                <w:tab w:val="left" w:pos="4860"/>
                                <w:tab w:val="right" w:pos="8306"/>
                              </w:tabs>
                              <w:spacing w:before="0" w:after="0" w:line="600" w:lineRule="exact"/>
                              <w:jc w:val="center"/>
                              <w:rPr>
                                <w:rFonts w:hint="eastAsia" w:ascii="仿宋_GB2312" w:hAnsi="仿宋_GB2312" w:eastAsia="仿宋_GB2312" w:cs="仿宋_GB2312"/>
                                <w:b/>
                                <w:sz w:val="32"/>
                                <w:szCs w:val="32"/>
                                <w:lang w:val="en-US" w:eastAsia="zh-CN"/>
                              </w:rPr>
                            </w:pPr>
                            <w:r>
                              <w:rPr>
                                <w:rFonts w:hint="eastAsia" w:ascii="Times New Roman" w:hAnsi="Times New Roman" w:eastAsia="仿宋_GB2312" w:cs="仿宋_GB2312"/>
                                <w:b/>
                                <w:color w:val="auto"/>
                                <w:sz w:val="32"/>
                                <w:szCs w:val="32"/>
                                <w:lang w:val="en-US" w:eastAsia="zh-CN"/>
                              </w:rPr>
                              <w:t>新高会绩字</w:t>
                            </w:r>
                            <w:r>
                              <w:rPr>
                                <w:rFonts w:hint="eastAsia" w:ascii="Times New Roman" w:hAnsi="Times New Roman" w:eastAsia="仿宋_GB2312" w:cs="仿宋_GB2312"/>
                                <w:b/>
                                <w:color w:val="auto"/>
                                <w:kern w:val="2"/>
                                <w:sz w:val="32"/>
                                <w:szCs w:val="32"/>
                                <w:lang w:val="en-US" w:eastAsia="zh-CN" w:bidi="ar-SA"/>
                              </w:rPr>
                              <w:t>[2026</w:t>
                            </w:r>
                            <w:r>
                              <w:rPr>
                                <w:rFonts w:hint="eastAsia" w:ascii="Times New Roman" w:hAnsi="Times New Roman" w:eastAsia="仿宋_GB2312" w:cs="仿宋_GB2312"/>
                                <w:b/>
                                <w:bCs/>
                                <w:color w:val="auto"/>
                                <w:sz w:val="32"/>
                                <w:szCs w:val="32"/>
                              </w:rPr>
                              <w:t>]</w:t>
                            </w:r>
                            <w:r>
                              <w:rPr>
                                <w:rFonts w:hint="eastAsia" w:ascii="Times New Roman" w:hAnsi="Times New Roman" w:eastAsia="仿宋_GB2312" w:cs="仿宋_GB2312"/>
                                <w:b/>
                                <w:bCs/>
                                <w:color w:val="auto"/>
                                <w:sz w:val="32"/>
                                <w:szCs w:val="32"/>
                                <w:lang w:val="en-US" w:eastAsia="zh-CN"/>
                              </w:rPr>
                              <w:t>第</w:t>
                            </w:r>
                            <w:r>
                              <w:rPr>
                                <w:rFonts w:hint="eastAsia" w:ascii="Times New Roman" w:hAnsi="Times New Roman" w:eastAsia="仿宋_GB2312" w:cs="仿宋_GB2312"/>
                                <w:b/>
                                <w:color w:val="auto"/>
                                <w:sz w:val="32"/>
                                <w:szCs w:val="32"/>
                                <w:lang w:val="en-US" w:eastAsia="zh-CN"/>
                              </w:rPr>
                              <w:t>062号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55pt;margin-top:2.55pt;height:141.75pt;width:340.15pt;z-index:251669504;mso-width-relative:page;mso-height-relative:page;" fillcolor="#FFFFFF [3201]" filled="t" stroked="f" coordsize="21600,21600" o:gfxdata="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DF2VV62QAAAAkBAAAP&#10;AAAAAAAAAAEAIAAAACIAAABkcnMvZG93bnJldi54bWxQSwECFAAUAAAACACHTuJAJWh2rIkCAAD1&#10;BAAADgAAAAAAAAABACAAAAAoAQAAZHJzL2Uyb0RvYy54bWxQSwUGAAAAAAYABgBZAQAAIwYAAAAA&#10;">
                <v:fill on="t" focussize="0,0"/>
                <v:stroke on="f" weight="1pt" miterlimit="8" joinstyle="miter" dashstyle="1 1"/>
                <v:imagedata o:title=""/>
                <o:lock v:ext="edit" aspectratio="f"/>
                <v:textbox>
                  <w:txbxContent>
                    <w:p w14:paraId="45DDE55B">
                      <w:pPr>
                        <w:snapToGrid w:val="0"/>
                        <w:spacing w:line="820" w:lineRule="exact"/>
                        <w:jc w:val="center"/>
                        <w:rPr>
                          <w:rFonts w:eastAsia="黑体"/>
                          <w:b/>
                          <w:bCs/>
                          <w:spacing w:val="6"/>
                          <w:kern w:val="0"/>
                          <w:sz w:val="52"/>
                          <w:szCs w:val="40"/>
                        </w:rPr>
                      </w:pPr>
                      <w:r>
                        <w:rPr>
                          <w:rFonts w:hint="eastAsia" w:eastAsia="黑体"/>
                          <w:b/>
                          <w:bCs/>
                          <w:spacing w:val="6"/>
                          <w:kern w:val="0"/>
                          <w:sz w:val="44"/>
                          <w:szCs w:val="32"/>
                          <w:lang w:val="en-US" w:eastAsia="zh-CN"/>
                        </w:rPr>
                        <w:t>喀什市市场监督管理局</w:t>
                      </w:r>
                      <w:r>
                        <w:rPr>
                          <w:rFonts w:eastAsia="黑体"/>
                          <w:b/>
                          <w:bCs/>
                          <w:spacing w:val="6"/>
                          <w:kern w:val="0"/>
                          <w:sz w:val="44"/>
                          <w:szCs w:val="32"/>
                        </w:rPr>
                        <w:t>202</w:t>
                      </w:r>
                      <w:r>
                        <w:rPr>
                          <w:rFonts w:hint="eastAsia" w:eastAsia="黑体"/>
                          <w:b/>
                          <w:bCs/>
                          <w:spacing w:val="6"/>
                          <w:kern w:val="0"/>
                          <w:sz w:val="44"/>
                          <w:szCs w:val="32"/>
                        </w:rPr>
                        <w:t>5</w:t>
                      </w:r>
                      <w:r>
                        <w:rPr>
                          <w:rFonts w:eastAsia="黑体"/>
                          <w:b/>
                          <w:bCs/>
                          <w:spacing w:val="6"/>
                          <w:kern w:val="0"/>
                          <w:sz w:val="44"/>
                          <w:szCs w:val="32"/>
                        </w:rPr>
                        <w:t>年度部门整体支出</w:t>
                      </w:r>
                      <w:r>
                        <w:rPr>
                          <w:rFonts w:hint="eastAsia" w:eastAsia="黑体"/>
                          <w:b/>
                          <w:bCs/>
                          <w:spacing w:val="6"/>
                          <w:kern w:val="0"/>
                          <w:sz w:val="44"/>
                          <w:szCs w:val="32"/>
                          <w:lang w:val="en-US" w:eastAsia="zh-CN"/>
                        </w:rPr>
                        <w:t>绩效评价报告</w:t>
                      </w:r>
                    </w:p>
                    <w:p w14:paraId="1EDA4F87">
                      <w:pPr>
                        <w:pStyle w:val="2"/>
                        <w:tabs>
                          <w:tab w:val="center" w:pos="4153"/>
                          <w:tab w:val="left" w:pos="4680"/>
                          <w:tab w:val="left" w:pos="4860"/>
                          <w:tab w:val="right" w:pos="8306"/>
                        </w:tabs>
                        <w:spacing w:before="0" w:after="0" w:line="600" w:lineRule="exact"/>
                        <w:jc w:val="center"/>
                        <w:rPr>
                          <w:rFonts w:hint="eastAsia" w:ascii="仿宋_GB2312" w:hAnsi="仿宋_GB2312" w:eastAsia="仿宋_GB2312" w:cs="仿宋_GB2312"/>
                          <w:b/>
                          <w:sz w:val="32"/>
                          <w:szCs w:val="32"/>
                          <w:lang w:val="en-US" w:eastAsia="zh-CN"/>
                        </w:rPr>
                      </w:pPr>
                      <w:r>
                        <w:rPr>
                          <w:rFonts w:hint="eastAsia" w:ascii="Times New Roman" w:hAnsi="Times New Roman" w:eastAsia="仿宋_GB2312" w:cs="仿宋_GB2312"/>
                          <w:b/>
                          <w:color w:val="auto"/>
                          <w:sz w:val="32"/>
                          <w:szCs w:val="32"/>
                          <w:lang w:val="en-US" w:eastAsia="zh-CN"/>
                        </w:rPr>
                        <w:t>新高会绩字</w:t>
                      </w:r>
                      <w:r>
                        <w:rPr>
                          <w:rFonts w:hint="eastAsia" w:ascii="Times New Roman" w:hAnsi="Times New Roman" w:eastAsia="仿宋_GB2312" w:cs="仿宋_GB2312"/>
                          <w:b/>
                          <w:color w:val="auto"/>
                          <w:kern w:val="2"/>
                          <w:sz w:val="32"/>
                          <w:szCs w:val="32"/>
                          <w:lang w:val="en-US" w:eastAsia="zh-CN" w:bidi="ar-SA"/>
                        </w:rPr>
                        <w:t>[2026</w:t>
                      </w:r>
                      <w:r>
                        <w:rPr>
                          <w:rFonts w:hint="eastAsia" w:ascii="Times New Roman" w:hAnsi="Times New Roman" w:eastAsia="仿宋_GB2312" w:cs="仿宋_GB2312"/>
                          <w:b/>
                          <w:bCs/>
                          <w:color w:val="auto"/>
                          <w:sz w:val="32"/>
                          <w:szCs w:val="32"/>
                        </w:rPr>
                        <w:t>]</w:t>
                      </w:r>
                      <w:r>
                        <w:rPr>
                          <w:rFonts w:hint="eastAsia" w:ascii="Times New Roman" w:hAnsi="Times New Roman" w:eastAsia="仿宋_GB2312" w:cs="仿宋_GB2312"/>
                          <w:b/>
                          <w:bCs/>
                          <w:color w:val="auto"/>
                          <w:sz w:val="32"/>
                          <w:szCs w:val="32"/>
                          <w:lang w:val="en-US" w:eastAsia="zh-CN"/>
                        </w:rPr>
                        <w:t>第</w:t>
                      </w:r>
                      <w:r>
                        <w:rPr>
                          <w:rFonts w:hint="eastAsia" w:ascii="Times New Roman" w:hAnsi="Times New Roman" w:eastAsia="仿宋_GB2312" w:cs="仿宋_GB2312"/>
                          <w:b/>
                          <w:color w:val="auto"/>
                          <w:sz w:val="32"/>
                          <w:szCs w:val="32"/>
                          <w:lang w:val="en-US" w:eastAsia="zh-CN"/>
                        </w:rPr>
                        <w:t>062号</w:t>
                      </w:r>
                    </w:p>
                  </w:txbxContent>
                </v:textbox>
              </v:shape>
            </w:pict>
          </mc:Fallback>
        </mc:AlternateContent>
      </w:r>
    </w:p>
    <w:p w14:paraId="6AABC9CF">
      <w:pPr>
        <w:spacing w:before="3264" w:line="360" w:lineRule="auto"/>
        <w:ind w:firstLine="640" w:firstLineChars="200"/>
        <w:jc w:val="both"/>
        <w:rPr>
          <w:rFonts w:hint="default" w:eastAsia="黑体"/>
          <w:color w:val="000000"/>
          <w:sz w:val="32"/>
          <w:lang w:val="en-US" w:eastAsia="zh-CN"/>
        </w:rPr>
      </w:pPr>
      <w:r>
        <w:rPr>
          <w:rFonts w:hint="eastAsia" w:eastAsia="黑体"/>
          <w:bCs/>
          <w:kern w:val="0"/>
          <w:sz w:val="32"/>
          <w:szCs w:val="32"/>
          <w:lang w:val="en-US" w:eastAsia="zh-CN"/>
        </w:rPr>
        <w:t>部门名称</w:t>
      </w:r>
      <w:r>
        <w:rPr>
          <w:rFonts w:eastAsia="黑体"/>
          <w:bCs/>
          <w:kern w:val="0"/>
          <w:sz w:val="32"/>
          <w:szCs w:val="32"/>
        </w:rPr>
        <w:t>：</w:t>
      </w:r>
      <w:r>
        <w:rPr>
          <w:rFonts w:hint="eastAsia" w:eastAsia="黑体"/>
          <w:bCs/>
          <w:kern w:val="0"/>
          <w:sz w:val="32"/>
          <w:szCs w:val="32"/>
          <w:lang w:val="en-US" w:eastAsia="zh-CN"/>
        </w:rPr>
        <w:t>喀什市市场监督管理局</w:t>
      </w:r>
    </w:p>
    <w:p w14:paraId="5B69EB3B">
      <w:pPr>
        <w:spacing w:line="360" w:lineRule="auto"/>
        <w:ind w:firstLine="640" w:firstLineChars="200"/>
        <w:jc w:val="both"/>
        <w:rPr>
          <w:rFonts w:eastAsia="黑体"/>
          <w:bCs/>
          <w:kern w:val="0"/>
          <w:sz w:val="32"/>
          <w:szCs w:val="32"/>
        </w:rPr>
      </w:pPr>
      <w:r>
        <w:rPr>
          <w:rFonts w:hint="eastAsia" w:eastAsia="黑体"/>
          <w:bCs/>
          <w:kern w:val="0"/>
          <w:sz w:val="32"/>
          <w:szCs w:val="32"/>
          <w:lang w:val="en-US" w:eastAsia="zh-CN"/>
        </w:rPr>
        <w:t>主管部门</w:t>
      </w:r>
      <w:r>
        <w:rPr>
          <w:rFonts w:eastAsia="黑体"/>
          <w:bCs/>
          <w:kern w:val="0"/>
          <w:sz w:val="32"/>
          <w:szCs w:val="32"/>
        </w:rPr>
        <w:t>：喀什</w:t>
      </w:r>
      <w:r>
        <w:rPr>
          <w:rFonts w:hint="eastAsia" w:eastAsia="黑体"/>
          <w:bCs/>
          <w:kern w:val="0"/>
          <w:sz w:val="32"/>
          <w:szCs w:val="32"/>
        </w:rPr>
        <w:t>市市场监督管理局</w:t>
      </w:r>
    </w:p>
    <w:p w14:paraId="097218E5">
      <w:pPr>
        <w:spacing w:line="360" w:lineRule="auto"/>
        <w:ind w:firstLine="640" w:firstLineChars="200"/>
        <w:jc w:val="both"/>
        <w:rPr>
          <w:rFonts w:hint="default" w:eastAsia="黑体"/>
          <w:bCs/>
          <w:kern w:val="0"/>
          <w:sz w:val="32"/>
          <w:szCs w:val="32"/>
          <w:lang w:val="en-US" w:eastAsia="zh-CN"/>
        </w:rPr>
      </w:pPr>
      <w:r>
        <w:rPr>
          <w:rFonts w:hint="eastAsia" w:eastAsia="黑体"/>
          <w:bCs/>
          <w:kern w:val="0"/>
          <w:sz w:val="32"/>
          <w:szCs w:val="32"/>
          <w:lang w:val="en-US" w:eastAsia="zh-CN"/>
        </w:rPr>
        <w:t>委托单位</w:t>
      </w:r>
      <w:r>
        <w:rPr>
          <w:rFonts w:eastAsia="黑体"/>
          <w:bCs/>
          <w:kern w:val="0"/>
          <w:sz w:val="32"/>
          <w:szCs w:val="32"/>
        </w:rPr>
        <w:t>：</w:t>
      </w:r>
      <w:r>
        <w:rPr>
          <w:rFonts w:hint="eastAsia" w:eastAsia="黑体"/>
          <w:bCs/>
          <w:kern w:val="0"/>
          <w:sz w:val="32"/>
          <w:szCs w:val="32"/>
          <w:lang w:val="en-US" w:eastAsia="zh-CN"/>
        </w:rPr>
        <w:t>喀什市财政局</w:t>
      </w:r>
    </w:p>
    <w:p w14:paraId="1C47D6B4">
      <w:pPr>
        <w:spacing w:line="360" w:lineRule="auto"/>
        <w:ind w:firstLine="640" w:firstLineChars="200"/>
        <w:jc w:val="both"/>
        <w:rPr>
          <w:rFonts w:hint="default" w:eastAsia="黑体"/>
          <w:bCs/>
          <w:kern w:val="0"/>
          <w:sz w:val="32"/>
          <w:szCs w:val="32"/>
          <w:lang w:val="en-US" w:eastAsia="zh-CN"/>
        </w:rPr>
      </w:pPr>
      <w:r>
        <w:rPr>
          <w:rFonts w:hint="eastAsia" w:eastAsia="黑体"/>
          <w:bCs/>
          <w:kern w:val="0"/>
          <w:sz w:val="32"/>
          <w:szCs w:val="32"/>
          <w:lang w:val="en-US" w:eastAsia="zh-CN"/>
        </w:rPr>
        <w:t>评价年度：2025年度</w:t>
      </w:r>
    </w:p>
    <w:p w14:paraId="7931B03A">
      <w:pPr>
        <w:spacing w:line="360" w:lineRule="auto"/>
        <w:ind w:firstLine="640" w:firstLineChars="200"/>
        <w:jc w:val="both"/>
        <w:rPr>
          <w:rFonts w:eastAsia="黑体"/>
          <w:bCs/>
          <w:kern w:val="0"/>
          <w:sz w:val="32"/>
          <w:szCs w:val="32"/>
        </w:rPr>
      </w:pPr>
      <w:r>
        <w:rPr>
          <w:rFonts w:eastAsia="黑体"/>
          <w:bCs/>
          <w:kern w:val="0"/>
          <w:sz w:val="32"/>
          <w:szCs w:val="32"/>
        </w:rPr>
        <w:t>评价机构：新疆高博有限责任会计师事务所</w:t>
      </w:r>
    </w:p>
    <w:p w14:paraId="02429344">
      <w:pPr>
        <w:spacing w:line="360" w:lineRule="auto"/>
        <w:ind w:firstLine="640" w:firstLineChars="200"/>
        <w:jc w:val="both"/>
        <w:rPr>
          <w:rFonts w:eastAsia="黑体"/>
          <w:bCs/>
          <w:kern w:val="0"/>
          <w:sz w:val="32"/>
          <w:szCs w:val="32"/>
        </w:rPr>
      </w:pPr>
      <w:r>
        <w:rPr>
          <w:rFonts w:eastAsia="黑体"/>
          <w:bCs/>
          <w:kern w:val="0"/>
          <w:sz w:val="32"/>
          <w:szCs w:val="32"/>
        </w:rPr>
        <w:t>主</w:t>
      </w:r>
      <w:r>
        <w:rPr>
          <w:rFonts w:hint="eastAsia" w:eastAsia="黑体"/>
          <w:bCs/>
          <w:kern w:val="0"/>
          <w:sz w:val="32"/>
          <w:szCs w:val="32"/>
        </w:rPr>
        <w:t xml:space="preserve"> </w:t>
      </w:r>
      <w:r>
        <w:rPr>
          <w:rFonts w:eastAsia="黑体"/>
          <w:bCs/>
          <w:kern w:val="0"/>
          <w:sz w:val="32"/>
          <w:szCs w:val="32"/>
        </w:rPr>
        <w:t>评</w:t>
      </w:r>
      <w:r>
        <w:rPr>
          <w:rFonts w:hint="eastAsia" w:eastAsia="黑体"/>
          <w:bCs/>
          <w:kern w:val="0"/>
          <w:sz w:val="32"/>
          <w:szCs w:val="32"/>
        </w:rPr>
        <w:t xml:space="preserve"> </w:t>
      </w:r>
      <w:r>
        <w:rPr>
          <w:rFonts w:eastAsia="黑体"/>
          <w:bCs/>
          <w:kern w:val="0"/>
          <w:sz w:val="32"/>
          <w:szCs w:val="32"/>
        </w:rPr>
        <w:t>人：</w:t>
      </w:r>
      <w:r>
        <w:rPr>
          <w:rFonts w:hint="eastAsia" w:eastAsia="黑体"/>
          <w:bCs/>
          <w:kern w:val="0"/>
          <w:sz w:val="32"/>
          <w:szCs w:val="32"/>
        </w:rPr>
        <w:t>张红霞</w:t>
      </w:r>
    </w:p>
    <w:p w14:paraId="75EFBA3F">
      <w:pPr>
        <w:pStyle w:val="62"/>
        <w:tabs>
          <w:tab w:val="right" w:leader="dot" w:pos="8302"/>
        </w:tabs>
        <w:spacing w:after="100" w:afterAutospacing="1" w:line="590" w:lineRule="exact"/>
        <w:jc w:val="center"/>
        <w:rPr>
          <w:rFonts w:eastAsia="黑体"/>
          <w:kern w:val="0"/>
          <w:sz w:val="32"/>
          <w:szCs w:val="32"/>
        </w:rPr>
        <w:sectPr>
          <w:headerReference r:id="rId4" w:type="first"/>
          <w:footerReference r:id="rId6" w:type="first"/>
          <w:headerReference r:id="rId3" w:type="default"/>
          <w:footerReference r:id="rId5" w:type="default"/>
          <w:pgSz w:w="11906" w:h="16838"/>
          <w:pgMar w:top="2835" w:right="1701" w:bottom="1701" w:left="1701" w:header="850" w:footer="964" w:gutter="0"/>
          <w:pgBorders>
            <w:top w:val="none" w:sz="0" w:space="0"/>
            <w:left w:val="none" w:sz="0" w:space="0"/>
            <w:bottom w:val="none" w:sz="0" w:space="0"/>
            <w:right w:val="none" w:sz="0" w:space="0"/>
          </w:pgBorders>
          <w:pgNumType w:start="1"/>
          <w:cols w:space="720" w:num="1"/>
          <w:docGrid w:linePitch="312" w:charSpace="0"/>
        </w:sectPr>
      </w:pPr>
      <w:r>
        <w:rPr>
          <w:rFonts w:hint="eastAsia" w:eastAsia="黑体"/>
          <w:kern w:val="0"/>
          <w:sz w:val="32"/>
          <w:szCs w:val="32"/>
        </w:rPr>
        <w:t>2026年8月</w:t>
      </w:r>
      <w:r>
        <w:rPr>
          <w:rFonts w:hint="eastAsia" w:eastAsia="黑体"/>
          <w:kern w:val="0"/>
          <w:sz w:val="32"/>
          <w:szCs w:val="32"/>
        </w:rPr>
        <w:br w:type="textWrapping"/>
      </w:r>
    </w:p>
    <w:p w14:paraId="22CCC7BE">
      <w:pPr>
        <w:autoSpaceDE/>
        <w:autoSpaceDN/>
        <w:spacing w:after="0" w:line="360" w:lineRule="auto"/>
        <w:ind w:firstLine="0" w:firstLineChars="0"/>
        <w:jc w:val="center"/>
        <w:rPr>
          <w:rFonts w:hint="eastAsia" w:ascii="方正小标宋_GBK" w:hAnsi="黑体" w:eastAsia="方正小标宋_GBK"/>
          <w:b/>
          <w:kern w:val="0"/>
          <w:sz w:val="44"/>
          <w:szCs w:val="44"/>
          <w:lang w:bidi="ar"/>
        </w:rPr>
      </w:pPr>
      <w:r>
        <w:rPr>
          <w:rFonts w:hint="eastAsia" w:ascii="Times New Roman" w:hAnsi="Times New Roman" w:eastAsia="方正小标宋_GBK" w:cs="方正仿宋_GBK"/>
          <w:bCs/>
          <w:caps w:val="0"/>
          <w:smallCaps w:val="0"/>
          <w:kern w:val="2"/>
          <w:sz w:val="44"/>
          <w:szCs w:val="44"/>
        </w:rPr>
        <w:t>摘</w:t>
      </w:r>
      <w:r>
        <w:rPr>
          <w:rFonts w:hint="eastAsia" w:ascii="Times New Roman" w:hAnsi="Times New Roman" w:eastAsia="方正小标宋_GBK" w:cs="方正仿宋_GBK"/>
          <w:bCs/>
          <w:caps w:val="0"/>
          <w:smallCaps w:val="0"/>
          <w:kern w:val="2"/>
          <w:sz w:val="44"/>
          <w:szCs w:val="44"/>
          <w:lang w:val="en-US" w:eastAsia="zh-CN"/>
        </w:rPr>
        <w:t xml:space="preserve">  </w:t>
      </w:r>
      <w:r>
        <w:rPr>
          <w:rFonts w:hint="eastAsia" w:ascii="Times New Roman" w:hAnsi="Times New Roman" w:eastAsia="方正小标宋_GBK" w:cs="方正仿宋_GBK"/>
          <w:bCs/>
          <w:caps w:val="0"/>
          <w:smallCaps w:val="0"/>
          <w:kern w:val="2"/>
          <w:sz w:val="44"/>
          <w:szCs w:val="44"/>
        </w:rPr>
        <w:t>要</w:t>
      </w:r>
      <w:bookmarkStart w:id="0" w:name="_Toc21206"/>
      <w:bookmarkStart w:id="1" w:name="_Toc912"/>
      <w:bookmarkStart w:id="2" w:name="_Toc7599"/>
      <w:bookmarkStart w:id="3" w:name="_Toc23215"/>
      <w:bookmarkStart w:id="4" w:name="_Toc29973"/>
      <w:bookmarkStart w:id="5" w:name="_Toc21860"/>
    </w:p>
    <w:p w14:paraId="25177973">
      <w:pPr>
        <w:pStyle w:val="62"/>
        <w:tabs>
          <w:tab w:val="right" w:leader="dot" w:pos="8302"/>
        </w:tabs>
        <w:spacing w:line="560" w:lineRule="exact"/>
        <w:ind w:firstLine="640" w:firstLineChars="200"/>
        <w:jc w:val="left"/>
        <w:rPr>
          <w:rFonts w:eastAsia="黑体"/>
          <w:kern w:val="0"/>
          <w:sz w:val="32"/>
          <w:szCs w:val="32"/>
          <w:lang w:bidi="en-US"/>
        </w:rPr>
      </w:pPr>
      <w:r>
        <w:rPr>
          <w:rFonts w:eastAsia="黑体"/>
          <w:kern w:val="0"/>
          <w:sz w:val="32"/>
          <w:szCs w:val="32"/>
          <w:lang w:bidi="en-US"/>
        </w:rPr>
        <w:t>一、</w:t>
      </w:r>
      <w:bookmarkEnd w:id="0"/>
      <w:bookmarkEnd w:id="1"/>
      <w:bookmarkEnd w:id="2"/>
      <w:bookmarkEnd w:id="3"/>
      <w:bookmarkEnd w:id="4"/>
      <w:bookmarkEnd w:id="5"/>
      <w:r>
        <w:rPr>
          <w:rFonts w:hint="eastAsia" w:eastAsia="黑体"/>
          <w:kern w:val="0"/>
          <w:sz w:val="32"/>
          <w:szCs w:val="32"/>
          <w:lang w:bidi="en-US"/>
        </w:rPr>
        <w:t>基本情况</w:t>
      </w:r>
      <w:bookmarkStart w:id="6" w:name="_Toc18230"/>
      <w:bookmarkStart w:id="7" w:name="_Toc426"/>
      <w:bookmarkStart w:id="8" w:name="_Toc26296"/>
      <w:bookmarkStart w:id="9" w:name="_Toc14331"/>
      <w:bookmarkStart w:id="10" w:name="_Toc10396"/>
    </w:p>
    <w:p w14:paraId="109AF7D0">
      <w:pPr>
        <w:pStyle w:val="62"/>
        <w:tabs>
          <w:tab w:val="right" w:leader="dot" w:pos="8302"/>
        </w:tabs>
        <w:spacing w:line="560" w:lineRule="exact"/>
        <w:ind w:firstLine="643" w:firstLineChars="200"/>
        <w:rPr>
          <w:rFonts w:eastAsia="黑体"/>
          <w:b/>
          <w:kern w:val="0"/>
          <w:sz w:val="32"/>
          <w:szCs w:val="32"/>
          <w:shd w:val="clear" w:color="auto" w:fill="auto"/>
        </w:rPr>
      </w:pPr>
      <w:r>
        <w:rPr>
          <w:rFonts w:eastAsia="楷体"/>
          <w:b/>
          <w:bCs/>
          <w:sz w:val="32"/>
          <w:szCs w:val="32"/>
          <w:shd w:val="clear" w:color="auto" w:fill="auto"/>
        </w:rPr>
        <w:t>（一）</w:t>
      </w:r>
      <w:bookmarkEnd w:id="6"/>
      <w:bookmarkEnd w:id="7"/>
      <w:bookmarkEnd w:id="8"/>
      <w:bookmarkEnd w:id="9"/>
      <w:bookmarkEnd w:id="10"/>
      <w:r>
        <w:rPr>
          <w:rFonts w:hint="eastAsia" w:eastAsia="楷体"/>
          <w:b/>
          <w:bCs/>
          <w:sz w:val="32"/>
          <w:szCs w:val="32"/>
          <w:shd w:val="clear" w:color="auto" w:fill="auto"/>
        </w:rPr>
        <w:t>部门单位概况</w:t>
      </w:r>
    </w:p>
    <w:p w14:paraId="6F999795">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bookmarkStart w:id="11" w:name="_Toc17688"/>
      <w:r>
        <w:rPr>
          <w:rFonts w:eastAsia="仿宋_GB2312"/>
          <w:b/>
          <w:kern w:val="0"/>
          <w:sz w:val="32"/>
          <w:szCs w:val="32"/>
          <w:lang w:bidi="ar"/>
        </w:rPr>
        <w:t>1.</w:t>
      </w:r>
      <w:r>
        <w:rPr>
          <w:rFonts w:hint="eastAsia" w:eastAsia="仿宋_GB2312"/>
          <w:b/>
          <w:kern w:val="0"/>
          <w:sz w:val="32"/>
          <w:szCs w:val="32"/>
          <w:lang w:bidi="ar"/>
        </w:rPr>
        <w:t>部门主要职责</w:t>
      </w:r>
    </w:p>
    <w:p w14:paraId="1A61089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w:t>
      </w:r>
      <w:r>
        <w:rPr>
          <w:rFonts w:hint="eastAsia" w:eastAsia="仿宋_GB2312"/>
          <w:bCs/>
          <w:kern w:val="0"/>
          <w:sz w:val="32"/>
          <w:szCs w:val="32"/>
          <w:lang w:bidi="ar"/>
        </w:rPr>
        <w:t>）</w:t>
      </w:r>
      <w:r>
        <w:rPr>
          <w:rFonts w:eastAsia="仿宋_GB2312"/>
          <w:bCs/>
          <w:kern w:val="0"/>
          <w:sz w:val="32"/>
          <w:szCs w:val="32"/>
          <w:lang w:bidi="ar"/>
        </w:rPr>
        <w:t>负责市场综合监督管理和知识产权管理。贯彻执行国家、自治区、地区市场监督和知识产权管理有关</w:t>
      </w:r>
      <w:r>
        <w:rPr>
          <w:rFonts w:hint="eastAsia" w:eastAsia="仿宋_GB2312"/>
          <w:bCs/>
          <w:kern w:val="0"/>
          <w:sz w:val="32"/>
          <w:szCs w:val="32"/>
          <w:lang w:bidi="ar"/>
        </w:rPr>
        <w:t>法律法规</w:t>
      </w:r>
      <w:r>
        <w:rPr>
          <w:rFonts w:eastAsia="仿宋_GB2312"/>
          <w:bCs/>
          <w:kern w:val="0"/>
          <w:sz w:val="32"/>
          <w:szCs w:val="32"/>
          <w:lang w:bidi="ar"/>
        </w:rPr>
        <w:t>、规章和政策，组织实施质量强市战略、食品安全战略、标准化战略和知识产权战略。拟订并组织实施有关规划，规范和维护市场秩序，营造诚实守信、公平竞争的市场环境。</w:t>
      </w:r>
    </w:p>
    <w:p w14:paraId="5D1790C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2</w:t>
      </w:r>
      <w:r>
        <w:rPr>
          <w:rFonts w:hint="eastAsia" w:eastAsia="仿宋_GB2312"/>
          <w:bCs/>
          <w:kern w:val="0"/>
          <w:sz w:val="32"/>
          <w:szCs w:val="32"/>
          <w:lang w:bidi="ar"/>
        </w:rPr>
        <w:t>）负责市场主体统一登记注册工作。负责全市各类企业（内资）、农民专业合作社和从事经营活动的单位、个体工商户、市场主体的登记注册和监督管理工作。建立市场主体信息公示和共享机制，依法公示和共享有关信息，加强信用监管，推动市场主体信用体系建设。</w:t>
      </w:r>
    </w:p>
    <w:p w14:paraId="4A76C8D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3</w:t>
      </w:r>
      <w:r>
        <w:rPr>
          <w:rFonts w:hint="eastAsia" w:eastAsia="仿宋_GB2312"/>
          <w:bCs/>
          <w:kern w:val="0"/>
          <w:sz w:val="32"/>
          <w:szCs w:val="32"/>
          <w:lang w:bidi="ar"/>
        </w:rPr>
        <w:t>）负责市场监管和知识产权综合执法工作。组织查处重大违法案件。规范市场监管和知识产权行政执法行为。</w:t>
      </w:r>
    </w:p>
    <w:p w14:paraId="26E2E67A">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4</w:t>
      </w:r>
      <w:r>
        <w:rPr>
          <w:rFonts w:hint="eastAsia" w:eastAsia="仿宋_GB2312"/>
          <w:bCs/>
          <w:kern w:val="0"/>
          <w:sz w:val="32"/>
          <w:szCs w:val="32"/>
          <w:lang w:bidi="ar"/>
        </w:rPr>
        <w:t>）负责反垄断统一执法。统筹推进竞争政策实施，组织实施公平竞争审查制度。依据授权负责垄断协议、滥用市场支配地位和滥用行政权力排除、限制竞争等反垄断执法工作。依法对经营者集中行为进行反垄断审查。</w:t>
      </w:r>
    </w:p>
    <w:p w14:paraId="1B82B8D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5</w:t>
      </w:r>
      <w:r>
        <w:rPr>
          <w:rFonts w:hint="eastAsia" w:eastAsia="仿宋_GB2312"/>
          <w:bCs/>
          <w:kern w:val="0"/>
          <w:sz w:val="32"/>
          <w:szCs w:val="32"/>
          <w:lang w:bidi="ar"/>
        </w:rPr>
        <w:t>）负责监督管理市场秩序。依法监督管理市场交易、网络商品交易及有关服务的行为。组织指导查处价格收费违法违规、不正当竞争、违法直销、传销、侵犯商标专利知识产权和制售假冒伪劣商品行为。依法组织实施合同行为的监督管理，管理动产抵押物登记。指导广告业发展，监督管理广告活动。指导查处无照生产经营和相关无证生产经营行为。负责组织、指导和监督管理行政审批中介服务机构。指导喀什市消费者协会开展消费维权工作。</w:t>
      </w:r>
    </w:p>
    <w:p w14:paraId="60DF5EBA">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6</w:t>
      </w:r>
      <w:r>
        <w:rPr>
          <w:rFonts w:hint="eastAsia" w:eastAsia="仿宋_GB2312"/>
          <w:bCs/>
          <w:kern w:val="0"/>
          <w:sz w:val="32"/>
          <w:szCs w:val="32"/>
          <w:lang w:bidi="ar"/>
        </w:rPr>
        <w:t>）负责宏观质量管理。拟订并实施质量发展的制度措施。统筹质量基础设施建设与应用，会同有关部门组织实施重大工程设备质量监理制度，组织重大质量事故调查，组织实施缺陷产品召回制度，监督管理产品防伪工作。</w:t>
      </w:r>
    </w:p>
    <w:p w14:paraId="104011A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7</w:t>
      </w:r>
      <w:r>
        <w:rPr>
          <w:rFonts w:hint="eastAsia" w:eastAsia="仿宋_GB2312"/>
          <w:bCs/>
          <w:kern w:val="0"/>
          <w:sz w:val="32"/>
          <w:szCs w:val="32"/>
          <w:lang w:bidi="ar"/>
        </w:rPr>
        <w:t>）负责产品质量安全监督管理。管理产品质量监督抽查、风险监控工作。组织实施质量分级制度、质量安全追溯制度。组织工业产品生产许可证后续管理工作。负责纤维质量监督工作。</w:t>
      </w:r>
    </w:p>
    <w:p w14:paraId="1271D32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8</w:t>
      </w:r>
      <w:r>
        <w:rPr>
          <w:rFonts w:hint="eastAsia" w:eastAsia="仿宋_GB2312"/>
          <w:bCs/>
          <w:kern w:val="0"/>
          <w:sz w:val="32"/>
          <w:szCs w:val="32"/>
          <w:lang w:bidi="ar"/>
        </w:rPr>
        <w:t>）负责特种设备安全监督管理。综合管理特种设备安全监察、监督工作，监督检查高耗能特种设备节能标准和锅炉环境保护标准的执行情况。</w:t>
      </w:r>
    </w:p>
    <w:p w14:paraId="4C954BF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9</w:t>
      </w:r>
      <w:r>
        <w:rPr>
          <w:rFonts w:hint="eastAsia" w:eastAsia="仿宋_GB2312"/>
          <w:bCs/>
          <w:kern w:val="0"/>
          <w:sz w:val="32"/>
          <w:szCs w:val="32"/>
          <w:lang w:bidi="ar"/>
        </w:rPr>
        <w:t>）负责食品安全监督管理综合协调。负责推进食品安全重大政策措施的实施。负责食品安全应急体系建设。建立健全食品安全重要信息直报制度。</w:t>
      </w:r>
    </w:p>
    <w:p w14:paraId="24A8FB0E">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10</w:t>
      </w:r>
      <w:r>
        <w:rPr>
          <w:rFonts w:hint="eastAsia" w:eastAsia="仿宋_GB2312"/>
          <w:bCs/>
          <w:kern w:val="0"/>
          <w:sz w:val="32"/>
          <w:szCs w:val="32"/>
          <w:lang w:bidi="ar"/>
        </w:rPr>
        <w:t>）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w:t>
      </w:r>
    </w:p>
    <w:p w14:paraId="1C61C505">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11</w:t>
      </w:r>
      <w:r>
        <w:rPr>
          <w:rFonts w:hint="eastAsia" w:eastAsia="仿宋_GB2312"/>
          <w:bCs/>
          <w:kern w:val="0"/>
          <w:sz w:val="32"/>
          <w:szCs w:val="32"/>
          <w:lang w:bidi="ar"/>
        </w:rPr>
        <w:t>）负责统一管理计量工作。执行国家计量制度，推行国家法定计量单位，依法管理计量器具及量值传递、强制检定和比对工作。指导建立健全计量检定体系和节能减排等能源计量工作；监督管理计量检定机构、计量校准机构、社会公正计量机构及计量检定人员的资质资格；规范、监督商品量和市场计量行为。</w:t>
      </w:r>
    </w:p>
    <w:p w14:paraId="32F34A3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12</w:t>
      </w:r>
      <w:r>
        <w:rPr>
          <w:rFonts w:hint="eastAsia" w:eastAsia="仿宋_GB2312"/>
          <w:bCs/>
          <w:kern w:val="0"/>
          <w:sz w:val="32"/>
          <w:szCs w:val="32"/>
          <w:lang w:bidi="ar"/>
        </w:rPr>
        <w:t>）负责统一管理标准化工作。依法承担地方标准的立项、编号、制定和发布等工作。依法协调指导和监督团体标准、企业标准制定工作，管理商品条码工作。</w:t>
      </w:r>
    </w:p>
    <w:p w14:paraId="2C59F05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13</w:t>
      </w:r>
      <w:r>
        <w:rPr>
          <w:rFonts w:hint="eastAsia" w:eastAsia="仿宋_GB2312"/>
          <w:bCs/>
          <w:kern w:val="0"/>
          <w:sz w:val="32"/>
          <w:szCs w:val="32"/>
          <w:lang w:bidi="ar"/>
        </w:rPr>
        <w:t>）负责统一管理检验检测工作。组建市检验检测机构，规范检验检测市场，完善检验检测体系，完成年度抽检计划。</w:t>
      </w:r>
    </w:p>
    <w:p w14:paraId="38DA95AB">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14</w:t>
      </w:r>
      <w:r>
        <w:rPr>
          <w:rFonts w:hint="eastAsia" w:eastAsia="仿宋_GB2312"/>
          <w:bCs/>
          <w:kern w:val="0"/>
          <w:sz w:val="32"/>
          <w:szCs w:val="32"/>
          <w:lang w:bidi="ar"/>
        </w:rPr>
        <w:t>）负责统一管理、监督和综合协调认证认可工作。建立并组织实施统一的认证认可和合格评定监督管理制度。</w:t>
      </w:r>
    </w:p>
    <w:p w14:paraId="4806E626">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15</w:t>
      </w:r>
      <w:r>
        <w:rPr>
          <w:rFonts w:hint="eastAsia" w:eastAsia="仿宋_GB2312"/>
          <w:bCs/>
          <w:kern w:val="0"/>
          <w:sz w:val="32"/>
          <w:szCs w:val="32"/>
          <w:lang w:bidi="ar"/>
        </w:rPr>
        <w:t>）负责药品（含中药、民族药，下同）、医疗器械和化妆品安全监督管理。贯彻落实国家关于药品、医疗器械和化妆品监督管理的法律法规、规章和政策。</w:t>
      </w:r>
    </w:p>
    <w:p w14:paraId="4DA67B56">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16</w:t>
      </w:r>
      <w:r>
        <w:rPr>
          <w:rFonts w:hint="eastAsia" w:eastAsia="仿宋_GB2312"/>
          <w:bCs/>
          <w:kern w:val="0"/>
          <w:sz w:val="32"/>
          <w:szCs w:val="32"/>
          <w:lang w:bidi="ar"/>
        </w:rPr>
        <w:t>）监督实施药品、医疗器械、化妆品相关标准和分类管理制度。监督实施中药材地方标准和中药饮片炮制规范。参与实施国家基本药物制度。</w:t>
      </w:r>
    </w:p>
    <w:p w14:paraId="682F90D3">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17</w:t>
      </w:r>
      <w:r>
        <w:rPr>
          <w:rFonts w:hint="eastAsia" w:eastAsia="仿宋_GB2312"/>
          <w:bCs/>
          <w:kern w:val="0"/>
          <w:sz w:val="32"/>
          <w:szCs w:val="32"/>
          <w:lang w:bidi="ar"/>
        </w:rPr>
        <w:t>）负责药品、医疗器械和化妆品质量管理。监督实施药品、医疗器械经营质量管理规范，监督实施化妆品经营、使用卫生标准和技术规范。</w:t>
      </w:r>
    </w:p>
    <w:p w14:paraId="2CF0B2F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18</w:t>
      </w:r>
      <w:r>
        <w:rPr>
          <w:rFonts w:hint="eastAsia" w:eastAsia="仿宋_GB2312"/>
          <w:bCs/>
          <w:kern w:val="0"/>
          <w:sz w:val="32"/>
          <w:szCs w:val="32"/>
          <w:lang w:bidi="ar"/>
        </w:rPr>
        <w:t>）负责药品、医疗器械和化妆品上市后风险管理。组织开展辖区药品、化妆品不良反应和医疗器械不良事件监测、评价和处置。组织开展药物滥用监测。依法承担药品、医疗器械和化妆品安全应急管理。</w:t>
      </w:r>
    </w:p>
    <w:p w14:paraId="4406F6D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19</w:t>
      </w:r>
      <w:r>
        <w:rPr>
          <w:rFonts w:hint="eastAsia" w:eastAsia="仿宋_GB2312"/>
          <w:bCs/>
          <w:kern w:val="0"/>
          <w:sz w:val="32"/>
          <w:szCs w:val="32"/>
          <w:lang w:bidi="ar"/>
        </w:rPr>
        <w:t>）负责促进知识产权运用。指导知识产权无形资产评估、审查评议工作。指导和促进知识产权服务业发展，统筹指导知识产权公共服务体系建设，推动知识产权信息宣传引导和推广应用。</w:t>
      </w:r>
    </w:p>
    <w:p w14:paraId="5465729E">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20</w:t>
      </w:r>
      <w:r>
        <w:rPr>
          <w:rFonts w:hint="eastAsia" w:eastAsia="仿宋_GB2312"/>
          <w:bCs/>
          <w:kern w:val="0"/>
          <w:sz w:val="32"/>
          <w:szCs w:val="32"/>
          <w:lang w:bidi="ar"/>
        </w:rPr>
        <w:t>）负责保护知识产权。负责组织指导商标、专利执法工作，指导知识产权争议处理、维权援助和纠纷调处。组织指导知识产权预警和涉外保护工作。</w:t>
      </w:r>
    </w:p>
    <w:p w14:paraId="6EF63E8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21</w:t>
      </w:r>
      <w:r>
        <w:rPr>
          <w:rFonts w:hint="eastAsia" w:eastAsia="仿宋_GB2312"/>
          <w:bCs/>
          <w:kern w:val="0"/>
          <w:sz w:val="32"/>
          <w:szCs w:val="32"/>
          <w:lang w:bidi="ar"/>
        </w:rPr>
        <w:t>）承担喀什市食品安全委员会领导小组办公室的具体工作。</w:t>
      </w:r>
    </w:p>
    <w:p w14:paraId="4FA6A483">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22</w:t>
      </w:r>
      <w:r>
        <w:rPr>
          <w:rFonts w:hint="eastAsia" w:eastAsia="仿宋_GB2312"/>
          <w:bCs/>
          <w:kern w:val="0"/>
          <w:sz w:val="32"/>
          <w:szCs w:val="32"/>
          <w:lang w:bidi="ar"/>
        </w:rPr>
        <w:t>）完成市委、市政府交办的其他任务。</w:t>
      </w:r>
    </w:p>
    <w:p w14:paraId="59582139">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hint="eastAsia" w:eastAsia="仿宋_GB2312"/>
          <w:b/>
          <w:kern w:val="0"/>
          <w:sz w:val="32"/>
          <w:szCs w:val="32"/>
          <w:lang w:bidi="ar"/>
        </w:rPr>
        <w:t>2</w:t>
      </w:r>
      <w:r>
        <w:rPr>
          <w:rFonts w:eastAsia="仿宋_GB2312"/>
          <w:b/>
          <w:kern w:val="0"/>
          <w:sz w:val="32"/>
          <w:szCs w:val="32"/>
          <w:lang w:bidi="ar"/>
        </w:rPr>
        <w:t>.</w:t>
      </w:r>
      <w:r>
        <w:rPr>
          <w:rFonts w:hint="eastAsia" w:eastAsia="仿宋_GB2312"/>
          <w:b/>
          <w:kern w:val="0"/>
          <w:sz w:val="32"/>
          <w:szCs w:val="32"/>
          <w:lang w:bidi="ar"/>
        </w:rPr>
        <w:t>部门机构设置及人员情况</w:t>
      </w:r>
    </w:p>
    <w:p w14:paraId="2F426D9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新疆维吾尔自治区喀什地区喀什市市场监督管理局无下属预算单位，下设十五个内设机构：党政办公室、计划财务股、纪检监察股、政策法规股、行政许可股、打假举报受理指挥中心、市场规范管理股、个体私营经济监督管理股、食品安全监督管理股、药品安全监督管理股、质量计量监督管理股、特种设备监督管理股、知识产权保护与管理股、市场监督稽查大队、派出机构。</w:t>
      </w:r>
    </w:p>
    <w:p w14:paraId="331F620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highlight w:val="none"/>
          <w:lang w:bidi="ar"/>
        </w:rPr>
      </w:pPr>
      <w:r>
        <w:rPr>
          <w:rFonts w:hint="eastAsia" w:eastAsia="仿宋_GB2312"/>
          <w:bCs/>
          <w:kern w:val="0"/>
          <w:sz w:val="32"/>
          <w:szCs w:val="32"/>
          <w:highlight w:val="none"/>
          <w:lang w:bidi="ar"/>
        </w:rPr>
        <w:t>截至2025年末，喀什市市场监督管理局</w:t>
      </w:r>
      <w:r>
        <w:rPr>
          <w:rFonts w:hint="eastAsia" w:eastAsia="仿宋_GB2312"/>
          <w:bCs/>
          <w:kern w:val="0"/>
          <w:sz w:val="32"/>
          <w:szCs w:val="32"/>
          <w:highlight w:val="none"/>
          <w:lang w:val="en-US" w:eastAsia="zh-CN" w:bidi="ar"/>
        </w:rPr>
        <w:t>实有合计321人，其中：在职168人（编制内实有人员149人，其他人员19人）、退休153人</w:t>
      </w:r>
      <w:r>
        <w:rPr>
          <w:rFonts w:hint="eastAsia" w:eastAsia="仿宋_GB2312"/>
          <w:bCs/>
          <w:kern w:val="0"/>
          <w:sz w:val="32"/>
          <w:szCs w:val="32"/>
          <w:highlight w:val="none"/>
          <w:lang w:bidi="ar"/>
        </w:rPr>
        <w:t>。</w:t>
      </w:r>
    </w:p>
    <w:p w14:paraId="1209EB77">
      <w:pPr>
        <w:pStyle w:val="13"/>
        <w:spacing w:after="0" w:line="560" w:lineRule="exact"/>
        <w:ind w:firstLine="643" w:firstLineChars="200"/>
        <w:contextualSpacing/>
        <w:rPr>
          <w:rFonts w:hint="eastAsia" w:eastAsia="楷体"/>
          <w:bCs/>
          <w:kern w:val="0"/>
          <w:sz w:val="32"/>
          <w:szCs w:val="32"/>
          <w:lang w:val="en-US" w:eastAsia="zh-CN" w:bidi="ar"/>
        </w:rPr>
      </w:pPr>
      <w:r>
        <w:rPr>
          <w:rFonts w:eastAsia="楷体"/>
          <w:b/>
          <w:bCs/>
          <w:sz w:val="32"/>
          <w:szCs w:val="32"/>
        </w:rPr>
        <w:t>（二）</w:t>
      </w:r>
      <w:bookmarkEnd w:id="11"/>
      <w:r>
        <w:rPr>
          <w:rFonts w:hint="eastAsia" w:eastAsia="楷体"/>
          <w:b/>
          <w:bCs/>
          <w:sz w:val="32"/>
          <w:szCs w:val="32"/>
        </w:rPr>
        <w:t>部门资金投入和使用情况</w:t>
      </w:r>
    </w:p>
    <w:p w14:paraId="219AE2EA">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1.</w:t>
      </w:r>
      <w:r>
        <w:rPr>
          <w:rFonts w:hint="eastAsia" w:eastAsia="仿宋_GB2312"/>
          <w:b/>
          <w:kern w:val="0"/>
          <w:sz w:val="32"/>
          <w:szCs w:val="32"/>
          <w:lang w:bidi="ar"/>
        </w:rPr>
        <w:t>部门年度预算收入完成情况</w:t>
      </w:r>
    </w:p>
    <w:p w14:paraId="4DFFE4B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2025年喀什市市场监督管理局年初预算安排3375.76万元，其中：一般公共预算财政拨款3368.71万元，事业收入0万元，其他收入0万元，年初结转和结余7.05万元。经年中调整后全年预算金额为3350.24万元，其中：一般公共预算财政拨款3307.61万元，政府性基金预算财政拨款42.63万元。</w:t>
      </w:r>
    </w:p>
    <w:p w14:paraId="6CF5A1FB">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该单位2025年预算资金主要用于基本支出3067.98万元，项目支出282.26万元。</w:t>
      </w:r>
    </w:p>
    <w:p w14:paraId="26541D29">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ascii="Times New Roman" w:hAnsi="Times New Roman" w:eastAsia="仿宋_GB2312" w:cs="Times New Roman"/>
          <w:b/>
          <w:kern w:val="0"/>
          <w:sz w:val="32"/>
          <w:szCs w:val="32"/>
          <w:lang w:bidi="ar"/>
        </w:rPr>
      </w:pPr>
      <w:r>
        <w:rPr>
          <w:rFonts w:ascii="Times New Roman" w:hAnsi="Times New Roman" w:eastAsia="仿宋_GB2312" w:cs="Times New Roman"/>
          <w:b/>
          <w:kern w:val="0"/>
          <w:sz w:val="32"/>
          <w:szCs w:val="32"/>
          <w:lang w:bidi="ar"/>
        </w:rPr>
        <w:t>2.</w:t>
      </w:r>
      <w:r>
        <w:rPr>
          <w:rFonts w:hint="eastAsia" w:ascii="Times New Roman" w:hAnsi="Times New Roman" w:eastAsia="仿宋_GB2312" w:cs="Times New Roman"/>
          <w:b/>
          <w:kern w:val="0"/>
          <w:sz w:val="32"/>
          <w:szCs w:val="32"/>
          <w:lang w:bidi="ar"/>
        </w:rPr>
        <w:t>部门年度预算支出及执行情况</w:t>
      </w:r>
    </w:p>
    <w:p w14:paraId="03EF74DB">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根据2025年度部门决算报表数据，喀什市市场监督管理局2025年度部门全年支出数3350.24万元，年末结转和结余0万元，部门年度预算执行率为100%。资金使用情况如下：</w:t>
      </w:r>
    </w:p>
    <w:p w14:paraId="1462A990">
      <w:pPr>
        <w:pStyle w:val="13"/>
        <w:keepNext w:val="0"/>
        <w:keepLines w:val="0"/>
        <w:pageBreakBefore w:val="0"/>
        <w:widowControl w:val="0"/>
        <w:kinsoku/>
        <w:wordWrap/>
        <w:overflowPunct/>
        <w:topLinePunct w:val="0"/>
        <w:autoSpaceDE/>
        <w:autoSpaceDN/>
        <w:bidi w:val="0"/>
        <w:adjustRightInd/>
        <w:snapToGrid/>
        <w:spacing w:after="0" w:line="560" w:lineRule="exact"/>
        <w:ind w:firstLine="482" w:firstLineChars="200"/>
        <w:contextualSpacing/>
        <w:jc w:val="center"/>
        <w:textAlignment w:val="auto"/>
        <w:rPr>
          <w:rFonts w:eastAsia="仿宋_GB2312"/>
          <w:b/>
          <w:bCs/>
          <w:sz w:val="24"/>
          <w:szCs w:val="24"/>
        </w:rPr>
      </w:pPr>
      <w:r>
        <w:rPr>
          <w:rFonts w:hint="eastAsia" w:eastAsia="仿宋_GB2312"/>
          <w:b/>
          <w:bCs/>
          <w:sz w:val="24"/>
          <w:szCs w:val="24"/>
        </w:rPr>
        <w:t>表1-1 部门支出预算与实际支出对比表          单位：万元</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1"/>
        <w:gridCol w:w="1850"/>
        <w:gridCol w:w="1649"/>
        <w:gridCol w:w="1649"/>
        <w:gridCol w:w="1167"/>
        <w:gridCol w:w="1924"/>
      </w:tblGrid>
      <w:tr w14:paraId="7E6BD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blHeader/>
        </w:trPr>
        <w:tc>
          <w:tcPr>
            <w:tcW w:w="453" w:type="pct"/>
            <w:shd w:val="clear" w:color="auto" w:fill="D7D7D7"/>
            <w:vAlign w:val="center"/>
          </w:tcPr>
          <w:p w14:paraId="280FAF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序号</w:t>
            </w:r>
          </w:p>
        </w:tc>
        <w:tc>
          <w:tcPr>
            <w:tcW w:w="1020" w:type="pct"/>
            <w:shd w:val="clear" w:color="auto" w:fill="D7D7D7"/>
            <w:vAlign w:val="center"/>
          </w:tcPr>
          <w:p w14:paraId="7CBACF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支出类别</w:t>
            </w:r>
          </w:p>
        </w:tc>
        <w:tc>
          <w:tcPr>
            <w:tcW w:w="910" w:type="pct"/>
            <w:shd w:val="clear" w:color="auto" w:fill="D7D7D7"/>
            <w:noWrap/>
            <w:vAlign w:val="center"/>
          </w:tcPr>
          <w:p w14:paraId="25AAC2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年初预算数</w:t>
            </w:r>
          </w:p>
        </w:tc>
        <w:tc>
          <w:tcPr>
            <w:tcW w:w="910" w:type="pct"/>
            <w:shd w:val="clear" w:color="auto" w:fill="D7D7D7"/>
            <w:noWrap/>
            <w:vAlign w:val="center"/>
          </w:tcPr>
          <w:p w14:paraId="22E8D1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全年预算数</w:t>
            </w:r>
          </w:p>
        </w:tc>
        <w:tc>
          <w:tcPr>
            <w:tcW w:w="644" w:type="pct"/>
            <w:shd w:val="clear" w:color="auto" w:fill="D7D7D7"/>
            <w:vAlign w:val="center"/>
          </w:tcPr>
          <w:p w14:paraId="58C1C2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决算数</w:t>
            </w:r>
          </w:p>
        </w:tc>
        <w:tc>
          <w:tcPr>
            <w:tcW w:w="1061" w:type="pct"/>
            <w:shd w:val="clear" w:color="auto" w:fill="D7D7D7"/>
            <w:vAlign w:val="center"/>
          </w:tcPr>
          <w:p w14:paraId="1C5185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预算执行率</w:t>
            </w:r>
          </w:p>
        </w:tc>
      </w:tr>
      <w:tr w14:paraId="40A9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453" w:type="pct"/>
            <w:vAlign w:val="center"/>
          </w:tcPr>
          <w:p w14:paraId="0B02CB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w:t>
            </w:r>
          </w:p>
        </w:tc>
        <w:tc>
          <w:tcPr>
            <w:tcW w:w="1020" w:type="pct"/>
            <w:vAlign w:val="center"/>
          </w:tcPr>
          <w:p w14:paraId="053410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eastAsia="仿宋_GB2312"/>
                <w:kern w:val="0"/>
                <w:sz w:val="22"/>
                <w:lang w:bidi="ar"/>
              </w:rPr>
            </w:pPr>
            <w:r>
              <w:rPr>
                <w:rFonts w:hint="eastAsia" w:eastAsia="仿宋_GB2312"/>
                <w:kern w:val="0"/>
                <w:sz w:val="22"/>
                <w:lang w:bidi="ar"/>
              </w:rPr>
              <w:t>基本支出</w:t>
            </w:r>
          </w:p>
        </w:tc>
        <w:tc>
          <w:tcPr>
            <w:tcW w:w="910" w:type="pct"/>
            <w:vAlign w:val="center"/>
          </w:tcPr>
          <w:p w14:paraId="396539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3208.25</w:t>
            </w:r>
          </w:p>
        </w:tc>
        <w:tc>
          <w:tcPr>
            <w:tcW w:w="910" w:type="pct"/>
            <w:vAlign w:val="center"/>
          </w:tcPr>
          <w:p w14:paraId="7B5F6C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3067.98</w:t>
            </w:r>
          </w:p>
        </w:tc>
        <w:tc>
          <w:tcPr>
            <w:tcW w:w="644" w:type="pct"/>
            <w:vAlign w:val="center"/>
          </w:tcPr>
          <w:p w14:paraId="16D968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3067.98</w:t>
            </w:r>
          </w:p>
        </w:tc>
        <w:tc>
          <w:tcPr>
            <w:tcW w:w="1061" w:type="pct"/>
            <w:vAlign w:val="center"/>
          </w:tcPr>
          <w:p w14:paraId="2D7A1C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100%</w:t>
            </w:r>
          </w:p>
        </w:tc>
      </w:tr>
      <w:tr w14:paraId="05E8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453" w:type="pct"/>
            <w:vAlign w:val="center"/>
          </w:tcPr>
          <w:p w14:paraId="37E7AB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p>
        </w:tc>
        <w:tc>
          <w:tcPr>
            <w:tcW w:w="1020" w:type="pct"/>
            <w:vAlign w:val="center"/>
          </w:tcPr>
          <w:p w14:paraId="4DA692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人员经费</w:t>
            </w:r>
          </w:p>
        </w:tc>
        <w:tc>
          <w:tcPr>
            <w:tcW w:w="910" w:type="pct"/>
            <w:vAlign w:val="center"/>
          </w:tcPr>
          <w:p w14:paraId="0A544E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3131.18</w:t>
            </w:r>
          </w:p>
        </w:tc>
        <w:tc>
          <w:tcPr>
            <w:tcW w:w="910" w:type="pct"/>
            <w:vAlign w:val="center"/>
          </w:tcPr>
          <w:p w14:paraId="5F4EDC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3005.1</w:t>
            </w:r>
          </w:p>
        </w:tc>
        <w:tc>
          <w:tcPr>
            <w:tcW w:w="644" w:type="pct"/>
            <w:vAlign w:val="center"/>
          </w:tcPr>
          <w:p w14:paraId="6F6AA2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300</w:t>
            </w:r>
            <w:r>
              <w:rPr>
                <w:rFonts w:hint="eastAsia" w:eastAsia="仿宋_GB2312"/>
                <w:kern w:val="0"/>
                <w:sz w:val="22"/>
                <w:lang w:val="en-US" w:eastAsia="zh-CN" w:bidi="ar"/>
              </w:rPr>
              <w:t>5</w:t>
            </w:r>
            <w:r>
              <w:rPr>
                <w:rFonts w:hint="eastAsia" w:eastAsia="仿宋_GB2312"/>
                <w:kern w:val="0"/>
                <w:sz w:val="22"/>
                <w:lang w:bidi="ar"/>
              </w:rPr>
              <w:t>.1</w:t>
            </w:r>
          </w:p>
        </w:tc>
        <w:tc>
          <w:tcPr>
            <w:tcW w:w="1061" w:type="pct"/>
            <w:vAlign w:val="center"/>
          </w:tcPr>
          <w:p w14:paraId="68F479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100%</w:t>
            </w:r>
          </w:p>
        </w:tc>
      </w:tr>
      <w:tr w14:paraId="4977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453" w:type="pct"/>
            <w:vAlign w:val="center"/>
          </w:tcPr>
          <w:p w14:paraId="5013DE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p>
        </w:tc>
        <w:tc>
          <w:tcPr>
            <w:tcW w:w="1020" w:type="pct"/>
            <w:vAlign w:val="center"/>
          </w:tcPr>
          <w:p w14:paraId="25454D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公用经费</w:t>
            </w:r>
          </w:p>
        </w:tc>
        <w:tc>
          <w:tcPr>
            <w:tcW w:w="910" w:type="pct"/>
            <w:vAlign w:val="center"/>
          </w:tcPr>
          <w:p w14:paraId="6EA9D4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77.07</w:t>
            </w:r>
          </w:p>
        </w:tc>
        <w:tc>
          <w:tcPr>
            <w:tcW w:w="910" w:type="pct"/>
            <w:vAlign w:val="center"/>
          </w:tcPr>
          <w:p w14:paraId="04433D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62.88</w:t>
            </w:r>
          </w:p>
        </w:tc>
        <w:tc>
          <w:tcPr>
            <w:tcW w:w="644" w:type="pct"/>
            <w:vAlign w:val="center"/>
          </w:tcPr>
          <w:p w14:paraId="229B77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62.88</w:t>
            </w:r>
          </w:p>
        </w:tc>
        <w:tc>
          <w:tcPr>
            <w:tcW w:w="1061" w:type="pct"/>
            <w:vAlign w:val="center"/>
          </w:tcPr>
          <w:p w14:paraId="41432F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100%</w:t>
            </w:r>
          </w:p>
        </w:tc>
      </w:tr>
      <w:tr w14:paraId="53D1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453" w:type="pct"/>
            <w:vAlign w:val="center"/>
          </w:tcPr>
          <w:p w14:paraId="0F7B68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2</w:t>
            </w:r>
          </w:p>
        </w:tc>
        <w:tc>
          <w:tcPr>
            <w:tcW w:w="1020" w:type="pct"/>
            <w:vAlign w:val="center"/>
          </w:tcPr>
          <w:p w14:paraId="0C5509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eastAsia="仿宋_GB2312"/>
                <w:kern w:val="0"/>
                <w:sz w:val="22"/>
                <w:lang w:bidi="ar"/>
              </w:rPr>
            </w:pPr>
            <w:r>
              <w:rPr>
                <w:rFonts w:hint="eastAsia" w:eastAsia="仿宋_GB2312"/>
                <w:kern w:val="0"/>
                <w:sz w:val="22"/>
                <w:lang w:bidi="ar"/>
              </w:rPr>
              <w:t>项目支出</w:t>
            </w:r>
          </w:p>
        </w:tc>
        <w:tc>
          <w:tcPr>
            <w:tcW w:w="910" w:type="pct"/>
            <w:vAlign w:val="center"/>
          </w:tcPr>
          <w:p w14:paraId="354B26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167.51</w:t>
            </w:r>
          </w:p>
        </w:tc>
        <w:tc>
          <w:tcPr>
            <w:tcW w:w="910" w:type="pct"/>
            <w:vAlign w:val="center"/>
          </w:tcPr>
          <w:p w14:paraId="1F231A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282.26</w:t>
            </w:r>
          </w:p>
        </w:tc>
        <w:tc>
          <w:tcPr>
            <w:tcW w:w="644" w:type="pct"/>
            <w:vAlign w:val="center"/>
          </w:tcPr>
          <w:p w14:paraId="20B552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282.26</w:t>
            </w:r>
          </w:p>
        </w:tc>
        <w:tc>
          <w:tcPr>
            <w:tcW w:w="1061" w:type="pct"/>
            <w:vAlign w:val="center"/>
          </w:tcPr>
          <w:p w14:paraId="672D66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100%</w:t>
            </w:r>
          </w:p>
        </w:tc>
      </w:tr>
      <w:tr w14:paraId="7667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453" w:type="pct"/>
            <w:vAlign w:val="center"/>
          </w:tcPr>
          <w:p w14:paraId="2E858A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3</w:t>
            </w:r>
          </w:p>
        </w:tc>
        <w:tc>
          <w:tcPr>
            <w:tcW w:w="1020" w:type="pct"/>
            <w:vAlign w:val="center"/>
          </w:tcPr>
          <w:p w14:paraId="54164A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eastAsia="仿宋_GB2312"/>
                <w:kern w:val="0"/>
                <w:sz w:val="22"/>
                <w:lang w:bidi="ar"/>
              </w:rPr>
            </w:pPr>
            <w:r>
              <w:rPr>
                <w:rFonts w:hint="eastAsia" w:eastAsia="仿宋_GB2312"/>
                <w:kern w:val="0"/>
                <w:sz w:val="22"/>
                <w:lang w:bidi="ar"/>
              </w:rPr>
              <w:t>上缴上年支出</w:t>
            </w:r>
          </w:p>
        </w:tc>
        <w:tc>
          <w:tcPr>
            <w:tcW w:w="910" w:type="pct"/>
            <w:vAlign w:val="center"/>
          </w:tcPr>
          <w:p w14:paraId="7643CD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w:t>
            </w:r>
          </w:p>
        </w:tc>
        <w:tc>
          <w:tcPr>
            <w:tcW w:w="910" w:type="pct"/>
            <w:vAlign w:val="center"/>
          </w:tcPr>
          <w:p w14:paraId="223AAA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w:t>
            </w:r>
          </w:p>
        </w:tc>
        <w:tc>
          <w:tcPr>
            <w:tcW w:w="644" w:type="pct"/>
            <w:vAlign w:val="center"/>
          </w:tcPr>
          <w:p w14:paraId="3FB494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w:t>
            </w:r>
          </w:p>
        </w:tc>
        <w:tc>
          <w:tcPr>
            <w:tcW w:w="1061" w:type="pct"/>
            <w:vAlign w:val="center"/>
          </w:tcPr>
          <w:p w14:paraId="0DB511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w:t>
            </w:r>
          </w:p>
        </w:tc>
      </w:tr>
      <w:tr w14:paraId="35235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453" w:type="pct"/>
            <w:vAlign w:val="center"/>
          </w:tcPr>
          <w:p w14:paraId="0CD1F0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4</w:t>
            </w:r>
          </w:p>
        </w:tc>
        <w:tc>
          <w:tcPr>
            <w:tcW w:w="1020" w:type="pct"/>
            <w:vAlign w:val="center"/>
          </w:tcPr>
          <w:p w14:paraId="6D0EFA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eastAsia="仿宋_GB2312"/>
                <w:kern w:val="0"/>
                <w:sz w:val="22"/>
                <w:lang w:bidi="ar"/>
              </w:rPr>
            </w:pPr>
            <w:r>
              <w:rPr>
                <w:rFonts w:hint="eastAsia" w:eastAsia="仿宋_GB2312"/>
                <w:kern w:val="0"/>
                <w:sz w:val="22"/>
                <w:lang w:bidi="ar"/>
              </w:rPr>
              <w:t>经营支出</w:t>
            </w:r>
          </w:p>
        </w:tc>
        <w:tc>
          <w:tcPr>
            <w:tcW w:w="910" w:type="pct"/>
            <w:vAlign w:val="center"/>
          </w:tcPr>
          <w:p w14:paraId="72A92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w:t>
            </w:r>
          </w:p>
        </w:tc>
        <w:tc>
          <w:tcPr>
            <w:tcW w:w="910" w:type="pct"/>
            <w:vAlign w:val="center"/>
          </w:tcPr>
          <w:p w14:paraId="5D8199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w:t>
            </w:r>
          </w:p>
        </w:tc>
        <w:tc>
          <w:tcPr>
            <w:tcW w:w="644" w:type="pct"/>
            <w:vAlign w:val="center"/>
          </w:tcPr>
          <w:p w14:paraId="4FEC69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w:t>
            </w:r>
          </w:p>
        </w:tc>
        <w:tc>
          <w:tcPr>
            <w:tcW w:w="1061" w:type="pct"/>
            <w:vAlign w:val="center"/>
          </w:tcPr>
          <w:p w14:paraId="3BAB49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w:t>
            </w:r>
          </w:p>
        </w:tc>
      </w:tr>
      <w:tr w14:paraId="55490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453" w:type="pct"/>
            <w:vAlign w:val="center"/>
          </w:tcPr>
          <w:p w14:paraId="281964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5</w:t>
            </w:r>
          </w:p>
        </w:tc>
        <w:tc>
          <w:tcPr>
            <w:tcW w:w="1020" w:type="pct"/>
            <w:vAlign w:val="center"/>
          </w:tcPr>
          <w:p w14:paraId="7140FC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eastAsia="仿宋_GB2312"/>
                <w:kern w:val="0"/>
                <w:sz w:val="22"/>
                <w:lang w:bidi="ar"/>
              </w:rPr>
            </w:pPr>
            <w:r>
              <w:rPr>
                <w:rFonts w:hint="eastAsia" w:eastAsia="仿宋_GB2312"/>
                <w:kern w:val="0"/>
                <w:sz w:val="22"/>
                <w:lang w:bidi="ar"/>
              </w:rPr>
              <w:t>对附属单位补助支出</w:t>
            </w:r>
          </w:p>
        </w:tc>
        <w:tc>
          <w:tcPr>
            <w:tcW w:w="910" w:type="pct"/>
            <w:vAlign w:val="center"/>
          </w:tcPr>
          <w:p w14:paraId="651C4F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w:t>
            </w:r>
          </w:p>
        </w:tc>
        <w:tc>
          <w:tcPr>
            <w:tcW w:w="910" w:type="pct"/>
            <w:vAlign w:val="center"/>
          </w:tcPr>
          <w:p w14:paraId="0A1CCB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w:t>
            </w:r>
          </w:p>
        </w:tc>
        <w:tc>
          <w:tcPr>
            <w:tcW w:w="644" w:type="pct"/>
            <w:vAlign w:val="center"/>
          </w:tcPr>
          <w:p w14:paraId="0DB789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w:t>
            </w:r>
          </w:p>
        </w:tc>
        <w:tc>
          <w:tcPr>
            <w:tcW w:w="1061" w:type="pct"/>
            <w:vAlign w:val="center"/>
          </w:tcPr>
          <w:p w14:paraId="5523B0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w:t>
            </w:r>
          </w:p>
        </w:tc>
      </w:tr>
      <w:tr w14:paraId="7847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1474" w:type="pct"/>
            <w:gridSpan w:val="2"/>
            <w:vAlign w:val="center"/>
          </w:tcPr>
          <w:p w14:paraId="6E46A1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合计</w:t>
            </w:r>
          </w:p>
        </w:tc>
        <w:tc>
          <w:tcPr>
            <w:tcW w:w="910" w:type="pct"/>
            <w:vAlign w:val="center"/>
          </w:tcPr>
          <w:p w14:paraId="269BFE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3375.76</w:t>
            </w:r>
          </w:p>
        </w:tc>
        <w:tc>
          <w:tcPr>
            <w:tcW w:w="910" w:type="pct"/>
            <w:vAlign w:val="center"/>
          </w:tcPr>
          <w:p w14:paraId="4977C6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3350.24</w:t>
            </w:r>
          </w:p>
        </w:tc>
        <w:tc>
          <w:tcPr>
            <w:tcW w:w="644" w:type="pct"/>
            <w:vAlign w:val="center"/>
          </w:tcPr>
          <w:p w14:paraId="1315B0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3350.24</w:t>
            </w:r>
          </w:p>
        </w:tc>
        <w:tc>
          <w:tcPr>
            <w:tcW w:w="1061" w:type="pct"/>
            <w:vAlign w:val="center"/>
          </w:tcPr>
          <w:p w14:paraId="420FEE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100%</w:t>
            </w:r>
          </w:p>
        </w:tc>
      </w:tr>
    </w:tbl>
    <w:p w14:paraId="6E1F0CAE">
      <w:pPr>
        <w:pStyle w:val="13"/>
        <w:spacing w:after="0" w:line="560" w:lineRule="exact"/>
        <w:ind w:firstLine="643" w:firstLineChars="200"/>
        <w:contextualSpacing/>
        <w:rPr>
          <w:rFonts w:eastAsia="楷体"/>
          <w:b/>
          <w:bCs/>
          <w:sz w:val="32"/>
          <w:szCs w:val="32"/>
        </w:rPr>
      </w:pPr>
      <w:r>
        <w:rPr>
          <w:rFonts w:eastAsia="楷体"/>
          <w:b/>
          <w:bCs/>
          <w:sz w:val="32"/>
          <w:szCs w:val="32"/>
        </w:rPr>
        <w:t>（</w:t>
      </w:r>
      <w:r>
        <w:rPr>
          <w:rFonts w:hint="eastAsia" w:eastAsia="楷体"/>
          <w:b/>
          <w:bCs/>
          <w:sz w:val="32"/>
          <w:szCs w:val="32"/>
          <w:lang w:val="en-US" w:eastAsia="zh-CN"/>
        </w:rPr>
        <w:t>三</w:t>
      </w:r>
      <w:r>
        <w:rPr>
          <w:rFonts w:eastAsia="楷体"/>
          <w:b/>
          <w:bCs/>
          <w:sz w:val="32"/>
          <w:szCs w:val="32"/>
        </w:rPr>
        <w:t>）</w:t>
      </w:r>
      <w:r>
        <w:rPr>
          <w:rFonts w:hint="eastAsia" w:eastAsia="楷体"/>
          <w:b/>
          <w:bCs/>
          <w:sz w:val="32"/>
          <w:szCs w:val="32"/>
        </w:rPr>
        <w:t>部门整体绩效目标</w:t>
      </w:r>
    </w:p>
    <w:p w14:paraId="38365258">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ascii="Times New Roman" w:hAnsi="Times New Roman" w:eastAsia="仿宋_GB2312" w:cs="Times New Roman"/>
          <w:b/>
          <w:kern w:val="0"/>
          <w:sz w:val="32"/>
          <w:szCs w:val="32"/>
          <w:lang w:bidi="ar"/>
        </w:rPr>
      </w:pPr>
      <w:r>
        <w:rPr>
          <w:rFonts w:hint="eastAsia" w:ascii="Times New Roman" w:hAnsi="Times New Roman" w:eastAsia="仿宋_GB2312" w:cs="Times New Roman"/>
          <w:b/>
          <w:kern w:val="0"/>
          <w:sz w:val="32"/>
          <w:szCs w:val="32"/>
          <w:lang w:bidi="ar"/>
        </w:rPr>
        <w:t>1</w:t>
      </w:r>
      <w:r>
        <w:rPr>
          <w:rFonts w:ascii="Times New Roman" w:hAnsi="Times New Roman" w:eastAsia="仿宋_GB2312" w:cs="Times New Roman"/>
          <w:b/>
          <w:kern w:val="0"/>
          <w:sz w:val="32"/>
          <w:szCs w:val="32"/>
          <w:lang w:bidi="ar"/>
        </w:rPr>
        <w:t>.</w:t>
      </w:r>
      <w:r>
        <w:rPr>
          <w:rFonts w:hint="eastAsia" w:ascii="Times New Roman" w:hAnsi="Times New Roman" w:eastAsia="仿宋_GB2312" w:cs="Times New Roman"/>
          <w:b/>
          <w:kern w:val="0"/>
          <w:sz w:val="32"/>
          <w:szCs w:val="32"/>
          <w:lang w:bidi="ar"/>
        </w:rPr>
        <w:t>总体目标</w:t>
      </w:r>
    </w:p>
    <w:p w14:paraId="3833AB65">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目标</w:t>
      </w:r>
      <w:r>
        <w:rPr>
          <w:rFonts w:hint="eastAsia" w:eastAsia="仿宋_GB2312" w:cs="Times New Roman"/>
          <w:bCs/>
          <w:kern w:val="0"/>
          <w:sz w:val="32"/>
          <w:szCs w:val="32"/>
          <w:lang w:val="en-US" w:eastAsia="zh-CN" w:bidi="ar"/>
        </w:rPr>
        <w:t>1</w:t>
      </w:r>
      <w:r>
        <w:rPr>
          <w:rFonts w:hint="eastAsia" w:ascii="Times New Roman" w:hAnsi="Times New Roman" w:eastAsia="仿宋_GB2312" w:cs="Times New Roman"/>
          <w:bCs/>
          <w:kern w:val="0"/>
          <w:sz w:val="32"/>
          <w:szCs w:val="32"/>
          <w:lang w:bidi="ar"/>
        </w:rPr>
        <w:t>.计划抽检不少于1016批次，抽检信息公布率达100%，加强四大安全监管，守护安全生产底线，开展食品安全监督抽检，药械化抽样任务完成率达到100%，年底前实现全市七大类8200余台特种设备定检率不</w:t>
      </w:r>
      <w:r>
        <w:rPr>
          <w:rFonts w:hint="eastAsia" w:eastAsia="仿宋_GB2312" w:cs="Times New Roman"/>
          <w:bCs/>
          <w:kern w:val="0"/>
          <w:sz w:val="32"/>
          <w:szCs w:val="32"/>
          <w:lang w:val="en-US" w:eastAsia="zh-CN" w:bidi="ar"/>
        </w:rPr>
        <w:t>低</w:t>
      </w:r>
      <w:r>
        <w:rPr>
          <w:rFonts w:hint="eastAsia" w:ascii="Times New Roman" w:hAnsi="Times New Roman" w:eastAsia="仿宋_GB2312" w:cs="Times New Roman"/>
          <w:bCs/>
          <w:kern w:val="0"/>
          <w:sz w:val="32"/>
          <w:szCs w:val="32"/>
          <w:lang w:bidi="ar"/>
        </w:rPr>
        <w:t>于95%，特种设备注册登记率不</w:t>
      </w:r>
      <w:r>
        <w:rPr>
          <w:rFonts w:hint="eastAsia" w:eastAsia="仿宋_GB2312" w:cs="Times New Roman"/>
          <w:bCs/>
          <w:kern w:val="0"/>
          <w:sz w:val="32"/>
          <w:szCs w:val="32"/>
          <w:lang w:val="en-US" w:eastAsia="zh-CN" w:bidi="ar"/>
        </w:rPr>
        <w:t>低</w:t>
      </w:r>
      <w:r>
        <w:rPr>
          <w:rFonts w:hint="eastAsia" w:ascii="Times New Roman" w:hAnsi="Times New Roman" w:eastAsia="仿宋_GB2312" w:cs="Times New Roman"/>
          <w:bCs/>
          <w:kern w:val="0"/>
          <w:sz w:val="32"/>
          <w:szCs w:val="32"/>
          <w:lang w:bidi="ar"/>
        </w:rPr>
        <w:t>于99%，全年不发生重特大特种设备安全事故。</w:t>
      </w:r>
    </w:p>
    <w:p w14:paraId="314313E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目标</w:t>
      </w:r>
      <w:r>
        <w:rPr>
          <w:rFonts w:hint="eastAsia" w:eastAsia="仿宋_GB2312" w:cs="Times New Roman"/>
          <w:bCs/>
          <w:kern w:val="0"/>
          <w:sz w:val="32"/>
          <w:szCs w:val="32"/>
          <w:lang w:val="en-US" w:eastAsia="zh-CN" w:bidi="ar"/>
        </w:rPr>
        <w:t>2</w:t>
      </w:r>
      <w:r>
        <w:rPr>
          <w:rFonts w:hint="eastAsia" w:ascii="Times New Roman" w:hAnsi="Times New Roman" w:eastAsia="仿宋_GB2312" w:cs="Times New Roman"/>
          <w:bCs/>
          <w:kern w:val="0"/>
          <w:sz w:val="32"/>
          <w:szCs w:val="32"/>
          <w:lang w:bidi="ar"/>
        </w:rPr>
        <w:t>.加强服务引导，推进质量提升，做好知识产权促进与保护工作，完成知识产权强区三年行动方案各类指标性工作，年底前商标有效注册量不少于19389件。</w:t>
      </w:r>
    </w:p>
    <w:p w14:paraId="755ECF4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目标</w:t>
      </w:r>
      <w:r>
        <w:rPr>
          <w:rFonts w:hint="eastAsia" w:eastAsia="仿宋_GB2312" w:cs="Times New Roman"/>
          <w:bCs/>
          <w:kern w:val="0"/>
          <w:sz w:val="32"/>
          <w:szCs w:val="32"/>
          <w:lang w:val="en-US" w:eastAsia="zh-CN" w:bidi="ar"/>
        </w:rPr>
        <w:t>3</w:t>
      </w:r>
      <w:r>
        <w:rPr>
          <w:rFonts w:hint="eastAsia" w:ascii="Times New Roman" w:hAnsi="Times New Roman" w:eastAsia="仿宋_GB2312" w:cs="Times New Roman"/>
          <w:bCs/>
          <w:kern w:val="0"/>
          <w:sz w:val="32"/>
          <w:szCs w:val="32"/>
          <w:lang w:bidi="ar"/>
        </w:rPr>
        <w:t>.2025年加强消费者权益保护举措，构建和谐消费环境，做好12315投诉举报平台受理化解和12345转办处理工作，确保办结率达到100%。维护市场秩序，优化市场环境，推动市场价格监管工作，开展涉企收费专项检查，加强民生领域广告监管。</w:t>
      </w:r>
    </w:p>
    <w:p w14:paraId="514261C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目标</w:t>
      </w:r>
      <w:r>
        <w:rPr>
          <w:rFonts w:hint="eastAsia" w:eastAsia="仿宋_GB2312" w:cs="Times New Roman"/>
          <w:bCs/>
          <w:kern w:val="0"/>
          <w:sz w:val="32"/>
          <w:szCs w:val="32"/>
          <w:lang w:val="en-US" w:eastAsia="zh-CN" w:bidi="ar"/>
        </w:rPr>
        <w:t>4</w:t>
      </w:r>
      <w:r>
        <w:rPr>
          <w:rFonts w:hint="eastAsia" w:ascii="Times New Roman" w:hAnsi="Times New Roman" w:eastAsia="仿宋_GB2312" w:cs="Times New Roman"/>
          <w:bCs/>
          <w:kern w:val="0"/>
          <w:sz w:val="32"/>
          <w:szCs w:val="32"/>
          <w:lang w:bidi="ar"/>
        </w:rPr>
        <w:t>.计划开展</w:t>
      </w:r>
      <w:r>
        <w:rPr>
          <w:rFonts w:hint="eastAsia" w:eastAsia="仿宋_GB2312" w:cs="Times New Roman"/>
          <w:bCs/>
          <w:kern w:val="0"/>
          <w:sz w:val="32"/>
          <w:szCs w:val="32"/>
          <w:lang w:eastAsia="zh-CN" w:bidi="ar"/>
        </w:rPr>
        <w:t>“3·15”消费者权益日、“4·15”全民国家安全教育日、“</w:t>
      </w:r>
      <w:r>
        <w:rPr>
          <w:rFonts w:hint="eastAsia" w:ascii="Times New Roman" w:hAnsi="Times New Roman" w:eastAsia="仿宋_GB2312" w:cs="Times New Roman"/>
          <w:bCs/>
          <w:kern w:val="0"/>
          <w:sz w:val="32"/>
          <w:szCs w:val="32"/>
          <w:lang w:bidi="ar"/>
        </w:rPr>
        <w:t>4</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26</w:t>
      </w:r>
      <w:r>
        <w:rPr>
          <w:rFonts w:hint="default" w:eastAsia="仿宋_GB2312" w:cs="Times New Roman"/>
          <w:bCs/>
          <w:kern w:val="0"/>
          <w:sz w:val="32"/>
          <w:szCs w:val="32"/>
          <w:lang w:val="en-US" w:eastAsia="zh-CN" w:bidi="ar"/>
        </w:rPr>
        <w:t>”</w:t>
      </w:r>
      <w:r>
        <w:rPr>
          <w:rFonts w:hint="eastAsia" w:ascii="Times New Roman" w:hAnsi="Times New Roman" w:eastAsia="仿宋_GB2312" w:cs="Times New Roman"/>
          <w:bCs/>
          <w:kern w:val="0"/>
          <w:sz w:val="32"/>
          <w:szCs w:val="32"/>
          <w:lang w:bidi="ar"/>
        </w:rPr>
        <w:t>世界知识产权日、</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5</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20</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世界计量日、</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5</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25</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爱肤日、</w:t>
      </w:r>
      <w:r>
        <w:rPr>
          <w:rFonts w:hint="eastAsia" w:eastAsia="仿宋_GB2312" w:cs="Times New Roman"/>
          <w:bCs/>
          <w:kern w:val="0"/>
          <w:sz w:val="32"/>
          <w:szCs w:val="32"/>
          <w:lang w:eastAsia="zh-CN" w:bidi="ar"/>
        </w:rPr>
        <w:t>“12·4”国家宪法日</w:t>
      </w:r>
      <w:r>
        <w:rPr>
          <w:rFonts w:hint="eastAsia" w:ascii="Times New Roman" w:hAnsi="Times New Roman" w:eastAsia="仿宋_GB2312" w:cs="Times New Roman"/>
          <w:bCs/>
          <w:kern w:val="0"/>
          <w:sz w:val="32"/>
          <w:szCs w:val="32"/>
          <w:lang w:bidi="ar"/>
        </w:rPr>
        <w:t>、世界标准日、世界认可日、食品安全周、质量月、诚信宣传月、反有组织犯罪法宣传等重要节点的12项主题宣传活动，强化法治建设，优化法治化营商环境，落实“谁执法谁普法”责任制。</w:t>
      </w:r>
    </w:p>
    <w:p w14:paraId="7AAF10A5">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ascii="Times New Roman" w:hAnsi="Times New Roman" w:eastAsia="仿宋_GB2312" w:cs="Times New Roman"/>
          <w:b/>
          <w:kern w:val="0"/>
          <w:sz w:val="32"/>
          <w:szCs w:val="32"/>
          <w:lang w:bidi="ar"/>
        </w:rPr>
      </w:pPr>
      <w:r>
        <w:rPr>
          <w:rFonts w:hint="eastAsia" w:ascii="Times New Roman" w:hAnsi="Times New Roman" w:eastAsia="仿宋_GB2312" w:cs="Times New Roman"/>
          <w:b/>
          <w:kern w:val="0"/>
          <w:sz w:val="32"/>
          <w:szCs w:val="32"/>
          <w:lang w:bidi="ar"/>
        </w:rPr>
        <w:t>2</w:t>
      </w:r>
      <w:r>
        <w:rPr>
          <w:rFonts w:ascii="Times New Roman" w:hAnsi="Times New Roman" w:eastAsia="仿宋_GB2312" w:cs="Times New Roman"/>
          <w:b/>
          <w:kern w:val="0"/>
          <w:sz w:val="32"/>
          <w:szCs w:val="32"/>
          <w:lang w:bidi="ar"/>
        </w:rPr>
        <w:t>.</w:t>
      </w:r>
      <w:r>
        <w:rPr>
          <w:rFonts w:hint="eastAsia" w:ascii="Times New Roman" w:hAnsi="Times New Roman" w:eastAsia="仿宋_GB2312" w:cs="Times New Roman"/>
          <w:b/>
          <w:kern w:val="0"/>
          <w:sz w:val="32"/>
          <w:szCs w:val="32"/>
          <w:lang w:bidi="ar"/>
        </w:rPr>
        <w:t>年度整体绩效目标</w:t>
      </w:r>
    </w:p>
    <w:p w14:paraId="291E90F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喀什市市场监督管理局2025年度整体绩效目标见下表：</w:t>
      </w:r>
    </w:p>
    <w:p w14:paraId="14AC137F">
      <w:pPr>
        <w:pStyle w:val="13"/>
        <w:spacing w:after="0" w:line="560" w:lineRule="exact"/>
        <w:ind w:firstLine="482" w:firstLineChars="200"/>
        <w:contextualSpacing/>
        <w:jc w:val="center"/>
        <w:rPr>
          <w:rFonts w:eastAsia="仿宋_GB2312"/>
          <w:b/>
          <w:bCs/>
          <w:sz w:val="24"/>
          <w:szCs w:val="24"/>
        </w:rPr>
      </w:pPr>
      <w:r>
        <w:rPr>
          <w:rFonts w:hint="eastAsia" w:eastAsia="仿宋_GB2312"/>
          <w:b/>
          <w:bCs/>
          <w:sz w:val="24"/>
          <w:szCs w:val="24"/>
        </w:rPr>
        <w:t>表1-</w:t>
      </w:r>
      <w:r>
        <w:rPr>
          <w:rFonts w:hint="eastAsia" w:eastAsia="仿宋_GB2312"/>
          <w:b/>
          <w:bCs/>
          <w:sz w:val="24"/>
          <w:szCs w:val="24"/>
          <w:lang w:val="en-US" w:eastAsia="zh-CN"/>
        </w:rPr>
        <w:t>3</w:t>
      </w:r>
      <w:r>
        <w:rPr>
          <w:rFonts w:hint="eastAsia" w:eastAsia="仿宋_GB2312"/>
          <w:b/>
          <w:bCs/>
          <w:sz w:val="24"/>
          <w:szCs w:val="24"/>
        </w:rPr>
        <w:t xml:space="preserve"> 喀什市市场监督管理局</w:t>
      </w:r>
      <w:r>
        <w:rPr>
          <w:rFonts w:eastAsia="仿宋_GB2312"/>
          <w:b/>
          <w:bCs/>
          <w:sz w:val="24"/>
          <w:szCs w:val="24"/>
        </w:rPr>
        <w:t>202</w:t>
      </w:r>
      <w:r>
        <w:rPr>
          <w:rFonts w:hint="eastAsia" w:eastAsia="仿宋_GB2312"/>
          <w:b/>
          <w:bCs/>
          <w:sz w:val="24"/>
          <w:szCs w:val="24"/>
        </w:rPr>
        <w:t>5</w:t>
      </w:r>
      <w:r>
        <w:rPr>
          <w:rFonts w:eastAsia="仿宋_GB2312"/>
          <w:b/>
          <w:bCs/>
          <w:sz w:val="24"/>
          <w:szCs w:val="24"/>
        </w:rPr>
        <w:t>年度部门（单位绩效）整体支出指标一览表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7"/>
        <w:gridCol w:w="1459"/>
        <w:gridCol w:w="4391"/>
        <w:gridCol w:w="1753"/>
      </w:tblGrid>
      <w:tr w14:paraId="12726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blHeader/>
        </w:trPr>
        <w:tc>
          <w:tcPr>
            <w:tcW w:w="804" w:type="pct"/>
            <w:shd w:val="clear" w:color="auto" w:fill="D7D7D7"/>
            <w:noWrap/>
            <w:vAlign w:val="center"/>
          </w:tcPr>
          <w:p w14:paraId="2874B8B8">
            <w:pPr>
              <w:keepNext w:val="0"/>
              <w:keepLines w:val="0"/>
              <w:widowControl/>
              <w:suppressLineNumbers w:val="0"/>
              <w:spacing w:before="0" w:beforeAutospacing="0" w:after="0" w:afterAutospacing="0"/>
              <w:ind w:left="0" w:right="0"/>
              <w:jc w:val="center"/>
              <w:rPr>
                <w:rFonts w:hint="default" w:eastAsia="仿宋_GB2312"/>
                <w:bCs/>
                <w:kern w:val="0"/>
                <w:sz w:val="22"/>
              </w:rPr>
            </w:pPr>
            <w:bookmarkStart w:id="12" w:name="OLE_LINK1"/>
            <w:r>
              <w:rPr>
                <w:rFonts w:hint="default" w:eastAsia="仿宋_GB2312"/>
                <w:bCs/>
                <w:kern w:val="0"/>
                <w:sz w:val="22"/>
              </w:rPr>
              <w:t>一级指标</w:t>
            </w:r>
          </w:p>
        </w:tc>
        <w:tc>
          <w:tcPr>
            <w:tcW w:w="805" w:type="pct"/>
            <w:shd w:val="clear" w:color="auto" w:fill="D7D7D7"/>
            <w:noWrap/>
            <w:vAlign w:val="center"/>
          </w:tcPr>
          <w:p w14:paraId="20DF2C8F">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default" w:eastAsia="仿宋_GB2312"/>
                <w:bCs/>
                <w:kern w:val="0"/>
                <w:sz w:val="22"/>
              </w:rPr>
              <w:t>二级指标</w:t>
            </w:r>
          </w:p>
        </w:tc>
        <w:tc>
          <w:tcPr>
            <w:tcW w:w="2422" w:type="pct"/>
            <w:shd w:val="clear" w:color="auto" w:fill="D7D7D7"/>
            <w:noWrap/>
            <w:vAlign w:val="center"/>
          </w:tcPr>
          <w:p w14:paraId="2CBD28E4">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default" w:eastAsia="仿宋_GB2312"/>
                <w:bCs/>
                <w:kern w:val="0"/>
                <w:sz w:val="22"/>
              </w:rPr>
              <w:t>三级指标</w:t>
            </w:r>
          </w:p>
        </w:tc>
        <w:tc>
          <w:tcPr>
            <w:tcW w:w="967" w:type="pct"/>
            <w:shd w:val="clear" w:color="auto" w:fill="D7D7D7"/>
            <w:noWrap/>
            <w:vAlign w:val="center"/>
          </w:tcPr>
          <w:p w14:paraId="6FD67C7B">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default" w:eastAsia="仿宋_GB2312"/>
                <w:bCs/>
                <w:kern w:val="0"/>
                <w:sz w:val="22"/>
              </w:rPr>
              <w:t>预期指标值</w:t>
            </w:r>
          </w:p>
        </w:tc>
      </w:tr>
      <w:tr w14:paraId="4EE6F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2" w:hRule="atLeast"/>
        </w:trPr>
        <w:tc>
          <w:tcPr>
            <w:tcW w:w="804" w:type="pct"/>
            <w:vMerge w:val="restart"/>
            <w:vAlign w:val="center"/>
          </w:tcPr>
          <w:p w14:paraId="4A4EE5E7">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default" w:eastAsia="仿宋_GB2312"/>
                <w:bCs/>
                <w:kern w:val="0"/>
                <w:sz w:val="22"/>
              </w:rPr>
              <w:t>履职</w:t>
            </w:r>
          </w:p>
          <w:p w14:paraId="4FD6A6E2">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default" w:eastAsia="仿宋_GB2312"/>
                <w:bCs/>
                <w:kern w:val="0"/>
                <w:sz w:val="22"/>
              </w:rPr>
              <w:t>效能</w:t>
            </w:r>
          </w:p>
        </w:tc>
        <w:tc>
          <w:tcPr>
            <w:tcW w:w="805" w:type="pct"/>
            <w:vMerge w:val="restart"/>
            <w:vAlign w:val="center"/>
          </w:tcPr>
          <w:p w14:paraId="78CD0F61">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default" w:eastAsia="仿宋_GB2312"/>
                <w:bCs/>
                <w:kern w:val="0"/>
                <w:sz w:val="22"/>
              </w:rPr>
              <w:t>数量</w:t>
            </w:r>
          </w:p>
          <w:p w14:paraId="6DD3EFED">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default" w:eastAsia="仿宋_GB2312"/>
                <w:bCs/>
                <w:kern w:val="0"/>
                <w:sz w:val="22"/>
              </w:rPr>
              <w:t>指标</w:t>
            </w:r>
          </w:p>
        </w:tc>
        <w:tc>
          <w:tcPr>
            <w:tcW w:w="2422" w:type="pct"/>
            <w:vAlign w:val="center"/>
          </w:tcPr>
          <w:p w14:paraId="76A84251">
            <w:pPr>
              <w:keepNext w:val="0"/>
              <w:keepLines w:val="0"/>
              <w:widowControl/>
              <w:suppressLineNumbers w:val="0"/>
              <w:spacing w:before="0" w:beforeAutospacing="0" w:after="0" w:afterAutospacing="0"/>
              <w:ind w:left="0" w:right="0"/>
              <w:jc w:val="left"/>
              <w:rPr>
                <w:rFonts w:hint="default" w:eastAsia="仿宋_GB2312"/>
                <w:bCs/>
                <w:kern w:val="0"/>
                <w:sz w:val="22"/>
              </w:rPr>
            </w:pPr>
            <w:r>
              <w:rPr>
                <w:rFonts w:hint="eastAsia" w:eastAsia="仿宋_GB2312"/>
                <w:bCs/>
                <w:kern w:val="0"/>
                <w:sz w:val="22"/>
              </w:rPr>
              <w:t>完成年度食品安全监督抽检批次</w:t>
            </w:r>
          </w:p>
        </w:tc>
        <w:tc>
          <w:tcPr>
            <w:tcW w:w="967" w:type="pct"/>
            <w:vAlign w:val="center"/>
          </w:tcPr>
          <w:p w14:paraId="30051AEF">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eastAsia" w:eastAsia="仿宋_GB2312"/>
                <w:bCs/>
                <w:kern w:val="0"/>
                <w:sz w:val="22"/>
              </w:rPr>
              <w:t>≥1016批次</w:t>
            </w:r>
          </w:p>
        </w:tc>
      </w:tr>
      <w:tr w14:paraId="2E85F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4" w:type="pct"/>
            <w:vMerge w:val="continue"/>
            <w:vAlign w:val="center"/>
          </w:tcPr>
          <w:p w14:paraId="0EF3A918">
            <w:pPr>
              <w:keepNext w:val="0"/>
              <w:keepLines w:val="0"/>
              <w:widowControl/>
              <w:suppressLineNumbers w:val="0"/>
              <w:spacing w:before="0" w:beforeAutospacing="0" w:after="0" w:afterAutospacing="0"/>
              <w:ind w:left="0" w:right="0"/>
              <w:jc w:val="center"/>
              <w:rPr>
                <w:rFonts w:hint="default" w:eastAsia="仿宋_GB2312"/>
                <w:bCs/>
                <w:kern w:val="0"/>
                <w:sz w:val="22"/>
              </w:rPr>
            </w:pPr>
          </w:p>
        </w:tc>
        <w:tc>
          <w:tcPr>
            <w:tcW w:w="805" w:type="pct"/>
            <w:vMerge w:val="continue"/>
            <w:vAlign w:val="center"/>
          </w:tcPr>
          <w:p w14:paraId="34AABA56">
            <w:pPr>
              <w:keepNext w:val="0"/>
              <w:keepLines w:val="0"/>
              <w:widowControl/>
              <w:suppressLineNumbers w:val="0"/>
              <w:spacing w:before="0" w:beforeAutospacing="0" w:after="0" w:afterAutospacing="0"/>
              <w:ind w:left="0" w:right="0"/>
              <w:jc w:val="center"/>
              <w:rPr>
                <w:rFonts w:hint="default" w:eastAsia="仿宋_GB2312"/>
                <w:bCs/>
                <w:kern w:val="0"/>
                <w:sz w:val="22"/>
              </w:rPr>
            </w:pPr>
          </w:p>
        </w:tc>
        <w:tc>
          <w:tcPr>
            <w:tcW w:w="2422" w:type="pct"/>
            <w:vAlign w:val="center"/>
          </w:tcPr>
          <w:p w14:paraId="14BB4D10">
            <w:pPr>
              <w:keepNext w:val="0"/>
              <w:keepLines w:val="0"/>
              <w:widowControl/>
              <w:suppressLineNumbers w:val="0"/>
              <w:spacing w:before="0" w:beforeAutospacing="0" w:after="0" w:afterAutospacing="0"/>
              <w:ind w:left="0" w:right="0"/>
              <w:jc w:val="left"/>
              <w:rPr>
                <w:rFonts w:hint="default" w:eastAsia="仿宋_GB2312"/>
                <w:bCs/>
                <w:kern w:val="0"/>
                <w:sz w:val="22"/>
              </w:rPr>
            </w:pPr>
            <w:r>
              <w:rPr>
                <w:rFonts w:hint="eastAsia" w:eastAsia="仿宋_GB2312"/>
                <w:bCs/>
                <w:kern w:val="0"/>
                <w:sz w:val="22"/>
              </w:rPr>
              <w:t>知识产权商标注册数量</w:t>
            </w:r>
          </w:p>
        </w:tc>
        <w:tc>
          <w:tcPr>
            <w:tcW w:w="967" w:type="pct"/>
            <w:vAlign w:val="center"/>
          </w:tcPr>
          <w:p w14:paraId="70880DCA">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eastAsia" w:eastAsia="仿宋_GB2312"/>
                <w:bCs/>
                <w:kern w:val="0"/>
                <w:sz w:val="22"/>
              </w:rPr>
              <w:t>≥</w:t>
            </w:r>
            <w:r>
              <w:rPr>
                <w:rFonts w:hint="default" w:eastAsia="仿宋_GB2312"/>
                <w:bCs/>
                <w:kern w:val="0"/>
                <w:sz w:val="22"/>
              </w:rPr>
              <w:t>1</w:t>
            </w:r>
            <w:r>
              <w:rPr>
                <w:rFonts w:hint="eastAsia" w:eastAsia="仿宋_GB2312"/>
                <w:bCs/>
                <w:kern w:val="0"/>
                <w:sz w:val="22"/>
              </w:rPr>
              <w:t>9389</w:t>
            </w:r>
            <w:r>
              <w:rPr>
                <w:rFonts w:hint="default" w:eastAsia="仿宋_GB2312"/>
                <w:bCs/>
                <w:kern w:val="0"/>
                <w:sz w:val="22"/>
              </w:rPr>
              <w:t>个</w:t>
            </w:r>
          </w:p>
        </w:tc>
      </w:tr>
      <w:tr w14:paraId="0ADE8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4" w:type="pct"/>
            <w:vMerge w:val="continue"/>
            <w:vAlign w:val="center"/>
          </w:tcPr>
          <w:p w14:paraId="64E0B9AF">
            <w:pPr>
              <w:keepNext w:val="0"/>
              <w:keepLines w:val="0"/>
              <w:widowControl/>
              <w:suppressLineNumbers w:val="0"/>
              <w:spacing w:before="0" w:beforeAutospacing="0" w:after="0" w:afterAutospacing="0"/>
              <w:ind w:left="0" w:right="0"/>
              <w:jc w:val="center"/>
              <w:rPr>
                <w:rFonts w:hint="default" w:eastAsia="仿宋_GB2312"/>
                <w:bCs/>
                <w:kern w:val="0"/>
                <w:sz w:val="22"/>
              </w:rPr>
            </w:pPr>
          </w:p>
        </w:tc>
        <w:tc>
          <w:tcPr>
            <w:tcW w:w="805" w:type="pct"/>
            <w:vMerge w:val="restart"/>
            <w:vAlign w:val="center"/>
          </w:tcPr>
          <w:p w14:paraId="1C405AA0">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default" w:eastAsia="仿宋_GB2312"/>
                <w:bCs/>
                <w:kern w:val="0"/>
                <w:sz w:val="22"/>
              </w:rPr>
              <w:t>质量</w:t>
            </w:r>
          </w:p>
          <w:p w14:paraId="6BE15CC0">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default" w:eastAsia="仿宋_GB2312"/>
                <w:bCs/>
                <w:kern w:val="0"/>
                <w:sz w:val="22"/>
              </w:rPr>
              <w:t>指标</w:t>
            </w:r>
          </w:p>
        </w:tc>
        <w:tc>
          <w:tcPr>
            <w:tcW w:w="2422" w:type="pct"/>
            <w:vAlign w:val="center"/>
          </w:tcPr>
          <w:p w14:paraId="3FB02D88">
            <w:pPr>
              <w:keepNext w:val="0"/>
              <w:keepLines w:val="0"/>
              <w:widowControl/>
              <w:suppressLineNumbers w:val="0"/>
              <w:spacing w:before="0" w:beforeAutospacing="0" w:after="0" w:afterAutospacing="0"/>
              <w:ind w:left="0" w:right="0"/>
              <w:jc w:val="left"/>
              <w:rPr>
                <w:rFonts w:hint="default" w:eastAsia="仿宋_GB2312"/>
                <w:bCs/>
                <w:kern w:val="0"/>
                <w:sz w:val="22"/>
              </w:rPr>
            </w:pPr>
            <w:r>
              <w:rPr>
                <w:rFonts w:hint="eastAsia" w:eastAsia="仿宋_GB2312"/>
                <w:bCs/>
                <w:kern w:val="0"/>
                <w:sz w:val="22"/>
              </w:rPr>
              <w:t>特种设备定期检验率</w:t>
            </w:r>
          </w:p>
        </w:tc>
        <w:tc>
          <w:tcPr>
            <w:tcW w:w="967" w:type="pct"/>
            <w:vAlign w:val="center"/>
          </w:tcPr>
          <w:p w14:paraId="64CF96F1">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eastAsia" w:eastAsia="仿宋_GB2312"/>
                <w:bCs/>
                <w:kern w:val="0"/>
                <w:sz w:val="22"/>
              </w:rPr>
              <w:t>≥95%</w:t>
            </w:r>
          </w:p>
        </w:tc>
      </w:tr>
      <w:tr w14:paraId="3431B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4" w:type="pct"/>
            <w:vMerge w:val="continue"/>
            <w:vAlign w:val="center"/>
          </w:tcPr>
          <w:p w14:paraId="152A5968">
            <w:pPr>
              <w:keepNext w:val="0"/>
              <w:keepLines w:val="0"/>
              <w:widowControl/>
              <w:suppressLineNumbers w:val="0"/>
              <w:spacing w:before="0" w:beforeAutospacing="0" w:after="0" w:afterAutospacing="0"/>
              <w:ind w:left="0" w:right="0"/>
              <w:jc w:val="center"/>
              <w:rPr>
                <w:rFonts w:hint="default" w:eastAsia="仿宋_GB2312"/>
                <w:bCs/>
                <w:kern w:val="0"/>
                <w:sz w:val="22"/>
              </w:rPr>
            </w:pPr>
          </w:p>
        </w:tc>
        <w:tc>
          <w:tcPr>
            <w:tcW w:w="805" w:type="pct"/>
            <w:vMerge w:val="continue"/>
            <w:vAlign w:val="center"/>
          </w:tcPr>
          <w:p w14:paraId="14B4A022">
            <w:pPr>
              <w:keepNext w:val="0"/>
              <w:keepLines w:val="0"/>
              <w:widowControl/>
              <w:suppressLineNumbers w:val="0"/>
              <w:spacing w:before="0" w:beforeAutospacing="0" w:after="0" w:afterAutospacing="0"/>
              <w:ind w:left="0" w:right="0"/>
              <w:jc w:val="center"/>
              <w:rPr>
                <w:rFonts w:hint="default" w:eastAsia="仿宋_GB2312"/>
                <w:bCs/>
                <w:kern w:val="0"/>
                <w:sz w:val="22"/>
              </w:rPr>
            </w:pPr>
          </w:p>
        </w:tc>
        <w:tc>
          <w:tcPr>
            <w:tcW w:w="2422" w:type="pct"/>
            <w:vAlign w:val="center"/>
          </w:tcPr>
          <w:p w14:paraId="706FF86A">
            <w:pPr>
              <w:keepNext w:val="0"/>
              <w:keepLines w:val="0"/>
              <w:widowControl/>
              <w:suppressLineNumbers w:val="0"/>
              <w:spacing w:before="0" w:beforeAutospacing="0" w:after="0" w:afterAutospacing="0"/>
              <w:ind w:left="0" w:right="0"/>
              <w:jc w:val="left"/>
              <w:rPr>
                <w:rFonts w:hint="default" w:eastAsia="仿宋_GB2312"/>
                <w:bCs/>
                <w:kern w:val="0"/>
                <w:sz w:val="22"/>
              </w:rPr>
            </w:pPr>
            <w:r>
              <w:rPr>
                <w:rFonts w:hint="eastAsia" w:eastAsia="仿宋_GB2312"/>
                <w:bCs/>
                <w:kern w:val="0"/>
                <w:sz w:val="22"/>
              </w:rPr>
              <w:t>食品安全抽检应公布信息公布率</w:t>
            </w:r>
          </w:p>
        </w:tc>
        <w:tc>
          <w:tcPr>
            <w:tcW w:w="967" w:type="pct"/>
            <w:vAlign w:val="center"/>
          </w:tcPr>
          <w:p w14:paraId="1299DFF7">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eastAsia" w:eastAsia="仿宋_GB2312"/>
                <w:bCs/>
                <w:kern w:val="0"/>
                <w:sz w:val="22"/>
              </w:rPr>
              <w:t>=100%</w:t>
            </w:r>
          </w:p>
        </w:tc>
      </w:tr>
      <w:tr w14:paraId="3C44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4" w:type="pct"/>
            <w:vMerge w:val="continue"/>
            <w:vAlign w:val="center"/>
          </w:tcPr>
          <w:p w14:paraId="7270D88B">
            <w:pPr>
              <w:keepNext w:val="0"/>
              <w:keepLines w:val="0"/>
              <w:widowControl/>
              <w:suppressLineNumbers w:val="0"/>
              <w:spacing w:before="0" w:beforeAutospacing="0" w:after="0" w:afterAutospacing="0"/>
              <w:ind w:left="0" w:right="0"/>
              <w:jc w:val="center"/>
              <w:rPr>
                <w:rFonts w:hint="default" w:eastAsia="仿宋_GB2312"/>
                <w:bCs/>
                <w:kern w:val="0"/>
                <w:sz w:val="22"/>
              </w:rPr>
            </w:pPr>
          </w:p>
        </w:tc>
        <w:tc>
          <w:tcPr>
            <w:tcW w:w="805" w:type="pct"/>
            <w:vMerge w:val="continue"/>
            <w:vAlign w:val="center"/>
          </w:tcPr>
          <w:p w14:paraId="6E304C8C">
            <w:pPr>
              <w:keepNext w:val="0"/>
              <w:keepLines w:val="0"/>
              <w:widowControl/>
              <w:suppressLineNumbers w:val="0"/>
              <w:spacing w:before="0" w:beforeAutospacing="0" w:after="0" w:afterAutospacing="0"/>
              <w:ind w:left="0" w:right="0"/>
              <w:jc w:val="center"/>
              <w:rPr>
                <w:rFonts w:hint="default" w:eastAsia="仿宋_GB2312"/>
                <w:bCs/>
                <w:kern w:val="0"/>
                <w:sz w:val="22"/>
              </w:rPr>
            </w:pPr>
          </w:p>
        </w:tc>
        <w:tc>
          <w:tcPr>
            <w:tcW w:w="2422" w:type="pct"/>
            <w:vAlign w:val="center"/>
          </w:tcPr>
          <w:p w14:paraId="4DF58108">
            <w:pPr>
              <w:keepNext w:val="0"/>
              <w:keepLines w:val="0"/>
              <w:widowControl/>
              <w:suppressLineNumbers w:val="0"/>
              <w:spacing w:before="0" w:beforeAutospacing="0" w:after="0" w:afterAutospacing="0"/>
              <w:ind w:left="0" w:right="0"/>
              <w:jc w:val="left"/>
              <w:rPr>
                <w:rFonts w:hint="default" w:eastAsia="仿宋_GB2312"/>
                <w:bCs/>
                <w:kern w:val="0"/>
                <w:sz w:val="22"/>
              </w:rPr>
            </w:pPr>
            <w:r>
              <w:rPr>
                <w:rFonts w:hint="eastAsia" w:eastAsia="仿宋_GB2312"/>
                <w:bCs/>
                <w:kern w:val="0"/>
                <w:sz w:val="22"/>
              </w:rPr>
              <w:t>消费者投诉举报办结率</w:t>
            </w:r>
          </w:p>
        </w:tc>
        <w:tc>
          <w:tcPr>
            <w:tcW w:w="967" w:type="pct"/>
            <w:vAlign w:val="center"/>
          </w:tcPr>
          <w:p w14:paraId="5E63F894">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eastAsia" w:eastAsia="仿宋_GB2312"/>
                <w:bCs/>
                <w:kern w:val="0"/>
                <w:sz w:val="22"/>
              </w:rPr>
              <w:t>=100%</w:t>
            </w:r>
          </w:p>
        </w:tc>
      </w:tr>
      <w:tr w14:paraId="67C7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4" w:type="pct"/>
            <w:vMerge w:val="continue"/>
            <w:vAlign w:val="center"/>
          </w:tcPr>
          <w:p w14:paraId="20CFFD31">
            <w:pPr>
              <w:keepNext w:val="0"/>
              <w:keepLines w:val="0"/>
              <w:widowControl/>
              <w:suppressLineNumbers w:val="0"/>
              <w:spacing w:before="0" w:beforeAutospacing="0" w:after="0" w:afterAutospacing="0"/>
              <w:ind w:left="0" w:right="0"/>
              <w:jc w:val="center"/>
              <w:rPr>
                <w:rFonts w:hint="default" w:eastAsia="仿宋_GB2312"/>
                <w:bCs/>
                <w:kern w:val="0"/>
                <w:sz w:val="22"/>
              </w:rPr>
            </w:pPr>
          </w:p>
        </w:tc>
        <w:tc>
          <w:tcPr>
            <w:tcW w:w="805" w:type="pct"/>
            <w:vMerge w:val="continue"/>
            <w:vAlign w:val="center"/>
          </w:tcPr>
          <w:p w14:paraId="66310C7A">
            <w:pPr>
              <w:keepNext w:val="0"/>
              <w:keepLines w:val="0"/>
              <w:widowControl/>
              <w:suppressLineNumbers w:val="0"/>
              <w:spacing w:before="0" w:beforeAutospacing="0" w:after="0" w:afterAutospacing="0"/>
              <w:ind w:left="0" w:right="0"/>
              <w:jc w:val="center"/>
              <w:rPr>
                <w:rFonts w:hint="default" w:eastAsia="仿宋_GB2312"/>
                <w:bCs/>
                <w:kern w:val="0"/>
                <w:sz w:val="22"/>
              </w:rPr>
            </w:pPr>
          </w:p>
        </w:tc>
        <w:tc>
          <w:tcPr>
            <w:tcW w:w="2422" w:type="pct"/>
            <w:vAlign w:val="center"/>
          </w:tcPr>
          <w:p w14:paraId="02B88FB2">
            <w:pPr>
              <w:keepNext w:val="0"/>
              <w:keepLines w:val="0"/>
              <w:widowControl/>
              <w:suppressLineNumbers w:val="0"/>
              <w:spacing w:before="0" w:beforeAutospacing="0" w:after="0" w:afterAutospacing="0"/>
              <w:ind w:left="0" w:right="0"/>
              <w:jc w:val="left"/>
              <w:rPr>
                <w:rFonts w:hint="default" w:eastAsia="仿宋_GB2312"/>
                <w:bCs/>
                <w:kern w:val="0"/>
                <w:sz w:val="22"/>
              </w:rPr>
            </w:pPr>
            <w:r>
              <w:rPr>
                <w:rFonts w:hint="eastAsia" w:eastAsia="仿宋_GB2312"/>
                <w:bCs/>
                <w:kern w:val="0"/>
                <w:sz w:val="22"/>
              </w:rPr>
              <w:t>特种设备注册登记率</w:t>
            </w:r>
          </w:p>
        </w:tc>
        <w:tc>
          <w:tcPr>
            <w:tcW w:w="967" w:type="pct"/>
            <w:vAlign w:val="center"/>
          </w:tcPr>
          <w:p w14:paraId="7D6D5E4D">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eastAsia" w:eastAsia="仿宋_GB2312"/>
                <w:bCs/>
                <w:kern w:val="0"/>
                <w:sz w:val="22"/>
              </w:rPr>
              <w:t>≥99%</w:t>
            </w:r>
          </w:p>
        </w:tc>
      </w:tr>
      <w:tr w14:paraId="36B7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4" w:type="pct"/>
            <w:vMerge w:val="continue"/>
            <w:vAlign w:val="center"/>
          </w:tcPr>
          <w:p w14:paraId="71E420D9">
            <w:pPr>
              <w:keepNext w:val="0"/>
              <w:keepLines w:val="0"/>
              <w:widowControl/>
              <w:suppressLineNumbers w:val="0"/>
              <w:spacing w:before="0" w:beforeAutospacing="0" w:after="0" w:afterAutospacing="0"/>
              <w:ind w:left="0" w:right="0"/>
              <w:jc w:val="center"/>
              <w:rPr>
                <w:rFonts w:hint="default" w:eastAsia="仿宋_GB2312"/>
                <w:bCs/>
                <w:kern w:val="0"/>
                <w:sz w:val="22"/>
              </w:rPr>
            </w:pPr>
          </w:p>
        </w:tc>
        <w:tc>
          <w:tcPr>
            <w:tcW w:w="805" w:type="pct"/>
            <w:vMerge w:val="continue"/>
            <w:vAlign w:val="center"/>
          </w:tcPr>
          <w:p w14:paraId="57CD21D0">
            <w:pPr>
              <w:keepNext w:val="0"/>
              <w:keepLines w:val="0"/>
              <w:widowControl/>
              <w:suppressLineNumbers w:val="0"/>
              <w:spacing w:before="0" w:beforeAutospacing="0" w:after="0" w:afterAutospacing="0"/>
              <w:ind w:left="0" w:right="0"/>
              <w:jc w:val="center"/>
              <w:rPr>
                <w:rFonts w:hint="default" w:eastAsia="仿宋_GB2312"/>
                <w:bCs/>
                <w:kern w:val="0"/>
                <w:sz w:val="22"/>
              </w:rPr>
            </w:pPr>
          </w:p>
        </w:tc>
        <w:tc>
          <w:tcPr>
            <w:tcW w:w="2422" w:type="pct"/>
            <w:vAlign w:val="center"/>
          </w:tcPr>
          <w:p w14:paraId="73970180">
            <w:pPr>
              <w:keepNext w:val="0"/>
              <w:keepLines w:val="0"/>
              <w:widowControl/>
              <w:suppressLineNumbers w:val="0"/>
              <w:spacing w:before="0" w:beforeAutospacing="0" w:after="0" w:afterAutospacing="0"/>
              <w:ind w:left="0" w:right="0"/>
              <w:jc w:val="left"/>
              <w:rPr>
                <w:rFonts w:hint="default" w:eastAsia="仿宋_GB2312"/>
                <w:bCs/>
                <w:kern w:val="0"/>
                <w:sz w:val="22"/>
              </w:rPr>
            </w:pPr>
            <w:r>
              <w:rPr>
                <w:rFonts w:hint="eastAsia" w:eastAsia="仿宋_GB2312"/>
                <w:bCs/>
                <w:kern w:val="0"/>
                <w:sz w:val="22"/>
              </w:rPr>
              <w:t>联合开展315活动落实率</w:t>
            </w:r>
          </w:p>
        </w:tc>
        <w:tc>
          <w:tcPr>
            <w:tcW w:w="967" w:type="pct"/>
            <w:vAlign w:val="center"/>
          </w:tcPr>
          <w:p w14:paraId="03217CA5">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eastAsia" w:eastAsia="仿宋_GB2312"/>
                <w:bCs/>
                <w:kern w:val="0"/>
                <w:sz w:val="22"/>
              </w:rPr>
              <w:t>=100%</w:t>
            </w:r>
          </w:p>
        </w:tc>
      </w:tr>
      <w:tr w14:paraId="2228A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04" w:type="pct"/>
            <w:vMerge w:val="continue"/>
            <w:vAlign w:val="center"/>
          </w:tcPr>
          <w:p w14:paraId="3957BCEC">
            <w:pPr>
              <w:keepNext w:val="0"/>
              <w:keepLines w:val="0"/>
              <w:widowControl/>
              <w:suppressLineNumbers w:val="0"/>
              <w:spacing w:before="0" w:beforeAutospacing="0" w:after="0" w:afterAutospacing="0"/>
              <w:ind w:left="0" w:right="0"/>
              <w:jc w:val="center"/>
              <w:rPr>
                <w:rFonts w:hint="default" w:eastAsia="仿宋_GB2312"/>
                <w:bCs/>
                <w:kern w:val="0"/>
                <w:sz w:val="22"/>
              </w:rPr>
            </w:pPr>
          </w:p>
        </w:tc>
        <w:tc>
          <w:tcPr>
            <w:tcW w:w="805" w:type="pct"/>
            <w:vMerge w:val="continue"/>
            <w:vAlign w:val="center"/>
          </w:tcPr>
          <w:p w14:paraId="75F78824">
            <w:pPr>
              <w:keepNext w:val="0"/>
              <w:keepLines w:val="0"/>
              <w:widowControl/>
              <w:suppressLineNumbers w:val="0"/>
              <w:spacing w:before="0" w:beforeAutospacing="0" w:after="0" w:afterAutospacing="0"/>
              <w:ind w:left="0" w:right="0"/>
              <w:jc w:val="center"/>
              <w:rPr>
                <w:rFonts w:hint="default" w:eastAsia="仿宋_GB2312"/>
                <w:bCs/>
                <w:kern w:val="0"/>
                <w:sz w:val="22"/>
              </w:rPr>
            </w:pPr>
          </w:p>
        </w:tc>
        <w:tc>
          <w:tcPr>
            <w:tcW w:w="2422" w:type="pct"/>
            <w:vAlign w:val="center"/>
          </w:tcPr>
          <w:p w14:paraId="342EC830">
            <w:pPr>
              <w:keepNext w:val="0"/>
              <w:keepLines w:val="0"/>
              <w:widowControl/>
              <w:suppressLineNumbers w:val="0"/>
              <w:spacing w:before="0" w:beforeAutospacing="0" w:after="0" w:afterAutospacing="0"/>
              <w:ind w:left="0" w:right="0"/>
              <w:jc w:val="left"/>
              <w:rPr>
                <w:rFonts w:hint="default" w:eastAsia="仿宋_GB2312"/>
                <w:bCs/>
                <w:kern w:val="0"/>
                <w:sz w:val="22"/>
              </w:rPr>
            </w:pPr>
            <w:r>
              <w:rPr>
                <w:rFonts w:hint="eastAsia" w:eastAsia="仿宋_GB2312"/>
                <w:bCs/>
                <w:kern w:val="0"/>
                <w:sz w:val="22"/>
              </w:rPr>
              <w:t>药械化抽样任务完成率</w:t>
            </w:r>
          </w:p>
        </w:tc>
        <w:tc>
          <w:tcPr>
            <w:tcW w:w="967" w:type="pct"/>
            <w:vAlign w:val="center"/>
          </w:tcPr>
          <w:p w14:paraId="01C29DB4">
            <w:pPr>
              <w:keepNext w:val="0"/>
              <w:keepLines w:val="0"/>
              <w:widowControl/>
              <w:suppressLineNumbers w:val="0"/>
              <w:spacing w:before="0" w:beforeAutospacing="0" w:after="0" w:afterAutospacing="0"/>
              <w:ind w:left="0" w:right="0"/>
              <w:jc w:val="center"/>
              <w:rPr>
                <w:rFonts w:hint="default" w:eastAsia="仿宋_GB2312"/>
                <w:bCs/>
                <w:kern w:val="0"/>
                <w:sz w:val="22"/>
              </w:rPr>
            </w:pPr>
            <w:r>
              <w:rPr>
                <w:rFonts w:hint="eastAsia" w:eastAsia="仿宋_GB2312"/>
                <w:bCs/>
                <w:kern w:val="0"/>
                <w:sz w:val="22"/>
              </w:rPr>
              <w:t>=100%</w:t>
            </w:r>
          </w:p>
        </w:tc>
      </w:tr>
      <w:bookmarkEnd w:id="12"/>
    </w:tbl>
    <w:p w14:paraId="0BD09A1D">
      <w:pPr>
        <w:pStyle w:val="62"/>
        <w:tabs>
          <w:tab w:val="right" w:leader="dot" w:pos="8302"/>
        </w:tabs>
        <w:spacing w:line="560" w:lineRule="exact"/>
        <w:ind w:firstLine="640" w:firstLineChars="200"/>
        <w:jc w:val="left"/>
        <w:rPr>
          <w:rFonts w:eastAsia="黑体"/>
          <w:kern w:val="0"/>
          <w:sz w:val="32"/>
          <w:szCs w:val="32"/>
          <w:lang w:bidi="en-US"/>
        </w:rPr>
      </w:pPr>
      <w:bookmarkStart w:id="13" w:name="_Toc12959"/>
      <w:bookmarkStart w:id="14" w:name="_Toc20318"/>
      <w:bookmarkStart w:id="15" w:name="_Toc29250"/>
      <w:bookmarkStart w:id="16" w:name="_Toc7095"/>
      <w:r>
        <w:rPr>
          <w:rFonts w:eastAsia="黑体"/>
          <w:kern w:val="0"/>
          <w:sz w:val="32"/>
          <w:szCs w:val="32"/>
          <w:lang w:bidi="en-US"/>
        </w:rPr>
        <w:t>二、绩效评价情况</w:t>
      </w:r>
      <w:bookmarkEnd w:id="13"/>
      <w:bookmarkEnd w:id="14"/>
      <w:bookmarkEnd w:id="15"/>
      <w:bookmarkEnd w:id="16"/>
    </w:p>
    <w:p w14:paraId="5CB51097">
      <w:pPr>
        <w:pStyle w:val="13"/>
        <w:spacing w:after="0" w:line="560" w:lineRule="exact"/>
        <w:ind w:firstLine="643" w:firstLineChars="200"/>
        <w:contextualSpacing/>
        <w:rPr>
          <w:rFonts w:eastAsia="楷体"/>
          <w:b/>
          <w:bCs/>
          <w:sz w:val="32"/>
          <w:szCs w:val="32"/>
        </w:rPr>
      </w:pPr>
      <w:bookmarkStart w:id="17" w:name="_Toc8074"/>
      <w:bookmarkStart w:id="18" w:name="_Toc31283"/>
      <w:bookmarkStart w:id="19" w:name="_Toc3910"/>
      <w:bookmarkStart w:id="20" w:name="_Toc5724"/>
      <w:bookmarkStart w:id="21" w:name="_Toc20442"/>
      <w:bookmarkStart w:id="22" w:name="_Toc29854"/>
      <w:r>
        <w:rPr>
          <w:rFonts w:eastAsia="楷体"/>
          <w:b/>
          <w:bCs/>
          <w:sz w:val="32"/>
          <w:szCs w:val="32"/>
        </w:rPr>
        <w:t>（一）评价结论</w:t>
      </w:r>
      <w:bookmarkEnd w:id="17"/>
      <w:bookmarkEnd w:id="18"/>
      <w:bookmarkEnd w:id="19"/>
      <w:bookmarkEnd w:id="20"/>
      <w:bookmarkEnd w:id="21"/>
    </w:p>
    <w:p w14:paraId="294A6AB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绩效评价小组根据喀什市市场监督管理局实际情况，基于对2025年度部门整体运行资料的收集、整理、汇总和分析，并就关键数据与部门单位财务及相关项目负责人进行了充分沟通核实，形成关键数据汇总，得出的结论是：根据喀什市市场监督管理局提交的《部门（单位）整体支出绩效评价报告》，喀什市市场监督管理局2025年度绩效目标实际完成情况：</w:t>
      </w:r>
      <w:r>
        <w:rPr>
          <w:rFonts w:hint="eastAsia" w:eastAsia="仿宋_GB2312" w:cs="Times New Roman"/>
          <w:bCs/>
          <w:kern w:val="0"/>
          <w:sz w:val="32"/>
          <w:szCs w:val="32"/>
          <w:lang w:val="en-US" w:eastAsia="zh-CN" w:bidi="ar"/>
        </w:rPr>
        <w:t>一</w:t>
      </w:r>
      <w:r>
        <w:rPr>
          <w:rFonts w:hint="eastAsia" w:ascii="Times New Roman" w:hAnsi="Times New Roman" w:eastAsia="仿宋_GB2312" w:cs="Times New Roman"/>
          <w:bCs/>
          <w:kern w:val="0"/>
          <w:sz w:val="32"/>
          <w:szCs w:val="32"/>
          <w:lang w:bidi="ar"/>
        </w:rPr>
        <w:t>是强监管，保安全，助力高质量发展，开展食品安全监督抽检1016批次，抽检信息公布率达100%，药械化抽样任务完成率达到100%，完成特种设备定检率达到99.56%，特种设备注册登记率达到99.19%，全年不发生重特大特种设备安全事故；</w:t>
      </w:r>
      <w:r>
        <w:rPr>
          <w:rFonts w:hint="eastAsia" w:eastAsia="仿宋_GB2312" w:cs="Times New Roman"/>
          <w:bCs/>
          <w:kern w:val="0"/>
          <w:sz w:val="32"/>
          <w:szCs w:val="32"/>
          <w:lang w:val="en-US" w:eastAsia="zh-CN" w:bidi="ar"/>
        </w:rPr>
        <w:t>二</w:t>
      </w:r>
      <w:r>
        <w:rPr>
          <w:rFonts w:hint="eastAsia" w:ascii="Times New Roman" w:hAnsi="Times New Roman" w:eastAsia="仿宋_GB2312" w:cs="Times New Roman"/>
          <w:bCs/>
          <w:kern w:val="0"/>
          <w:sz w:val="32"/>
          <w:szCs w:val="32"/>
          <w:lang w:bidi="ar"/>
        </w:rPr>
        <w:t>是加强服务引导，推进质量提升，做好知识产权促进与保护工作，完成知识产权强区三年行动方案各类指标性工作，年底前商标有效注册量达到21514件；</w:t>
      </w:r>
      <w:r>
        <w:rPr>
          <w:rFonts w:hint="eastAsia" w:eastAsia="仿宋_GB2312" w:cs="Times New Roman"/>
          <w:bCs/>
          <w:kern w:val="0"/>
          <w:sz w:val="32"/>
          <w:szCs w:val="32"/>
          <w:lang w:val="en-US" w:eastAsia="zh-CN" w:bidi="ar"/>
        </w:rPr>
        <w:t>三</w:t>
      </w:r>
      <w:r>
        <w:rPr>
          <w:rFonts w:hint="eastAsia" w:ascii="Times New Roman" w:hAnsi="Times New Roman" w:eastAsia="仿宋_GB2312" w:cs="Times New Roman"/>
          <w:bCs/>
          <w:kern w:val="0"/>
          <w:sz w:val="32"/>
          <w:szCs w:val="32"/>
          <w:lang w:bidi="ar"/>
        </w:rPr>
        <w:t>是加强消费者权益保护举措，构建和谐消费环境，做好12315投诉举报平台受理化解和12345转办处理工作，办结率达96.52%；</w:t>
      </w:r>
      <w:r>
        <w:rPr>
          <w:rFonts w:hint="eastAsia" w:eastAsia="仿宋_GB2312" w:cs="Times New Roman"/>
          <w:bCs/>
          <w:kern w:val="0"/>
          <w:sz w:val="32"/>
          <w:szCs w:val="32"/>
          <w:lang w:val="en-US" w:eastAsia="zh-CN" w:bidi="ar"/>
        </w:rPr>
        <w:t>四</w:t>
      </w:r>
      <w:r>
        <w:rPr>
          <w:rFonts w:hint="eastAsia" w:ascii="Times New Roman" w:hAnsi="Times New Roman" w:eastAsia="仿宋_GB2312" w:cs="Times New Roman"/>
          <w:bCs/>
          <w:kern w:val="0"/>
          <w:sz w:val="32"/>
          <w:szCs w:val="32"/>
          <w:lang w:bidi="ar"/>
        </w:rPr>
        <w:t>是维护市场秩序，优化市场环境，推动市场价格监管工作，开展涉企收费专项检查，加强民生领域广告监管；</w:t>
      </w:r>
      <w:r>
        <w:rPr>
          <w:rFonts w:hint="eastAsia" w:eastAsia="仿宋_GB2312" w:cs="Times New Roman"/>
          <w:bCs/>
          <w:kern w:val="0"/>
          <w:sz w:val="32"/>
          <w:szCs w:val="32"/>
          <w:lang w:val="en-US" w:eastAsia="zh-CN" w:bidi="ar"/>
        </w:rPr>
        <w:t>五</w:t>
      </w:r>
      <w:r>
        <w:rPr>
          <w:rFonts w:hint="eastAsia" w:ascii="Times New Roman" w:hAnsi="Times New Roman" w:eastAsia="仿宋_GB2312" w:cs="Times New Roman"/>
          <w:bCs/>
          <w:kern w:val="0"/>
          <w:sz w:val="32"/>
          <w:szCs w:val="32"/>
          <w:lang w:bidi="ar"/>
        </w:rPr>
        <w:t>是强化法治建设，优化法治化营商环境，落实“谁执法谁普法”责任制，开展</w:t>
      </w:r>
      <w:r>
        <w:rPr>
          <w:rFonts w:hint="eastAsia" w:eastAsia="仿宋_GB2312" w:cs="Times New Roman"/>
          <w:bCs/>
          <w:kern w:val="0"/>
          <w:sz w:val="32"/>
          <w:szCs w:val="32"/>
          <w:lang w:eastAsia="zh-CN" w:bidi="ar"/>
        </w:rPr>
        <w:t>“3·15”消费者权益日</w:t>
      </w:r>
      <w:r>
        <w:rPr>
          <w:rFonts w:hint="eastAsia" w:ascii="Times New Roman" w:hAnsi="Times New Roman" w:eastAsia="仿宋_GB2312" w:cs="Times New Roman"/>
          <w:bCs/>
          <w:kern w:val="0"/>
          <w:sz w:val="32"/>
          <w:szCs w:val="32"/>
          <w:lang w:bidi="ar"/>
        </w:rPr>
        <w:t>、</w:t>
      </w:r>
      <w:r>
        <w:rPr>
          <w:rFonts w:hint="eastAsia" w:eastAsia="仿宋_GB2312" w:cs="Times New Roman"/>
          <w:bCs/>
          <w:kern w:val="0"/>
          <w:sz w:val="32"/>
          <w:szCs w:val="32"/>
          <w:lang w:eastAsia="zh-CN" w:bidi="ar"/>
        </w:rPr>
        <w:t>“4·15”全民国家安全教育日</w:t>
      </w:r>
      <w:r>
        <w:rPr>
          <w:rFonts w:hint="eastAsia" w:ascii="Times New Roman" w:hAnsi="Times New Roman" w:eastAsia="仿宋_GB2312" w:cs="Times New Roman"/>
          <w:bCs/>
          <w:kern w:val="0"/>
          <w:sz w:val="32"/>
          <w:szCs w:val="32"/>
          <w:lang w:bidi="ar"/>
        </w:rPr>
        <w:t>、</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4</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26</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世界知识产权日、</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5</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20</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世界计量日、</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5</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25</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爱肤日、</w:t>
      </w:r>
      <w:r>
        <w:rPr>
          <w:rFonts w:hint="eastAsia" w:eastAsia="仿宋_GB2312" w:cs="Times New Roman"/>
          <w:bCs/>
          <w:kern w:val="0"/>
          <w:sz w:val="32"/>
          <w:szCs w:val="32"/>
          <w:lang w:eastAsia="zh-CN" w:bidi="ar"/>
        </w:rPr>
        <w:t>“12·4”国家宪法日</w:t>
      </w:r>
      <w:r>
        <w:rPr>
          <w:rFonts w:hint="eastAsia" w:ascii="Times New Roman" w:hAnsi="Times New Roman" w:eastAsia="仿宋_GB2312" w:cs="Times New Roman"/>
          <w:bCs/>
          <w:kern w:val="0"/>
          <w:sz w:val="32"/>
          <w:szCs w:val="32"/>
          <w:lang w:bidi="ar"/>
        </w:rPr>
        <w:t>、世界标准日、世界认可日、食品安全周、质量月、诚信宣传月、反有组织犯罪法宣传等重要节点的12项主题宣传活动，普法宣传效果明显。</w:t>
      </w:r>
    </w:p>
    <w:p w14:paraId="26EBC91E">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通过对喀什市市场监督管理局进行整体支出绩效评价，得分为96.83分，整体运行状况为“优”，但总体运行情况仍有一定的提升空间。存在的问题有：项目支出预算调整率偏大、消费者投诉举报办结率未达标等。具体评价指标权重及评分结果如下：</w:t>
      </w:r>
    </w:p>
    <w:p w14:paraId="3E8F3BF2">
      <w:pPr>
        <w:pStyle w:val="72"/>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Times New Roman"/>
          <w:b/>
          <w:bCs/>
          <w:sz w:val="24"/>
          <w:szCs w:val="24"/>
        </w:rPr>
      </w:pPr>
      <w:r>
        <w:rPr>
          <w:rFonts w:hint="eastAsia" w:ascii="Times New Roman"/>
          <w:b/>
          <w:bCs/>
          <w:sz w:val="24"/>
          <w:szCs w:val="24"/>
        </w:rPr>
        <w:t>表</w:t>
      </w:r>
      <w:r>
        <w:rPr>
          <w:rFonts w:hint="eastAsia" w:ascii="Times New Roman"/>
          <w:b/>
          <w:bCs/>
          <w:sz w:val="24"/>
          <w:szCs w:val="24"/>
          <w:lang w:val="en-US" w:eastAsia="zh-CN"/>
        </w:rPr>
        <w:t>3-1</w:t>
      </w:r>
      <w:r>
        <w:rPr>
          <w:rFonts w:hint="eastAsia" w:ascii="Times New Roman"/>
          <w:b/>
          <w:bCs/>
          <w:sz w:val="24"/>
          <w:szCs w:val="24"/>
        </w:rPr>
        <w:t xml:space="preserve"> </w:t>
      </w:r>
      <w:r>
        <w:rPr>
          <w:rFonts w:ascii="Times New Roman"/>
          <w:b/>
          <w:bCs/>
          <w:sz w:val="24"/>
          <w:szCs w:val="24"/>
        </w:rPr>
        <w:t>喀什</w:t>
      </w:r>
      <w:r>
        <w:rPr>
          <w:rFonts w:hint="eastAsia" w:ascii="Times New Roman"/>
          <w:b/>
          <w:bCs/>
          <w:sz w:val="24"/>
          <w:szCs w:val="24"/>
        </w:rPr>
        <w:t>市市场监督管理局</w:t>
      </w:r>
      <w:r>
        <w:rPr>
          <w:rFonts w:ascii="Times New Roman"/>
          <w:b/>
          <w:bCs/>
          <w:sz w:val="24"/>
          <w:szCs w:val="24"/>
        </w:rPr>
        <w:t>2</w:t>
      </w:r>
      <w:r>
        <w:rPr>
          <w:rFonts w:hint="eastAsia" w:ascii="Times New Roman"/>
          <w:b/>
          <w:bCs/>
          <w:sz w:val="24"/>
          <w:szCs w:val="24"/>
        </w:rPr>
        <w:t>025</w:t>
      </w:r>
      <w:r>
        <w:rPr>
          <w:rFonts w:ascii="Times New Roman"/>
          <w:b/>
          <w:bCs/>
          <w:sz w:val="24"/>
          <w:szCs w:val="24"/>
        </w:rPr>
        <w:t>年度部门（单位）整体支出绩效评价指标</w:t>
      </w:r>
    </w:p>
    <w:p w14:paraId="17FB87A9">
      <w:pPr>
        <w:pStyle w:val="72"/>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Times New Roman"/>
          <w:b/>
          <w:bCs/>
          <w:sz w:val="24"/>
          <w:szCs w:val="24"/>
        </w:rPr>
      </w:pPr>
      <w:r>
        <w:rPr>
          <w:rFonts w:ascii="Times New Roman"/>
          <w:b/>
          <w:bCs/>
          <w:sz w:val="24"/>
          <w:szCs w:val="24"/>
        </w:rPr>
        <w:t>得分情况汇总表</w:t>
      </w:r>
    </w:p>
    <w:tbl>
      <w:tblPr>
        <w:tblStyle w:val="2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2"/>
        <w:gridCol w:w="2046"/>
        <w:gridCol w:w="1773"/>
        <w:gridCol w:w="2507"/>
      </w:tblGrid>
      <w:tr w14:paraId="3D9F3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blHeader/>
          <w:jc w:val="center"/>
        </w:trPr>
        <w:tc>
          <w:tcPr>
            <w:tcW w:w="1508" w:type="pct"/>
            <w:shd w:val="clear" w:color="auto" w:fill="D7D7D7"/>
            <w:noWrap/>
            <w:vAlign w:val="center"/>
          </w:tcPr>
          <w:p w14:paraId="279022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评价指标</w:t>
            </w:r>
          </w:p>
        </w:tc>
        <w:tc>
          <w:tcPr>
            <w:tcW w:w="1129" w:type="pct"/>
            <w:shd w:val="clear" w:color="auto" w:fill="D7D7D7"/>
            <w:noWrap/>
            <w:vAlign w:val="center"/>
          </w:tcPr>
          <w:p w14:paraId="5F8B6C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权重</w:t>
            </w:r>
          </w:p>
        </w:tc>
        <w:tc>
          <w:tcPr>
            <w:tcW w:w="978" w:type="pct"/>
            <w:shd w:val="clear" w:color="auto" w:fill="D7D7D7"/>
            <w:noWrap/>
            <w:vAlign w:val="center"/>
          </w:tcPr>
          <w:p w14:paraId="02DB75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得分</w:t>
            </w:r>
          </w:p>
        </w:tc>
        <w:tc>
          <w:tcPr>
            <w:tcW w:w="1383" w:type="pct"/>
            <w:shd w:val="clear" w:color="auto" w:fill="D7D7D7"/>
            <w:noWrap/>
            <w:vAlign w:val="center"/>
          </w:tcPr>
          <w:p w14:paraId="383AAA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得分率</w:t>
            </w:r>
          </w:p>
        </w:tc>
      </w:tr>
      <w:tr w14:paraId="0C41D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508" w:type="pct"/>
            <w:noWrap/>
            <w:vAlign w:val="center"/>
          </w:tcPr>
          <w:p w14:paraId="2082A3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部门决策</w:t>
            </w:r>
          </w:p>
        </w:tc>
        <w:tc>
          <w:tcPr>
            <w:tcW w:w="1129" w:type="pct"/>
            <w:noWrap/>
            <w:vAlign w:val="center"/>
          </w:tcPr>
          <w:p w14:paraId="4ECAD1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15</w:t>
            </w:r>
            <w:r>
              <w:rPr>
                <w:rFonts w:hint="eastAsia" w:eastAsia="仿宋_GB2312"/>
                <w:bCs/>
                <w:kern w:val="0"/>
                <w:sz w:val="22"/>
              </w:rPr>
              <w:t>.00</w:t>
            </w:r>
          </w:p>
        </w:tc>
        <w:tc>
          <w:tcPr>
            <w:tcW w:w="978" w:type="pct"/>
            <w:noWrap/>
            <w:vAlign w:val="center"/>
          </w:tcPr>
          <w:p w14:paraId="55DE13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15.00</w:t>
            </w:r>
          </w:p>
        </w:tc>
        <w:tc>
          <w:tcPr>
            <w:tcW w:w="1383" w:type="pct"/>
            <w:noWrap/>
            <w:vAlign w:val="center"/>
          </w:tcPr>
          <w:p w14:paraId="43B184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100.00</w:t>
            </w:r>
            <w:r>
              <w:rPr>
                <w:rFonts w:hint="default" w:eastAsia="仿宋_GB2312"/>
                <w:bCs/>
                <w:kern w:val="0"/>
                <w:sz w:val="22"/>
              </w:rPr>
              <w:t>%</w:t>
            </w:r>
          </w:p>
        </w:tc>
      </w:tr>
      <w:tr w14:paraId="11A4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508" w:type="pct"/>
            <w:noWrap/>
            <w:vAlign w:val="center"/>
          </w:tcPr>
          <w:p w14:paraId="557610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部门管理</w:t>
            </w:r>
          </w:p>
        </w:tc>
        <w:tc>
          <w:tcPr>
            <w:tcW w:w="1129" w:type="pct"/>
            <w:noWrap/>
            <w:vAlign w:val="center"/>
          </w:tcPr>
          <w:p w14:paraId="2D750A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35</w:t>
            </w:r>
            <w:r>
              <w:rPr>
                <w:rFonts w:hint="eastAsia" w:eastAsia="仿宋_GB2312"/>
                <w:bCs/>
                <w:kern w:val="0"/>
                <w:sz w:val="22"/>
              </w:rPr>
              <w:t>.00</w:t>
            </w:r>
          </w:p>
        </w:tc>
        <w:tc>
          <w:tcPr>
            <w:tcW w:w="978" w:type="pct"/>
            <w:noWrap/>
            <w:vAlign w:val="center"/>
          </w:tcPr>
          <w:p w14:paraId="7E2A44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3</w:t>
            </w:r>
            <w:r>
              <w:rPr>
                <w:rFonts w:hint="eastAsia" w:eastAsia="仿宋_GB2312"/>
                <w:bCs/>
                <w:kern w:val="0"/>
                <w:sz w:val="22"/>
                <w:lang w:val="en-US" w:eastAsia="zh-CN"/>
              </w:rPr>
              <w:t>3</w:t>
            </w:r>
            <w:r>
              <w:rPr>
                <w:rFonts w:hint="eastAsia" w:eastAsia="仿宋_GB2312"/>
                <w:bCs/>
                <w:kern w:val="0"/>
                <w:sz w:val="22"/>
              </w:rPr>
              <w:t>.00</w:t>
            </w:r>
          </w:p>
        </w:tc>
        <w:tc>
          <w:tcPr>
            <w:tcW w:w="1383" w:type="pct"/>
            <w:noWrap/>
            <w:vAlign w:val="center"/>
          </w:tcPr>
          <w:p w14:paraId="369BCA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9</w:t>
            </w:r>
            <w:r>
              <w:rPr>
                <w:rFonts w:hint="eastAsia" w:eastAsia="仿宋_GB2312"/>
                <w:bCs/>
                <w:kern w:val="0"/>
                <w:sz w:val="22"/>
                <w:lang w:val="en-US" w:eastAsia="zh-CN"/>
              </w:rPr>
              <w:t>4.29</w:t>
            </w:r>
            <w:r>
              <w:rPr>
                <w:rFonts w:hint="default" w:eastAsia="仿宋_GB2312"/>
                <w:bCs/>
                <w:kern w:val="0"/>
                <w:sz w:val="22"/>
              </w:rPr>
              <w:t>%</w:t>
            </w:r>
          </w:p>
        </w:tc>
      </w:tr>
      <w:tr w14:paraId="76FD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508" w:type="pct"/>
            <w:noWrap/>
            <w:vAlign w:val="center"/>
          </w:tcPr>
          <w:p w14:paraId="7E38A4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部门</w:t>
            </w:r>
            <w:r>
              <w:rPr>
                <w:rFonts w:hint="eastAsia" w:eastAsia="仿宋_GB2312"/>
                <w:bCs/>
                <w:kern w:val="0"/>
                <w:sz w:val="22"/>
              </w:rPr>
              <w:t>绩效</w:t>
            </w:r>
          </w:p>
        </w:tc>
        <w:tc>
          <w:tcPr>
            <w:tcW w:w="1129" w:type="pct"/>
            <w:noWrap/>
            <w:vAlign w:val="center"/>
          </w:tcPr>
          <w:p w14:paraId="5DFAF1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5</w:t>
            </w:r>
            <w:r>
              <w:rPr>
                <w:rFonts w:hint="default" w:eastAsia="仿宋_GB2312"/>
                <w:bCs/>
                <w:kern w:val="0"/>
                <w:sz w:val="22"/>
              </w:rPr>
              <w:t>0</w:t>
            </w:r>
            <w:r>
              <w:rPr>
                <w:rFonts w:hint="eastAsia" w:eastAsia="仿宋_GB2312"/>
                <w:bCs/>
                <w:kern w:val="0"/>
                <w:sz w:val="22"/>
              </w:rPr>
              <w:t>.00</w:t>
            </w:r>
          </w:p>
        </w:tc>
        <w:tc>
          <w:tcPr>
            <w:tcW w:w="978" w:type="pct"/>
            <w:noWrap/>
            <w:vAlign w:val="center"/>
          </w:tcPr>
          <w:p w14:paraId="7F0E8B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48.83</w:t>
            </w:r>
          </w:p>
        </w:tc>
        <w:tc>
          <w:tcPr>
            <w:tcW w:w="1383" w:type="pct"/>
            <w:noWrap/>
            <w:vAlign w:val="center"/>
          </w:tcPr>
          <w:p w14:paraId="6C1B86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97.66</w:t>
            </w:r>
            <w:r>
              <w:rPr>
                <w:rFonts w:hint="default" w:eastAsia="仿宋_GB2312"/>
                <w:bCs/>
                <w:kern w:val="0"/>
                <w:sz w:val="22"/>
              </w:rPr>
              <w:t>%</w:t>
            </w:r>
          </w:p>
        </w:tc>
      </w:tr>
      <w:tr w14:paraId="2ED7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508" w:type="pct"/>
            <w:noWrap/>
            <w:vAlign w:val="center"/>
          </w:tcPr>
          <w:p w14:paraId="06FE70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合计</w:t>
            </w:r>
          </w:p>
        </w:tc>
        <w:tc>
          <w:tcPr>
            <w:tcW w:w="1129" w:type="pct"/>
            <w:noWrap/>
            <w:vAlign w:val="center"/>
          </w:tcPr>
          <w:p w14:paraId="6A2246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100</w:t>
            </w:r>
            <w:r>
              <w:rPr>
                <w:rFonts w:hint="eastAsia" w:eastAsia="仿宋_GB2312"/>
                <w:bCs/>
                <w:kern w:val="0"/>
                <w:sz w:val="22"/>
              </w:rPr>
              <w:t>.00</w:t>
            </w:r>
          </w:p>
        </w:tc>
        <w:tc>
          <w:tcPr>
            <w:tcW w:w="978" w:type="pct"/>
            <w:noWrap/>
            <w:vAlign w:val="center"/>
          </w:tcPr>
          <w:p w14:paraId="3FFEAD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9</w:t>
            </w:r>
            <w:r>
              <w:rPr>
                <w:rFonts w:hint="eastAsia" w:eastAsia="仿宋_GB2312"/>
                <w:bCs/>
                <w:kern w:val="0"/>
                <w:sz w:val="22"/>
                <w:lang w:val="en-US" w:eastAsia="zh-CN"/>
              </w:rPr>
              <w:t>6</w:t>
            </w:r>
            <w:r>
              <w:rPr>
                <w:rFonts w:hint="eastAsia" w:eastAsia="仿宋_GB2312"/>
                <w:bCs/>
                <w:kern w:val="0"/>
                <w:sz w:val="22"/>
              </w:rPr>
              <w:t>.83</w:t>
            </w:r>
          </w:p>
        </w:tc>
        <w:tc>
          <w:tcPr>
            <w:tcW w:w="1383" w:type="pct"/>
            <w:noWrap/>
            <w:vAlign w:val="center"/>
          </w:tcPr>
          <w:p w14:paraId="285A64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9</w:t>
            </w:r>
            <w:r>
              <w:rPr>
                <w:rFonts w:hint="eastAsia" w:eastAsia="仿宋_GB2312"/>
                <w:bCs/>
                <w:kern w:val="0"/>
                <w:sz w:val="22"/>
                <w:lang w:val="en-US" w:eastAsia="zh-CN"/>
              </w:rPr>
              <w:t>6</w:t>
            </w:r>
            <w:r>
              <w:rPr>
                <w:rFonts w:hint="eastAsia" w:eastAsia="仿宋_GB2312"/>
                <w:bCs/>
                <w:kern w:val="0"/>
                <w:sz w:val="22"/>
              </w:rPr>
              <w:t>.83</w:t>
            </w:r>
            <w:r>
              <w:rPr>
                <w:rFonts w:hint="default" w:eastAsia="仿宋_GB2312"/>
                <w:bCs/>
                <w:kern w:val="0"/>
                <w:sz w:val="22"/>
              </w:rPr>
              <w:t>%</w:t>
            </w:r>
          </w:p>
        </w:tc>
      </w:tr>
    </w:tbl>
    <w:p w14:paraId="2ACBBA82">
      <w:pPr>
        <w:pStyle w:val="13"/>
        <w:spacing w:after="0" w:line="560" w:lineRule="exact"/>
        <w:ind w:firstLine="643" w:firstLineChars="200"/>
        <w:contextualSpacing/>
        <w:rPr>
          <w:rFonts w:eastAsia="楷体"/>
          <w:b/>
          <w:bCs/>
          <w:sz w:val="32"/>
          <w:szCs w:val="32"/>
        </w:rPr>
      </w:pPr>
      <w:r>
        <w:rPr>
          <w:rFonts w:eastAsia="楷体"/>
          <w:b/>
          <w:bCs/>
          <w:sz w:val="32"/>
          <w:szCs w:val="32"/>
        </w:rPr>
        <w:t>（二）</w:t>
      </w:r>
      <w:bookmarkEnd w:id="22"/>
      <w:r>
        <w:rPr>
          <w:rFonts w:hint="eastAsia" w:eastAsia="楷体"/>
          <w:b/>
          <w:bCs/>
          <w:sz w:val="32"/>
          <w:szCs w:val="32"/>
        </w:rPr>
        <w:t>评价结果</w:t>
      </w:r>
    </w:p>
    <w:p w14:paraId="64BECF50">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评价小组根据项目实际情况，对部门整体支出绩效目标表中预期绩效目标、绩效指标以及预期指标值进行评价打分。具体评分指标情况如下：</w:t>
      </w:r>
    </w:p>
    <w:p w14:paraId="072411D9">
      <w:pPr>
        <w:pStyle w:val="13"/>
        <w:spacing w:after="0" w:line="560" w:lineRule="exact"/>
        <w:ind w:firstLine="482" w:firstLineChars="200"/>
        <w:contextualSpacing/>
        <w:jc w:val="center"/>
        <w:rPr>
          <w:rFonts w:eastAsia="仿宋_GB2312"/>
          <w:b/>
          <w:kern w:val="0"/>
          <w:sz w:val="24"/>
          <w:szCs w:val="24"/>
          <w:lang w:bidi="ar"/>
        </w:rPr>
      </w:pPr>
      <w:r>
        <w:rPr>
          <w:rFonts w:hint="eastAsia" w:eastAsia="仿宋_GB2312"/>
          <w:b/>
          <w:kern w:val="0"/>
          <w:sz w:val="24"/>
          <w:szCs w:val="24"/>
          <w:lang w:bidi="ar"/>
        </w:rPr>
        <w:t>表</w:t>
      </w:r>
      <w:r>
        <w:rPr>
          <w:rFonts w:hint="eastAsia" w:eastAsia="仿宋_GB2312"/>
          <w:b/>
          <w:kern w:val="0"/>
          <w:sz w:val="24"/>
          <w:szCs w:val="24"/>
          <w:lang w:val="en-US" w:eastAsia="zh-CN" w:bidi="ar"/>
        </w:rPr>
        <w:t>3-2</w:t>
      </w:r>
      <w:r>
        <w:rPr>
          <w:rFonts w:hint="eastAsia" w:eastAsia="仿宋_GB2312"/>
          <w:b/>
          <w:kern w:val="0"/>
          <w:sz w:val="24"/>
          <w:szCs w:val="24"/>
          <w:lang w:bidi="ar"/>
        </w:rPr>
        <w:t xml:space="preserve"> </w:t>
      </w:r>
      <w:r>
        <w:rPr>
          <w:rFonts w:eastAsia="仿宋_GB2312"/>
          <w:b/>
          <w:kern w:val="0"/>
          <w:sz w:val="24"/>
          <w:szCs w:val="24"/>
          <w:lang w:bidi="ar"/>
        </w:rPr>
        <w:t>评价指标目标表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9"/>
        <w:gridCol w:w="1239"/>
        <w:gridCol w:w="3728"/>
        <w:gridCol w:w="1549"/>
        <w:gridCol w:w="1301"/>
      </w:tblGrid>
      <w:tr w14:paraId="5601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blHeader/>
        </w:trPr>
        <w:tc>
          <w:tcPr>
            <w:tcW w:w="684" w:type="pct"/>
            <w:shd w:val="clear" w:color="auto" w:fill="D7D7D7"/>
            <w:noWrap/>
            <w:vAlign w:val="center"/>
          </w:tcPr>
          <w:p w14:paraId="0DCD66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一级指标</w:t>
            </w:r>
          </w:p>
        </w:tc>
        <w:tc>
          <w:tcPr>
            <w:tcW w:w="684" w:type="pct"/>
            <w:shd w:val="clear" w:color="auto" w:fill="D7D7D7"/>
            <w:noWrap/>
            <w:vAlign w:val="center"/>
          </w:tcPr>
          <w:p w14:paraId="1BF0B6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二级指标</w:t>
            </w:r>
          </w:p>
        </w:tc>
        <w:tc>
          <w:tcPr>
            <w:tcW w:w="2058" w:type="pct"/>
            <w:shd w:val="clear" w:color="auto" w:fill="D7D7D7"/>
            <w:noWrap/>
            <w:vAlign w:val="center"/>
          </w:tcPr>
          <w:p w14:paraId="7C9C1A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三级指标</w:t>
            </w:r>
          </w:p>
        </w:tc>
        <w:tc>
          <w:tcPr>
            <w:tcW w:w="855" w:type="pct"/>
            <w:shd w:val="clear" w:color="auto" w:fill="D7D7D7"/>
            <w:noWrap/>
            <w:vAlign w:val="center"/>
          </w:tcPr>
          <w:p w14:paraId="0BB582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年度目标值</w:t>
            </w:r>
          </w:p>
        </w:tc>
        <w:tc>
          <w:tcPr>
            <w:tcW w:w="718" w:type="pct"/>
            <w:shd w:val="clear" w:color="auto" w:fill="D7D7D7"/>
            <w:noWrap/>
            <w:vAlign w:val="center"/>
          </w:tcPr>
          <w:p w14:paraId="4D5878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完成情况</w:t>
            </w:r>
          </w:p>
        </w:tc>
      </w:tr>
      <w:tr w14:paraId="3A84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restart"/>
            <w:noWrap/>
            <w:vAlign w:val="center"/>
          </w:tcPr>
          <w:p w14:paraId="04374A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产出指标</w:t>
            </w:r>
          </w:p>
        </w:tc>
        <w:tc>
          <w:tcPr>
            <w:tcW w:w="684" w:type="pct"/>
            <w:vMerge w:val="restart"/>
            <w:noWrap/>
            <w:vAlign w:val="center"/>
          </w:tcPr>
          <w:p w14:paraId="58225D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数量指标</w:t>
            </w:r>
          </w:p>
        </w:tc>
        <w:tc>
          <w:tcPr>
            <w:tcW w:w="2058" w:type="pct"/>
            <w:noWrap/>
            <w:vAlign w:val="center"/>
          </w:tcPr>
          <w:p w14:paraId="3968D4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完成年度食品安全监督抽检批次</w:t>
            </w:r>
          </w:p>
        </w:tc>
        <w:tc>
          <w:tcPr>
            <w:tcW w:w="855" w:type="pct"/>
            <w:noWrap/>
            <w:vAlign w:val="center"/>
          </w:tcPr>
          <w:p w14:paraId="05A2BD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≥1016批次</w:t>
            </w:r>
          </w:p>
        </w:tc>
        <w:tc>
          <w:tcPr>
            <w:tcW w:w="718" w:type="pct"/>
            <w:noWrap/>
            <w:vAlign w:val="center"/>
          </w:tcPr>
          <w:p w14:paraId="4F3EE2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eastAsia" w:eastAsia="仿宋_GB2312"/>
                <w:bCs/>
                <w:kern w:val="0"/>
                <w:sz w:val="22"/>
              </w:rPr>
              <w:t>1016批次</w:t>
            </w:r>
          </w:p>
        </w:tc>
      </w:tr>
      <w:tr w14:paraId="3FC2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vAlign w:val="center"/>
          </w:tcPr>
          <w:p w14:paraId="1AF85B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84" w:type="pct"/>
            <w:vMerge w:val="continue"/>
            <w:vAlign w:val="center"/>
          </w:tcPr>
          <w:p w14:paraId="44D1CC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2058" w:type="pct"/>
            <w:noWrap/>
            <w:vAlign w:val="center"/>
          </w:tcPr>
          <w:p w14:paraId="3FA29F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知识产权商标注册数量</w:t>
            </w:r>
          </w:p>
        </w:tc>
        <w:tc>
          <w:tcPr>
            <w:tcW w:w="855" w:type="pct"/>
            <w:noWrap/>
            <w:vAlign w:val="center"/>
          </w:tcPr>
          <w:p w14:paraId="5CE06C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w:t>
            </w:r>
            <w:r>
              <w:rPr>
                <w:rFonts w:hint="default" w:eastAsia="仿宋_GB2312"/>
                <w:bCs/>
                <w:kern w:val="0"/>
                <w:sz w:val="22"/>
              </w:rPr>
              <w:t>1</w:t>
            </w:r>
            <w:r>
              <w:rPr>
                <w:rFonts w:hint="eastAsia" w:eastAsia="仿宋_GB2312"/>
                <w:bCs/>
                <w:kern w:val="0"/>
                <w:sz w:val="22"/>
              </w:rPr>
              <w:t>9389</w:t>
            </w:r>
            <w:r>
              <w:rPr>
                <w:rFonts w:hint="default" w:eastAsia="仿宋_GB2312"/>
                <w:bCs/>
                <w:kern w:val="0"/>
                <w:sz w:val="22"/>
              </w:rPr>
              <w:t>个</w:t>
            </w:r>
          </w:p>
        </w:tc>
        <w:tc>
          <w:tcPr>
            <w:tcW w:w="718" w:type="pct"/>
            <w:noWrap/>
            <w:vAlign w:val="center"/>
          </w:tcPr>
          <w:p w14:paraId="28A793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eastAsia" w:eastAsia="仿宋_GB2312"/>
                <w:bCs/>
                <w:kern w:val="0"/>
                <w:sz w:val="22"/>
              </w:rPr>
              <w:t>21514</w:t>
            </w:r>
            <w:r>
              <w:rPr>
                <w:rFonts w:hint="default" w:eastAsia="仿宋_GB2312"/>
                <w:bCs/>
                <w:kern w:val="0"/>
                <w:sz w:val="22"/>
              </w:rPr>
              <w:t>个</w:t>
            </w:r>
          </w:p>
        </w:tc>
      </w:tr>
      <w:tr w14:paraId="4998A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noWrap/>
            <w:vAlign w:val="center"/>
          </w:tcPr>
          <w:p w14:paraId="13DB45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84" w:type="pct"/>
            <w:vMerge w:val="restart"/>
            <w:noWrap/>
            <w:vAlign w:val="center"/>
          </w:tcPr>
          <w:p w14:paraId="5E1098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质量指标</w:t>
            </w:r>
          </w:p>
        </w:tc>
        <w:tc>
          <w:tcPr>
            <w:tcW w:w="2058" w:type="pct"/>
            <w:noWrap/>
            <w:vAlign w:val="center"/>
          </w:tcPr>
          <w:p w14:paraId="3DAB72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特种设备定期检验率</w:t>
            </w:r>
          </w:p>
        </w:tc>
        <w:tc>
          <w:tcPr>
            <w:tcW w:w="855" w:type="pct"/>
            <w:noWrap/>
            <w:vAlign w:val="center"/>
          </w:tcPr>
          <w:p w14:paraId="755F3A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w:t>
            </w:r>
            <w:r>
              <w:rPr>
                <w:rFonts w:hint="default" w:eastAsia="仿宋_GB2312"/>
                <w:bCs/>
                <w:kern w:val="0"/>
                <w:sz w:val="22"/>
              </w:rPr>
              <w:t>9</w:t>
            </w:r>
            <w:r>
              <w:rPr>
                <w:rFonts w:hint="eastAsia" w:eastAsia="仿宋_GB2312"/>
                <w:bCs/>
                <w:kern w:val="0"/>
                <w:sz w:val="22"/>
              </w:rPr>
              <w:t>5</w:t>
            </w:r>
            <w:r>
              <w:rPr>
                <w:rFonts w:hint="default" w:eastAsia="仿宋_GB2312"/>
                <w:bCs/>
                <w:kern w:val="0"/>
                <w:sz w:val="22"/>
              </w:rPr>
              <w:t>%</w:t>
            </w:r>
          </w:p>
        </w:tc>
        <w:tc>
          <w:tcPr>
            <w:tcW w:w="718" w:type="pct"/>
            <w:noWrap/>
            <w:vAlign w:val="center"/>
          </w:tcPr>
          <w:p w14:paraId="615309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default" w:eastAsia="仿宋_GB2312"/>
                <w:bCs/>
                <w:kern w:val="0"/>
                <w:sz w:val="22"/>
              </w:rPr>
              <w:t>99.</w:t>
            </w:r>
            <w:r>
              <w:rPr>
                <w:rFonts w:hint="eastAsia" w:eastAsia="仿宋_GB2312"/>
                <w:bCs/>
                <w:kern w:val="0"/>
                <w:sz w:val="22"/>
              </w:rPr>
              <w:t>56</w:t>
            </w:r>
            <w:r>
              <w:rPr>
                <w:rFonts w:hint="default" w:eastAsia="仿宋_GB2312"/>
                <w:bCs/>
                <w:kern w:val="0"/>
                <w:sz w:val="22"/>
              </w:rPr>
              <w:t>%</w:t>
            </w:r>
          </w:p>
        </w:tc>
      </w:tr>
      <w:tr w14:paraId="6FB6C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noWrap/>
            <w:vAlign w:val="center"/>
          </w:tcPr>
          <w:p w14:paraId="7FF00C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84" w:type="pct"/>
            <w:vMerge w:val="continue"/>
            <w:noWrap/>
            <w:vAlign w:val="center"/>
          </w:tcPr>
          <w:p w14:paraId="371B7E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2058" w:type="pct"/>
            <w:noWrap/>
            <w:vAlign w:val="center"/>
          </w:tcPr>
          <w:p w14:paraId="34C97C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食品安全抽检应公布信息公布率</w:t>
            </w:r>
          </w:p>
        </w:tc>
        <w:tc>
          <w:tcPr>
            <w:tcW w:w="855" w:type="pct"/>
            <w:noWrap/>
            <w:vAlign w:val="center"/>
          </w:tcPr>
          <w:p w14:paraId="30B593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=100%</w:t>
            </w:r>
          </w:p>
        </w:tc>
        <w:tc>
          <w:tcPr>
            <w:tcW w:w="718" w:type="pct"/>
            <w:noWrap/>
            <w:vAlign w:val="center"/>
          </w:tcPr>
          <w:p w14:paraId="40F0C4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eastAsia" w:eastAsia="仿宋_GB2312"/>
                <w:bCs/>
                <w:kern w:val="0"/>
                <w:sz w:val="22"/>
              </w:rPr>
              <w:t>100%</w:t>
            </w:r>
          </w:p>
        </w:tc>
      </w:tr>
      <w:tr w14:paraId="3FE6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noWrap/>
            <w:vAlign w:val="center"/>
          </w:tcPr>
          <w:p w14:paraId="52C13A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84" w:type="pct"/>
            <w:vMerge w:val="continue"/>
            <w:noWrap/>
            <w:vAlign w:val="center"/>
          </w:tcPr>
          <w:p w14:paraId="59E06D8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2058" w:type="pct"/>
            <w:noWrap/>
            <w:vAlign w:val="center"/>
          </w:tcPr>
          <w:p w14:paraId="11D727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消费者投诉举报办结率</w:t>
            </w:r>
          </w:p>
        </w:tc>
        <w:tc>
          <w:tcPr>
            <w:tcW w:w="855" w:type="pct"/>
            <w:noWrap/>
            <w:vAlign w:val="center"/>
          </w:tcPr>
          <w:p w14:paraId="061896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=100%</w:t>
            </w:r>
          </w:p>
        </w:tc>
        <w:tc>
          <w:tcPr>
            <w:tcW w:w="718" w:type="pct"/>
            <w:noWrap/>
            <w:vAlign w:val="center"/>
          </w:tcPr>
          <w:p w14:paraId="785715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eastAsia" w:eastAsia="仿宋_GB2312"/>
                <w:bCs/>
                <w:kern w:val="0"/>
                <w:sz w:val="22"/>
              </w:rPr>
              <w:t>96.52%</w:t>
            </w:r>
          </w:p>
        </w:tc>
      </w:tr>
      <w:tr w14:paraId="153A8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noWrap/>
            <w:vAlign w:val="center"/>
          </w:tcPr>
          <w:p w14:paraId="00C548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84" w:type="pct"/>
            <w:vMerge w:val="continue"/>
            <w:noWrap/>
            <w:vAlign w:val="center"/>
          </w:tcPr>
          <w:p w14:paraId="2B8A7A1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2058" w:type="pct"/>
            <w:noWrap/>
            <w:vAlign w:val="center"/>
          </w:tcPr>
          <w:p w14:paraId="7A79C8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特种设备注册登记率</w:t>
            </w:r>
          </w:p>
        </w:tc>
        <w:tc>
          <w:tcPr>
            <w:tcW w:w="855" w:type="pct"/>
            <w:noWrap/>
            <w:vAlign w:val="center"/>
          </w:tcPr>
          <w:p w14:paraId="2D0232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lang w:eastAsia="zh-CN"/>
              </w:rPr>
              <w:t>≥99%</w:t>
            </w:r>
          </w:p>
        </w:tc>
        <w:tc>
          <w:tcPr>
            <w:tcW w:w="718" w:type="pct"/>
            <w:noWrap/>
            <w:vAlign w:val="center"/>
          </w:tcPr>
          <w:p w14:paraId="485F90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eastAsia" w:eastAsia="仿宋_GB2312"/>
                <w:bCs/>
                <w:kern w:val="0"/>
                <w:sz w:val="22"/>
              </w:rPr>
              <w:t>99.19%</w:t>
            </w:r>
          </w:p>
        </w:tc>
      </w:tr>
      <w:tr w14:paraId="03544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noWrap/>
            <w:vAlign w:val="center"/>
          </w:tcPr>
          <w:p w14:paraId="025829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84" w:type="pct"/>
            <w:vMerge w:val="continue"/>
            <w:noWrap/>
            <w:vAlign w:val="center"/>
          </w:tcPr>
          <w:p w14:paraId="0B45FFB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2058" w:type="pct"/>
            <w:noWrap/>
            <w:vAlign w:val="center"/>
          </w:tcPr>
          <w:p w14:paraId="1770EB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联合开展315活动落实率</w:t>
            </w:r>
          </w:p>
        </w:tc>
        <w:tc>
          <w:tcPr>
            <w:tcW w:w="855" w:type="pct"/>
            <w:noWrap/>
            <w:vAlign w:val="center"/>
          </w:tcPr>
          <w:p w14:paraId="6213D9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=100%</w:t>
            </w:r>
          </w:p>
        </w:tc>
        <w:tc>
          <w:tcPr>
            <w:tcW w:w="718" w:type="pct"/>
            <w:noWrap/>
            <w:vAlign w:val="center"/>
          </w:tcPr>
          <w:p w14:paraId="2E836F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eastAsia" w:eastAsia="仿宋_GB2312"/>
                <w:bCs/>
                <w:kern w:val="0"/>
                <w:sz w:val="22"/>
              </w:rPr>
              <w:t>100%</w:t>
            </w:r>
          </w:p>
        </w:tc>
      </w:tr>
      <w:tr w14:paraId="5842E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noWrap/>
            <w:vAlign w:val="center"/>
          </w:tcPr>
          <w:p w14:paraId="524D19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84" w:type="pct"/>
            <w:vMerge w:val="continue"/>
            <w:noWrap/>
            <w:vAlign w:val="center"/>
          </w:tcPr>
          <w:p w14:paraId="72C7C3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2058" w:type="pct"/>
            <w:noWrap/>
            <w:vAlign w:val="center"/>
          </w:tcPr>
          <w:p w14:paraId="74A2D4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药械化抽样任务完成率</w:t>
            </w:r>
          </w:p>
        </w:tc>
        <w:tc>
          <w:tcPr>
            <w:tcW w:w="855" w:type="pct"/>
            <w:noWrap/>
            <w:vAlign w:val="center"/>
          </w:tcPr>
          <w:p w14:paraId="25AE8B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rPr>
              <w:t>=100%</w:t>
            </w:r>
          </w:p>
        </w:tc>
        <w:tc>
          <w:tcPr>
            <w:tcW w:w="718" w:type="pct"/>
            <w:noWrap/>
            <w:vAlign w:val="center"/>
          </w:tcPr>
          <w:p w14:paraId="342DB3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eastAsia" w:eastAsia="仿宋_GB2312"/>
                <w:bCs/>
                <w:kern w:val="0"/>
                <w:sz w:val="22"/>
              </w:rPr>
              <w:t>100</w:t>
            </w:r>
            <w:r>
              <w:rPr>
                <w:rFonts w:hint="default" w:eastAsia="仿宋_GB2312"/>
                <w:bCs/>
                <w:kern w:val="0"/>
                <w:sz w:val="22"/>
              </w:rPr>
              <w:t>%</w:t>
            </w:r>
          </w:p>
        </w:tc>
      </w:tr>
    </w:tbl>
    <w:p w14:paraId="1A873269">
      <w:pPr>
        <w:pStyle w:val="62"/>
        <w:tabs>
          <w:tab w:val="right" w:leader="dot" w:pos="8302"/>
        </w:tabs>
        <w:spacing w:line="560" w:lineRule="exact"/>
        <w:ind w:firstLine="640" w:firstLineChars="200"/>
        <w:jc w:val="left"/>
        <w:rPr>
          <w:rFonts w:eastAsia="黑体"/>
          <w:kern w:val="0"/>
          <w:sz w:val="32"/>
          <w:szCs w:val="32"/>
          <w:lang w:bidi="en-US"/>
        </w:rPr>
      </w:pPr>
      <w:bookmarkStart w:id="23" w:name="_Toc31973"/>
      <w:r>
        <w:rPr>
          <w:rFonts w:eastAsia="黑体"/>
          <w:kern w:val="0"/>
          <w:sz w:val="32"/>
          <w:szCs w:val="32"/>
          <w:lang w:bidi="en-US"/>
        </w:rPr>
        <w:t>三、</w:t>
      </w:r>
      <w:bookmarkEnd w:id="23"/>
      <w:r>
        <w:rPr>
          <w:rFonts w:hint="eastAsia" w:eastAsia="黑体"/>
          <w:kern w:val="0"/>
          <w:sz w:val="32"/>
          <w:szCs w:val="32"/>
          <w:lang w:bidi="en-US"/>
        </w:rPr>
        <w:t>主要经验及做法</w:t>
      </w:r>
    </w:p>
    <w:p w14:paraId="4FA5AD7A">
      <w:pPr>
        <w:pStyle w:val="13"/>
        <w:spacing w:after="0" w:line="560" w:lineRule="exact"/>
        <w:ind w:firstLine="643" w:firstLineChars="200"/>
        <w:contextualSpacing/>
        <w:rPr>
          <w:rFonts w:eastAsia="楷体"/>
          <w:b/>
          <w:bCs/>
          <w:sz w:val="32"/>
          <w:szCs w:val="32"/>
        </w:rPr>
      </w:pPr>
      <w:bookmarkStart w:id="24" w:name="_Toc14243"/>
      <w:r>
        <w:rPr>
          <w:rFonts w:hint="eastAsia" w:eastAsia="楷体"/>
          <w:b/>
          <w:bCs/>
          <w:sz w:val="32"/>
          <w:szCs w:val="32"/>
        </w:rPr>
        <w:t>（一）</w:t>
      </w:r>
      <w:r>
        <w:rPr>
          <w:rFonts w:eastAsia="楷体"/>
          <w:b/>
          <w:bCs/>
          <w:sz w:val="32"/>
          <w:szCs w:val="32"/>
        </w:rPr>
        <w:t>党建铸魂强队伍，夯实监管履职根基</w:t>
      </w:r>
    </w:p>
    <w:p w14:paraId="21FCF82A">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以党建和作风建设统筹干部培养、廉政管控、组织提质，为市场监管各项工作提供人力与组织保障。2025年喀什市市场监督管理局将党建引领贯穿监管全过程，搭建班子领学、全员研学、警示教育的常态化学习体系，分层开展执法、保密、基层驻村调研等实训；对照作风问题清单逐项整改，细化三级廉政责任清单、全面排查廉政风险，常态化运用监督执纪第一种形态抓早抓小；通过中层竞争上岗、干部双向轮岗优化人员配置，推进支部标准化建设，打造多领域党建示范点，系统性提升干部专业能力与队伍凝聚力。</w:t>
      </w:r>
    </w:p>
    <w:p w14:paraId="00C92ABE">
      <w:pPr>
        <w:pStyle w:val="13"/>
        <w:spacing w:after="0" w:line="560" w:lineRule="exact"/>
        <w:ind w:firstLine="643" w:firstLineChars="200"/>
        <w:contextualSpacing/>
        <w:rPr>
          <w:rFonts w:eastAsia="楷体"/>
          <w:b/>
          <w:bCs/>
          <w:sz w:val="32"/>
          <w:szCs w:val="32"/>
        </w:rPr>
      </w:pPr>
      <w:r>
        <w:rPr>
          <w:rFonts w:hint="eastAsia" w:eastAsia="楷体"/>
          <w:b/>
          <w:bCs/>
          <w:sz w:val="32"/>
          <w:szCs w:val="32"/>
        </w:rPr>
        <w:t>（二）</w:t>
      </w:r>
      <w:r>
        <w:rPr>
          <w:rFonts w:eastAsia="楷体"/>
          <w:b/>
          <w:bCs/>
          <w:sz w:val="32"/>
          <w:szCs w:val="32"/>
        </w:rPr>
        <w:t>改革服务</w:t>
      </w:r>
      <w:r>
        <w:rPr>
          <w:rFonts w:hint="eastAsia" w:eastAsia="楷体"/>
          <w:b/>
          <w:bCs/>
          <w:sz w:val="32"/>
          <w:szCs w:val="32"/>
        </w:rPr>
        <w:t>+</w:t>
      </w:r>
      <w:r>
        <w:rPr>
          <w:rFonts w:eastAsia="楷体"/>
          <w:b/>
          <w:bCs/>
          <w:sz w:val="32"/>
          <w:szCs w:val="32"/>
        </w:rPr>
        <w:t>精准执法双向发力，持续激活市场发展活力</w:t>
      </w:r>
    </w:p>
    <w:p w14:paraId="40797970">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深化商事集成改革壮大经营主体，建立信用差异化监管与刚柔并济执法模式，兼顾营商便利与市场秩序规范。2025年喀什市市场监督管理局持续推行企业开办</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一网通办</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高效办成一件事”集成服务，简化个转企流程，辖区经营主体总量位居区域前列；依托信用风险分类推行</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红</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黄</w:t>
      </w:r>
      <w:r>
        <w:rPr>
          <w:rFonts w:hint="eastAsia" w:eastAsia="仿宋_GB2312" w:cs="Times New Roman"/>
          <w:bCs/>
          <w:kern w:val="0"/>
          <w:sz w:val="32"/>
          <w:szCs w:val="32"/>
          <w:lang w:eastAsia="zh-CN" w:bidi="ar"/>
        </w:rPr>
        <w:t>”</w:t>
      </w:r>
      <w:r>
        <w:rPr>
          <w:rFonts w:hint="eastAsia" w:ascii="Times New Roman" w:hAnsi="Times New Roman" w:eastAsia="仿宋_GB2312" w:cs="Times New Roman"/>
          <w:bCs/>
          <w:kern w:val="0"/>
          <w:sz w:val="32"/>
          <w:szCs w:val="32"/>
          <w:lang w:bidi="ar"/>
        </w:rPr>
        <w:t>预警触发式监管，落实“双随机、一公开”与信用修复，对低风险企业无事不扰；执法实行包容审慎与铁拳整治结合，落实首违轻微免罚，严厉查办食品、收费、商标、传销等民生领域违法案件，行刑衔接同步推进，实现宽严相济、规范市场。</w:t>
      </w:r>
    </w:p>
    <w:p w14:paraId="0F34A34B">
      <w:pPr>
        <w:pStyle w:val="13"/>
        <w:spacing w:after="0" w:line="560" w:lineRule="exact"/>
        <w:ind w:firstLine="643" w:firstLineChars="200"/>
        <w:contextualSpacing/>
        <w:rPr>
          <w:rFonts w:eastAsia="楷体"/>
          <w:b/>
          <w:bCs/>
          <w:sz w:val="32"/>
          <w:szCs w:val="32"/>
        </w:rPr>
      </w:pPr>
      <w:r>
        <w:rPr>
          <w:rFonts w:hint="eastAsia" w:eastAsia="楷体"/>
          <w:b/>
          <w:bCs/>
          <w:sz w:val="32"/>
          <w:szCs w:val="32"/>
        </w:rPr>
        <w:t>（三）</w:t>
      </w:r>
      <w:r>
        <w:rPr>
          <w:rFonts w:eastAsia="楷体"/>
          <w:b/>
          <w:bCs/>
          <w:sz w:val="32"/>
          <w:szCs w:val="32"/>
        </w:rPr>
        <w:t>数字赋能+全域闭环管控，统筹安全民生与质量产业发展</w:t>
      </w:r>
    </w:p>
    <w:p w14:paraId="71693ED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依托智慧数字化创新监管手段，全覆盖守住四大安全底线，同步化解消费矛盾、以质量知识产权助推产业升级。2025年喀什市市场监督管理局立足旅游城市打造“一店一码”、网络餐饮线上管控、特种设备及食品AI监控等数字化监管模式，多项创新举措获国家、自治区推广；建立干部包保全覆盖机制，围绕食品、药械、工业产品、特种设备开展系列专项整治、抽检、隐患动态清零；常态化整治民生收费、牌匾文字、意识形态违规商品，高效处置消费投诉，全年无舆情；同步推进质量强市、知识产权保护、</w:t>
      </w:r>
      <w:r>
        <w:rPr>
          <w:rFonts w:hint="eastAsia" w:eastAsia="仿宋_GB2312" w:cs="Times New Roman"/>
          <w:bCs/>
          <w:kern w:val="0"/>
          <w:sz w:val="32"/>
          <w:szCs w:val="32"/>
          <w:lang w:eastAsia="zh-CN" w:bidi="ar"/>
        </w:rPr>
        <w:t>计量智慧监管</w:t>
      </w:r>
      <w:r>
        <w:rPr>
          <w:rFonts w:hint="eastAsia" w:ascii="Times New Roman" w:hAnsi="Times New Roman" w:eastAsia="仿宋_GB2312" w:cs="Times New Roman"/>
          <w:bCs/>
          <w:kern w:val="0"/>
          <w:sz w:val="32"/>
          <w:szCs w:val="32"/>
          <w:lang w:bidi="ar"/>
        </w:rPr>
        <w:t>，培育质量标杆企业，赋能地方产业高质量发展。</w:t>
      </w:r>
    </w:p>
    <w:p w14:paraId="6D9DEDEA">
      <w:pPr>
        <w:pStyle w:val="62"/>
        <w:tabs>
          <w:tab w:val="right" w:leader="dot" w:pos="8302"/>
        </w:tabs>
        <w:spacing w:line="560" w:lineRule="exact"/>
        <w:ind w:firstLine="640" w:firstLineChars="200"/>
        <w:jc w:val="left"/>
        <w:rPr>
          <w:rFonts w:eastAsia="黑体"/>
          <w:kern w:val="0"/>
          <w:sz w:val="32"/>
          <w:szCs w:val="32"/>
          <w:lang w:bidi="en-US"/>
        </w:rPr>
      </w:pPr>
      <w:r>
        <w:rPr>
          <w:rFonts w:eastAsia="黑体"/>
          <w:kern w:val="0"/>
          <w:sz w:val="32"/>
          <w:szCs w:val="32"/>
          <w:lang w:bidi="en-US"/>
        </w:rPr>
        <w:t>四、存在的问题及建议</w:t>
      </w:r>
      <w:bookmarkEnd w:id="24"/>
    </w:p>
    <w:p w14:paraId="5EBD226B">
      <w:pPr>
        <w:pStyle w:val="13"/>
        <w:spacing w:after="0" w:line="560" w:lineRule="exact"/>
        <w:ind w:firstLine="643" w:firstLineChars="200"/>
        <w:contextualSpacing/>
        <w:rPr>
          <w:rFonts w:eastAsia="楷体"/>
          <w:b/>
          <w:bCs/>
          <w:sz w:val="32"/>
          <w:szCs w:val="32"/>
        </w:rPr>
      </w:pPr>
      <w:r>
        <w:rPr>
          <w:rFonts w:eastAsia="楷体"/>
          <w:b/>
          <w:bCs/>
          <w:sz w:val="32"/>
          <w:szCs w:val="32"/>
        </w:rPr>
        <w:t>（一）存在的问题</w:t>
      </w:r>
    </w:p>
    <w:p w14:paraId="18DE38D1">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ascii="Times New Roman" w:hAnsi="Times New Roman" w:eastAsia="仿宋_GB2312" w:cs="Times New Roman"/>
          <w:b/>
          <w:kern w:val="0"/>
          <w:sz w:val="32"/>
          <w:szCs w:val="32"/>
          <w:lang w:bidi="ar"/>
        </w:rPr>
      </w:pPr>
      <w:r>
        <w:rPr>
          <w:rFonts w:ascii="Times New Roman" w:hAnsi="Times New Roman" w:eastAsia="仿宋_GB2312" w:cs="Times New Roman"/>
          <w:b/>
          <w:kern w:val="0"/>
          <w:sz w:val="32"/>
          <w:szCs w:val="32"/>
          <w:lang w:bidi="ar"/>
        </w:rPr>
        <w:t>1.</w:t>
      </w:r>
      <w:r>
        <w:rPr>
          <w:rFonts w:hint="eastAsia" w:ascii="Times New Roman" w:hAnsi="Times New Roman" w:eastAsia="仿宋_GB2312" w:cs="Times New Roman"/>
          <w:b/>
          <w:kern w:val="0"/>
          <w:sz w:val="32"/>
          <w:szCs w:val="32"/>
          <w:lang w:bidi="ar"/>
        </w:rPr>
        <w:t>预算编制不精准，</w:t>
      </w:r>
      <w:r>
        <w:rPr>
          <w:rFonts w:ascii="Times New Roman" w:hAnsi="Times New Roman" w:eastAsia="仿宋_GB2312" w:cs="Times New Roman"/>
          <w:b/>
          <w:kern w:val="0"/>
          <w:sz w:val="32"/>
          <w:szCs w:val="32"/>
          <w:lang w:bidi="ar"/>
        </w:rPr>
        <w:t>项目支出预算调整率过高</w:t>
      </w:r>
    </w:p>
    <w:p w14:paraId="20366A8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喀什市市场监督管理局2025年年初部门预算批复预算金额为3375.76万元，其中，基本支出年初预算3208.25万元，项目支出年初预算167.51万元，调整后全年预算数为3350.24万元，其中，基本支出全年预算数3067.98万元，项目支出全年预算数282.26万元，部门总体预算调整率为0.76%，基本支出预算调整率为4.37%，项目支出预算调整率为68.5%，项目支出单项预算调整率过高，预算调整的主要原因：一是需求测算不精准，年初安排2025年日常专项业务项目资金122.88万元，年中因工作未开展追减15.17万元，资金安排与实际业务脱节；二是专项工作预判不足，驻村及第一书记为民办实事项目共计80万元刚性</w:t>
      </w:r>
      <w:r>
        <w:rPr>
          <w:rFonts w:hint="eastAsia" w:eastAsia="仿宋_GB2312" w:cs="Times New Roman"/>
          <w:bCs/>
          <w:kern w:val="0"/>
          <w:sz w:val="32"/>
          <w:szCs w:val="32"/>
          <w:lang w:val="en-US" w:eastAsia="zh-CN" w:bidi="ar"/>
        </w:rPr>
        <w:t>支出</w:t>
      </w:r>
      <w:r>
        <w:rPr>
          <w:rFonts w:hint="eastAsia" w:ascii="Times New Roman" w:hAnsi="Times New Roman" w:eastAsia="仿宋_GB2312" w:cs="Times New Roman"/>
          <w:bCs/>
          <w:kern w:val="0"/>
          <w:sz w:val="32"/>
          <w:szCs w:val="32"/>
          <w:lang w:bidi="ar"/>
        </w:rPr>
        <w:t>未纳入年初预算，均为年中追加；三是历史欠款统筹不到位，历年欠款化解、酒店住宿欠款共计54.85万元清偿资金未提前谋划，全部</w:t>
      </w:r>
      <w:r>
        <w:rPr>
          <w:rFonts w:hint="eastAsia" w:eastAsia="仿宋_GB2312" w:cs="Times New Roman"/>
          <w:bCs/>
          <w:kern w:val="0"/>
          <w:sz w:val="32"/>
          <w:szCs w:val="32"/>
          <w:lang w:val="en-US" w:eastAsia="zh-CN" w:bidi="ar"/>
        </w:rPr>
        <w:t>为</w:t>
      </w:r>
      <w:r>
        <w:rPr>
          <w:rFonts w:hint="eastAsia" w:ascii="Times New Roman" w:hAnsi="Times New Roman" w:eastAsia="仿宋_GB2312" w:cs="Times New Roman"/>
          <w:bCs/>
          <w:kern w:val="0"/>
          <w:sz w:val="32"/>
          <w:szCs w:val="32"/>
          <w:lang w:bidi="ar"/>
        </w:rPr>
        <w:t>年中追加</w:t>
      </w:r>
      <w:r>
        <w:rPr>
          <w:rFonts w:hint="eastAsia" w:eastAsia="仿宋_GB2312" w:cs="Times New Roman"/>
          <w:bCs/>
          <w:kern w:val="0"/>
          <w:sz w:val="32"/>
          <w:szCs w:val="32"/>
          <w:lang w:val="en-US" w:eastAsia="zh-CN" w:bidi="ar"/>
        </w:rPr>
        <w:t>资金</w:t>
      </w:r>
      <w:r>
        <w:rPr>
          <w:rFonts w:hint="eastAsia" w:ascii="Times New Roman" w:hAnsi="Times New Roman" w:eastAsia="仿宋_GB2312" w:cs="Times New Roman"/>
          <w:bCs/>
          <w:kern w:val="0"/>
          <w:sz w:val="32"/>
          <w:szCs w:val="32"/>
          <w:lang w:bidi="ar"/>
        </w:rPr>
        <w:t>。</w:t>
      </w:r>
    </w:p>
    <w:p w14:paraId="62A11375">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ascii="Times New Roman" w:hAnsi="Times New Roman" w:eastAsia="仿宋_GB2312" w:cs="Times New Roman"/>
          <w:b/>
          <w:kern w:val="0"/>
          <w:sz w:val="32"/>
          <w:szCs w:val="32"/>
          <w:lang w:bidi="ar"/>
        </w:rPr>
      </w:pPr>
      <w:r>
        <w:rPr>
          <w:rFonts w:hint="eastAsia" w:ascii="Times New Roman" w:hAnsi="Times New Roman" w:eastAsia="仿宋_GB2312" w:cs="Times New Roman"/>
          <w:b/>
          <w:kern w:val="0"/>
          <w:sz w:val="32"/>
          <w:szCs w:val="32"/>
          <w:lang w:bidi="ar"/>
        </w:rPr>
        <w:t>2</w:t>
      </w:r>
      <w:r>
        <w:rPr>
          <w:rFonts w:ascii="Times New Roman" w:hAnsi="Times New Roman" w:eastAsia="仿宋_GB2312" w:cs="Times New Roman"/>
          <w:b/>
          <w:kern w:val="0"/>
          <w:sz w:val="32"/>
          <w:szCs w:val="32"/>
          <w:lang w:bidi="ar"/>
        </w:rPr>
        <w:t>.消费维权体系仍有</w:t>
      </w:r>
      <w:r>
        <w:rPr>
          <w:rFonts w:hint="eastAsia" w:ascii="Times New Roman" w:hAnsi="Times New Roman" w:eastAsia="仿宋_GB2312" w:cs="Times New Roman"/>
          <w:b/>
          <w:kern w:val="0"/>
          <w:sz w:val="32"/>
          <w:szCs w:val="32"/>
          <w:lang w:bidi="ar"/>
        </w:rPr>
        <w:t>薄弱环节</w:t>
      </w:r>
      <w:r>
        <w:rPr>
          <w:rFonts w:ascii="Times New Roman" w:hAnsi="Times New Roman" w:eastAsia="仿宋_GB2312" w:cs="Times New Roman"/>
          <w:b/>
          <w:kern w:val="0"/>
          <w:sz w:val="32"/>
          <w:szCs w:val="32"/>
          <w:lang w:bidi="ar"/>
        </w:rPr>
        <w:t>，服务效能需</w:t>
      </w:r>
      <w:r>
        <w:rPr>
          <w:rFonts w:hint="eastAsia" w:ascii="Times New Roman" w:hAnsi="Times New Roman" w:eastAsia="仿宋_GB2312" w:cs="Times New Roman"/>
          <w:b/>
          <w:kern w:val="0"/>
          <w:sz w:val="32"/>
          <w:szCs w:val="32"/>
          <w:lang w:bidi="ar"/>
        </w:rPr>
        <w:t>提升</w:t>
      </w:r>
    </w:p>
    <w:p w14:paraId="5874509C">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2025年喀什市市场监督管理局消费者投诉举报办结率预期指标值为100%，截至</w:t>
      </w:r>
      <w:r>
        <w:rPr>
          <w:rFonts w:hint="eastAsia" w:eastAsia="仿宋_GB2312" w:cs="Times New Roman"/>
          <w:bCs/>
          <w:kern w:val="0"/>
          <w:sz w:val="32"/>
          <w:szCs w:val="32"/>
          <w:lang w:val="en-US" w:eastAsia="zh-CN" w:bidi="ar"/>
        </w:rPr>
        <w:t>2025年</w:t>
      </w:r>
      <w:r>
        <w:rPr>
          <w:rFonts w:hint="eastAsia" w:ascii="Times New Roman" w:hAnsi="Times New Roman" w:eastAsia="仿宋_GB2312" w:cs="Times New Roman"/>
          <w:bCs/>
          <w:kern w:val="0"/>
          <w:sz w:val="32"/>
          <w:szCs w:val="32"/>
          <w:lang w:bidi="ar"/>
        </w:rPr>
        <w:t>12月31日，全年共受理投诉举报80</w:t>
      </w:r>
      <w:r>
        <w:rPr>
          <w:rFonts w:hint="eastAsia" w:eastAsia="仿宋_GB2312" w:cs="Times New Roman"/>
          <w:bCs/>
          <w:kern w:val="0"/>
          <w:sz w:val="32"/>
          <w:szCs w:val="32"/>
          <w:lang w:val="en-US" w:eastAsia="zh-CN" w:bidi="ar"/>
        </w:rPr>
        <w:t>78</w:t>
      </w:r>
      <w:r>
        <w:rPr>
          <w:rFonts w:hint="eastAsia" w:ascii="Times New Roman" w:hAnsi="Times New Roman" w:eastAsia="仿宋_GB2312" w:cs="Times New Roman"/>
          <w:bCs/>
          <w:kern w:val="0"/>
          <w:sz w:val="32"/>
          <w:szCs w:val="32"/>
          <w:lang w:bidi="ar"/>
        </w:rPr>
        <w:t>件，已办结7797件，办结率为96.</w:t>
      </w:r>
      <w:r>
        <w:rPr>
          <w:rFonts w:hint="eastAsia" w:eastAsia="仿宋_GB2312" w:cs="Times New Roman"/>
          <w:bCs/>
          <w:kern w:val="0"/>
          <w:sz w:val="32"/>
          <w:szCs w:val="32"/>
          <w:lang w:val="en-US" w:eastAsia="zh-CN" w:bidi="ar"/>
        </w:rPr>
        <w:t>52</w:t>
      </w:r>
      <w:r>
        <w:rPr>
          <w:rFonts w:hint="eastAsia" w:ascii="Times New Roman" w:hAnsi="Times New Roman" w:eastAsia="仿宋_GB2312" w:cs="Times New Roman"/>
          <w:bCs/>
          <w:kern w:val="0"/>
          <w:sz w:val="32"/>
          <w:szCs w:val="32"/>
          <w:lang w:bidi="ar"/>
        </w:rPr>
        <w:t>%，消费者投诉举报办结率未达标，主要原因：一是目标值设定不够科学合理，未充分结合投诉举报处理的实际办结周期、业务办理规律等实际情况统筹考量；二是部分工作人员绩效工作意识薄弱，未能深刻认识到绩效目标设定对业务开展的导向、约束作用，对绩效编制工作重视程度不足，存在重业务推进、轻绩效谋划的问题；三是跨科室协作审批工作缺乏标准化、规范化的时限管理要求，各环节审批、流转节奏无统一标准，协作衔接效率偏低，直接导致消费者投诉举报整体平均办结时长超出规定办结期限，业务办理时效未达标。</w:t>
      </w:r>
    </w:p>
    <w:p w14:paraId="01455A1A">
      <w:pPr>
        <w:pStyle w:val="13"/>
        <w:spacing w:after="0" w:line="560" w:lineRule="exact"/>
        <w:ind w:firstLine="643" w:firstLineChars="200"/>
        <w:contextualSpacing/>
        <w:rPr>
          <w:rFonts w:eastAsia="楷体"/>
          <w:b/>
          <w:bCs/>
          <w:sz w:val="32"/>
          <w:szCs w:val="32"/>
        </w:rPr>
      </w:pPr>
      <w:r>
        <w:rPr>
          <w:rFonts w:eastAsia="楷体"/>
          <w:b/>
          <w:bCs/>
          <w:sz w:val="32"/>
          <w:szCs w:val="32"/>
        </w:rPr>
        <w:t>（二）相关建议</w:t>
      </w:r>
    </w:p>
    <w:p w14:paraId="5C9E3A5C">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ascii="Times New Roman" w:hAnsi="Times New Roman" w:eastAsia="仿宋_GB2312" w:cs="Times New Roman"/>
          <w:b/>
          <w:kern w:val="0"/>
          <w:sz w:val="32"/>
          <w:szCs w:val="32"/>
          <w:lang w:bidi="ar"/>
        </w:rPr>
      </w:pPr>
      <w:r>
        <w:rPr>
          <w:rFonts w:ascii="Times New Roman" w:hAnsi="Times New Roman" w:eastAsia="仿宋_GB2312" w:cs="Times New Roman"/>
          <w:b/>
          <w:kern w:val="0"/>
          <w:sz w:val="32"/>
          <w:szCs w:val="32"/>
          <w:lang w:bidi="ar"/>
        </w:rPr>
        <w:t>1.严控项目预算调整幅度，全面、科学、精准开展年度预算编制工作</w:t>
      </w:r>
    </w:p>
    <w:p w14:paraId="3D31CDF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对上级新增专项任务类（如驻村工作队经费80万元），应建立“年度初预判+动态储备”机制，每年年初主动对接上级主管部门，提前梳理驻村工作等常态化专项任务，将已知刚性任务纳入年初预算或建立项目储备库，减少年中大规模追加；对预算编制不准确类（如日常专项业务项目追减15.17万元），实施“业务科室编制+财务前置审核”双审制，要求各科室在申报项目预算时同步提交《项目实施方案》和《资金测算明细清单》，由财务部门逐项核实测算依据，避免高估虚报。同时建议建立“三个纳入”机制从源头减少预算偏差：将上级专项任务纳入年初预算，将历年欠款（化解欠款42.63万元、酒店住宿欠款12.22万元等刚性支出）纳入年初预算单独列项，将业务调整预期纳入预算编制时各科室同步提交的风险预判表。在预算编制精细化管理方面，应补齐四个薄弱环节：需求测算环节细化到具体工作内容和服务采购明细，避免“打包式”申报；前期论证环节要求项目申报前完成可行性论证并附测算依据佐证材料；协同编制环节建立业务科室与财务部门的联合编制机制；动态调整环节将年中调整原因记录归档，为次年预算编制提供经验参考。</w:t>
      </w:r>
    </w:p>
    <w:p w14:paraId="3AB83DCC">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ascii="Times New Roman" w:hAnsi="Times New Roman" w:eastAsia="仿宋_GB2312" w:cs="Times New Roman"/>
          <w:b/>
          <w:kern w:val="0"/>
          <w:sz w:val="32"/>
          <w:szCs w:val="32"/>
          <w:lang w:bidi="ar"/>
        </w:rPr>
      </w:pPr>
      <w:r>
        <w:rPr>
          <w:rFonts w:hint="eastAsia" w:ascii="Times New Roman" w:hAnsi="Times New Roman" w:eastAsia="仿宋_GB2312" w:cs="Times New Roman"/>
          <w:b/>
          <w:kern w:val="0"/>
          <w:sz w:val="32"/>
          <w:szCs w:val="32"/>
          <w:lang w:bidi="ar"/>
        </w:rPr>
        <w:t>2.</w:t>
      </w:r>
      <w:r>
        <w:rPr>
          <w:rFonts w:ascii="Times New Roman" w:hAnsi="Times New Roman" w:eastAsia="仿宋_GB2312" w:cs="Times New Roman"/>
          <w:b/>
          <w:kern w:val="0"/>
          <w:sz w:val="32"/>
          <w:szCs w:val="32"/>
          <w:lang w:bidi="ar"/>
        </w:rPr>
        <w:t>优化消费投诉处置流程</w:t>
      </w:r>
      <w:r>
        <w:rPr>
          <w:rFonts w:hint="eastAsia" w:ascii="Times New Roman" w:hAnsi="Times New Roman" w:eastAsia="仿宋_GB2312" w:cs="Times New Roman"/>
          <w:b/>
          <w:kern w:val="0"/>
          <w:sz w:val="32"/>
          <w:szCs w:val="32"/>
          <w:lang w:bidi="ar"/>
        </w:rPr>
        <w:t>，</w:t>
      </w:r>
      <w:r>
        <w:rPr>
          <w:rFonts w:ascii="Times New Roman" w:hAnsi="Times New Roman" w:eastAsia="仿宋_GB2312" w:cs="Times New Roman"/>
          <w:b/>
          <w:kern w:val="0"/>
          <w:sz w:val="32"/>
          <w:szCs w:val="32"/>
          <w:lang w:bidi="ar"/>
        </w:rPr>
        <w:t>强化人员业务能力及完善绩效指标</w:t>
      </w:r>
    </w:p>
    <w:p w14:paraId="4927A19C">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建议一方面完善消费投诉全流程管理，统一制定投诉受理录入标准，安排专人开展信息初审校验，同步搭建简易投诉快速处置通道，精简审批流转环节压缩办理时长，在监管平台增设案件时限红黄预警与逐级督办机制，杜绝投诉积压、超期办结问题；另一方面常态化开展全员业务培训，重点强化工作人员法律运用、纠纷调解、群众沟通实操能力，提升投诉处置专业水平；同时优化绩效指标设置，搭建职能、绩效指标、预算三者联动匹配机制，并结合投诉举报数据定期复盘指标落地成效，动态调整工作举措，从源头提升目标设定科学性与履职匹配度。</w:t>
      </w:r>
    </w:p>
    <w:p w14:paraId="106FCA19">
      <w:pPr>
        <w:spacing w:line="560" w:lineRule="exact"/>
        <w:ind w:firstLine="803" w:firstLineChars="200"/>
        <w:jc w:val="center"/>
        <w:rPr>
          <w:rFonts w:eastAsia="方正小标宋_GBK"/>
          <w:b/>
          <w:bCs/>
          <w:sz w:val="40"/>
          <w:szCs w:val="40"/>
        </w:rPr>
        <w:sectPr>
          <w:headerReference r:id="rId8" w:type="first"/>
          <w:headerReference r:id="rId7" w:type="default"/>
          <w:pgSz w:w="11906" w:h="16838"/>
          <w:pgMar w:top="1985" w:right="1531" w:bottom="1701" w:left="1531" w:header="850" w:footer="992" w:gutter="0"/>
          <w:pgBorders>
            <w:top w:val="none" w:sz="0" w:space="0"/>
            <w:left w:val="none" w:sz="0" w:space="0"/>
            <w:bottom w:val="none" w:sz="0" w:space="0"/>
            <w:right w:val="none" w:sz="0" w:space="0"/>
          </w:pgBorders>
          <w:pgNumType w:start="1"/>
          <w:cols w:space="720" w:num="1"/>
          <w:docGrid w:linePitch="312" w:charSpace="0"/>
        </w:sectPr>
      </w:pPr>
    </w:p>
    <w:p w14:paraId="4FA99847">
      <w:pPr>
        <w:pStyle w:val="62"/>
        <w:tabs>
          <w:tab w:val="right" w:leader="dot" w:pos="8296"/>
          <w:tab w:val="right" w:leader="dot" w:pos="8834"/>
        </w:tabs>
        <w:spacing w:line="360" w:lineRule="auto"/>
        <w:ind w:firstLine="883" w:firstLineChars="200"/>
        <w:contextualSpacing/>
        <w:jc w:val="center"/>
        <w:rPr>
          <w:rFonts w:ascii="黑体" w:hAnsi="黑体" w:eastAsia="黑体" w:cs="Times New Roman"/>
          <w:kern w:val="2"/>
          <w:sz w:val="44"/>
          <w:szCs w:val="44"/>
          <w:lang w:val="en-US" w:eastAsia="zh-CN" w:bidi="ar-SA"/>
        </w:rPr>
      </w:pPr>
      <w:r>
        <w:rPr>
          <w:rFonts w:hint="eastAsia" w:ascii="黑体" w:hAnsi="黑体" w:eastAsia="黑体"/>
          <w:b/>
          <w:bCs/>
          <w:sz w:val="44"/>
          <w:szCs w:val="44"/>
        </w:rPr>
        <w:t>目 录</w:t>
      </w:r>
      <w:r>
        <w:rPr>
          <w:rFonts w:ascii="黑体" w:hAnsi="黑体" w:eastAsia="黑体"/>
          <w:sz w:val="44"/>
          <w:szCs w:val="44"/>
        </w:rPr>
        <w:fldChar w:fldCharType="begin"/>
      </w:r>
      <w:r>
        <w:rPr>
          <w:rFonts w:ascii="黑体" w:hAnsi="黑体" w:eastAsia="黑体"/>
          <w:sz w:val="44"/>
          <w:szCs w:val="44"/>
        </w:rPr>
        <w:instrText xml:space="preserve"> TOC \o "1-3" \h \z \u </w:instrText>
      </w:r>
      <w:r>
        <w:rPr>
          <w:rFonts w:ascii="黑体" w:hAnsi="黑体" w:eastAsia="黑体"/>
          <w:sz w:val="44"/>
          <w:szCs w:val="44"/>
        </w:rPr>
        <w:fldChar w:fldCharType="separate"/>
      </w:r>
    </w:p>
    <w:p w14:paraId="0C4A6A92">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_Toc13603 </w:instrText>
      </w:r>
      <w:r>
        <w:rPr>
          <w:rFonts w:ascii="Times New Roman" w:hAnsi="Times New Roman" w:eastAsia="仿宋_GB2312"/>
          <w:sz w:val="32"/>
          <w:szCs w:val="44"/>
        </w:rPr>
        <w:fldChar w:fldCharType="separate"/>
      </w:r>
      <w:r>
        <w:rPr>
          <w:rFonts w:ascii="Times New Roman" w:hAnsi="Times New Roman" w:eastAsia="仿宋_GB2312"/>
          <w:sz w:val="32"/>
        </w:rPr>
        <w:t>一、基本情况</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_Toc13603 \h </w:instrText>
      </w:r>
      <w:r>
        <w:rPr>
          <w:rFonts w:ascii="Times New Roman" w:hAnsi="Times New Roman" w:eastAsia="仿宋_GB2312"/>
          <w:sz w:val="32"/>
        </w:rPr>
        <w:fldChar w:fldCharType="separate"/>
      </w:r>
      <w:r>
        <w:rPr>
          <w:rFonts w:ascii="Times New Roman" w:hAnsi="Times New Roman" w:eastAsia="仿宋_GB2312"/>
          <w:sz w:val="32"/>
        </w:rPr>
        <w:t>1</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2FCB5AE4">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_Toc1400 </w:instrText>
      </w:r>
      <w:r>
        <w:rPr>
          <w:rFonts w:ascii="Times New Roman" w:hAnsi="Times New Roman" w:eastAsia="仿宋_GB2312"/>
          <w:sz w:val="32"/>
          <w:szCs w:val="44"/>
        </w:rPr>
        <w:fldChar w:fldCharType="separate"/>
      </w:r>
      <w:r>
        <w:rPr>
          <w:rFonts w:ascii="Times New Roman" w:hAnsi="Times New Roman" w:eastAsia="仿宋_GB2312"/>
          <w:sz w:val="32"/>
        </w:rPr>
        <w:t>（一）单位概况</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_Toc1400 \h </w:instrText>
      </w:r>
      <w:r>
        <w:rPr>
          <w:rFonts w:ascii="Times New Roman" w:hAnsi="Times New Roman" w:eastAsia="仿宋_GB2312"/>
          <w:sz w:val="32"/>
        </w:rPr>
        <w:fldChar w:fldCharType="separate"/>
      </w:r>
      <w:r>
        <w:rPr>
          <w:rFonts w:ascii="Times New Roman" w:hAnsi="Times New Roman" w:eastAsia="仿宋_GB2312"/>
          <w:sz w:val="32"/>
        </w:rPr>
        <w:t>1</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7D2AB38C">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_Toc10794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（二）部门资金投入和使用情况</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_Toc10794 \h </w:instrText>
      </w:r>
      <w:r>
        <w:rPr>
          <w:rFonts w:ascii="Times New Roman" w:hAnsi="Times New Roman" w:eastAsia="仿宋_GB2312"/>
          <w:sz w:val="32"/>
        </w:rPr>
        <w:fldChar w:fldCharType="separate"/>
      </w:r>
      <w:r>
        <w:rPr>
          <w:rFonts w:ascii="Times New Roman" w:hAnsi="Times New Roman" w:eastAsia="仿宋_GB2312"/>
          <w:sz w:val="32"/>
        </w:rPr>
        <w:t>5</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52AD9BBF">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_Toc31855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w:t>
      </w:r>
      <w:r>
        <w:rPr>
          <w:rFonts w:hint="eastAsia" w:ascii="Times New Roman" w:hAnsi="Times New Roman" w:eastAsia="仿宋_GB2312" w:cs="Times New Roman"/>
          <w:sz w:val="32"/>
        </w:rPr>
        <w:t>三</w:t>
      </w:r>
      <w:r>
        <w:rPr>
          <w:rFonts w:ascii="Times New Roman" w:hAnsi="Times New Roman" w:eastAsia="仿宋_GB2312" w:cs="Times New Roman"/>
          <w:sz w:val="32"/>
        </w:rPr>
        <w:t>）</w:t>
      </w:r>
      <w:r>
        <w:rPr>
          <w:rFonts w:hint="eastAsia" w:ascii="Times New Roman" w:hAnsi="Times New Roman" w:eastAsia="仿宋_GB2312" w:cs="Times New Roman"/>
          <w:sz w:val="32"/>
        </w:rPr>
        <w:t>部门资产情况</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_Toc31855 \h </w:instrText>
      </w:r>
      <w:r>
        <w:rPr>
          <w:rFonts w:ascii="Times New Roman" w:hAnsi="Times New Roman" w:eastAsia="仿宋_GB2312"/>
          <w:sz w:val="32"/>
        </w:rPr>
        <w:fldChar w:fldCharType="separate"/>
      </w:r>
      <w:r>
        <w:rPr>
          <w:rFonts w:ascii="Times New Roman" w:hAnsi="Times New Roman" w:eastAsia="仿宋_GB2312"/>
          <w:sz w:val="32"/>
        </w:rPr>
        <w:t>6</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71737FC6">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_Toc63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（四）部门年度重点工作任务</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_Toc63 \h </w:instrText>
      </w:r>
      <w:r>
        <w:rPr>
          <w:rFonts w:ascii="Times New Roman" w:hAnsi="Times New Roman" w:eastAsia="仿宋_GB2312"/>
          <w:sz w:val="32"/>
        </w:rPr>
        <w:fldChar w:fldCharType="separate"/>
      </w:r>
      <w:r>
        <w:rPr>
          <w:rFonts w:ascii="Times New Roman" w:hAnsi="Times New Roman" w:eastAsia="仿宋_GB2312"/>
          <w:sz w:val="32"/>
        </w:rPr>
        <w:t>8</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01AA63D6">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_Toc4579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（五）部门年度绩效目标</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_Toc4579 \h </w:instrText>
      </w:r>
      <w:r>
        <w:rPr>
          <w:rFonts w:ascii="Times New Roman" w:hAnsi="Times New Roman" w:eastAsia="仿宋_GB2312"/>
          <w:sz w:val="32"/>
        </w:rPr>
        <w:fldChar w:fldCharType="separate"/>
      </w:r>
      <w:r>
        <w:rPr>
          <w:rFonts w:ascii="Times New Roman" w:hAnsi="Times New Roman" w:eastAsia="仿宋_GB2312"/>
          <w:sz w:val="32"/>
        </w:rPr>
        <w:t>8</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7AD49FA9">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_Toc7914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（六）绩效自评情况及结论</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_Toc7914 \h </w:instrText>
      </w:r>
      <w:r>
        <w:rPr>
          <w:rFonts w:ascii="Times New Roman" w:hAnsi="Times New Roman" w:eastAsia="仿宋_GB2312"/>
          <w:sz w:val="32"/>
        </w:rPr>
        <w:fldChar w:fldCharType="separate"/>
      </w:r>
      <w:r>
        <w:rPr>
          <w:rFonts w:ascii="Times New Roman" w:hAnsi="Times New Roman" w:eastAsia="仿宋_GB2312"/>
          <w:sz w:val="32"/>
        </w:rPr>
        <w:t>10</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1AF50A56">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_Toc9838 </w:instrText>
      </w:r>
      <w:r>
        <w:rPr>
          <w:rFonts w:ascii="Times New Roman" w:hAnsi="Times New Roman" w:eastAsia="仿宋_GB2312"/>
          <w:sz w:val="32"/>
          <w:szCs w:val="44"/>
        </w:rPr>
        <w:fldChar w:fldCharType="separate"/>
      </w:r>
      <w:r>
        <w:rPr>
          <w:rFonts w:ascii="Times New Roman" w:hAnsi="Times New Roman" w:eastAsia="仿宋_GB2312"/>
          <w:sz w:val="32"/>
        </w:rPr>
        <w:t>二、绩效评价组织情况</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_Toc9838 \h </w:instrText>
      </w:r>
      <w:r>
        <w:rPr>
          <w:rFonts w:ascii="Times New Roman" w:hAnsi="Times New Roman" w:eastAsia="仿宋_GB2312"/>
          <w:sz w:val="32"/>
        </w:rPr>
        <w:fldChar w:fldCharType="separate"/>
      </w:r>
      <w:r>
        <w:rPr>
          <w:rFonts w:ascii="Times New Roman" w:hAnsi="Times New Roman" w:eastAsia="仿宋_GB2312"/>
          <w:sz w:val="32"/>
        </w:rPr>
        <w:t>11</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510D29E4">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_Toc26312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（一）绩效评价目的</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_Toc26312 \h </w:instrText>
      </w:r>
      <w:r>
        <w:rPr>
          <w:rFonts w:ascii="Times New Roman" w:hAnsi="Times New Roman" w:eastAsia="仿宋_GB2312"/>
          <w:sz w:val="32"/>
        </w:rPr>
        <w:fldChar w:fldCharType="separate"/>
      </w:r>
      <w:r>
        <w:rPr>
          <w:rFonts w:ascii="Times New Roman" w:hAnsi="Times New Roman" w:eastAsia="仿宋_GB2312"/>
          <w:sz w:val="32"/>
        </w:rPr>
        <w:t>11</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2A91E3EC">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_Toc14585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（二）绩效评价对象、评价范围和评价时段</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_Toc14585 \h </w:instrText>
      </w:r>
      <w:r>
        <w:rPr>
          <w:rFonts w:ascii="Times New Roman" w:hAnsi="Times New Roman" w:eastAsia="仿宋_GB2312"/>
          <w:sz w:val="32"/>
        </w:rPr>
        <w:fldChar w:fldCharType="separate"/>
      </w:r>
      <w:r>
        <w:rPr>
          <w:rFonts w:ascii="Times New Roman" w:hAnsi="Times New Roman" w:eastAsia="仿宋_GB2312"/>
          <w:sz w:val="32"/>
        </w:rPr>
        <w:t>12</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3BAE534F">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_Toc213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（三）绩效评价原则</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_Toc213 \h </w:instrText>
      </w:r>
      <w:r>
        <w:rPr>
          <w:rFonts w:ascii="Times New Roman" w:hAnsi="Times New Roman" w:eastAsia="仿宋_GB2312"/>
          <w:sz w:val="32"/>
        </w:rPr>
        <w:fldChar w:fldCharType="separate"/>
      </w:r>
      <w:r>
        <w:rPr>
          <w:rFonts w:ascii="Times New Roman" w:hAnsi="Times New Roman" w:eastAsia="仿宋_GB2312"/>
          <w:sz w:val="32"/>
        </w:rPr>
        <w:t>12</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0D7C01C4">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_Toc17765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（四）绩效评价依据</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_Toc17765 \h </w:instrText>
      </w:r>
      <w:r>
        <w:rPr>
          <w:rFonts w:ascii="Times New Roman" w:hAnsi="Times New Roman" w:eastAsia="仿宋_GB2312"/>
          <w:sz w:val="32"/>
        </w:rPr>
        <w:fldChar w:fldCharType="separate"/>
      </w:r>
      <w:r>
        <w:rPr>
          <w:rFonts w:ascii="Times New Roman" w:hAnsi="Times New Roman" w:eastAsia="仿宋_GB2312"/>
          <w:sz w:val="32"/>
        </w:rPr>
        <w:t>13</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23DF172B">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_Toc23804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（五）绩效评价指标体系及标准</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_Toc23804 \h </w:instrText>
      </w:r>
      <w:r>
        <w:rPr>
          <w:rFonts w:ascii="Times New Roman" w:hAnsi="Times New Roman" w:eastAsia="仿宋_GB2312"/>
          <w:sz w:val="32"/>
        </w:rPr>
        <w:fldChar w:fldCharType="separate"/>
      </w:r>
      <w:r>
        <w:rPr>
          <w:rFonts w:ascii="Times New Roman" w:hAnsi="Times New Roman" w:eastAsia="仿宋_GB2312"/>
          <w:sz w:val="32"/>
        </w:rPr>
        <w:t>14</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3533D143">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_Toc31055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（六）绩效评价方法</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_Toc31055 \h </w:instrText>
      </w:r>
      <w:r>
        <w:rPr>
          <w:rFonts w:ascii="Times New Roman" w:hAnsi="Times New Roman" w:eastAsia="仿宋_GB2312"/>
          <w:sz w:val="32"/>
        </w:rPr>
        <w:fldChar w:fldCharType="separate"/>
      </w:r>
      <w:r>
        <w:rPr>
          <w:rFonts w:ascii="Times New Roman" w:hAnsi="Times New Roman" w:eastAsia="仿宋_GB2312"/>
          <w:sz w:val="32"/>
        </w:rPr>
        <w:t>15</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5B32A46D">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_Toc574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（七）抽样调查情况</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_Toc574 \h </w:instrText>
      </w:r>
      <w:r>
        <w:rPr>
          <w:rFonts w:ascii="Times New Roman" w:hAnsi="Times New Roman" w:eastAsia="仿宋_GB2312"/>
          <w:sz w:val="32"/>
        </w:rPr>
        <w:fldChar w:fldCharType="separate"/>
      </w:r>
      <w:r>
        <w:rPr>
          <w:rFonts w:ascii="Times New Roman" w:hAnsi="Times New Roman" w:eastAsia="仿宋_GB2312"/>
          <w:sz w:val="32"/>
        </w:rPr>
        <w:t>16</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1F290A52">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_Toc30764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（八）绩效评价工作过程</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_Toc30764 \h </w:instrText>
      </w:r>
      <w:r>
        <w:rPr>
          <w:rFonts w:ascii="Times New Roman" w:hAnsi="Times New Roman" w:eastAsia="仿宋_GB2312"/>
          <w:sz w:val="32"/>
        </w:rPr>
        <w:fldChar w:fldCharType="separate"/>
      </w:r>
      <w:r>
        <w:rPr>
          <w:rFonts w:ascii="Times New Roman" w:hAnsi="Times New Roman" w:eastAsia="仿宋_GB2312"/>
          <w:sz w:val="32"/>
        </w:rPr>
        <w:t>16</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7CE4F12B">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_Toc9448 </w:instrText>
      </w:r>
      <w:r>
        <w:rPr>
          <w:rFonts w:ascii="Times New Roman" w:hAnsi="Times New Roman" w:eastAsia="仿宋_GB2312"/>
          <w:sz w:val="32"/>
          <w:szCs w:val="44"/>
        </w:rPr>
        <w:fldChar w:fldCharType="separate"/>
      </w:r>
      <w:r>
        <w:rPr>
          <w:rFonts w:ascii="Times New Roman" w:hAnsi="Times New Roman" w:eastAsia="仿宋_GB2312"/>
          <w:sz w:val="32"/>
        </w:rPr>
        <w:t>三、绩效评价综合情况及结论</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_Toc9448 \h </w:instrText>
      </w:r>
      <w:r>
        <w:rPr>
          <w:rFonts w:ascii="Times New Roman" w:hAnsi="Times New Roman" w:eastAsia="仿宋_GB2312"/>
          <w:sz w:val="32"/>
        </w:rPr>
        <w:fldChar w:fldCharType="separate"/>
      </w:r>
      <w:r>
        <w:rPr>
          <w:rFonts w:ascii="Times New Roman" w:hAnsi="Times New Roman" w:eastAsia="仿宋_GB2312"/>
          <w:sz w:val="32"/>
        </w:rPr>
        <w:t>18</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2B3615D6">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_Toc28943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（一）绩效评价综合结论</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_Toc28943 \h </w:instrText>
      </w:r>
      <w:r>
        <w:rPr>
          <w:rFonts w:ascii="Times New Roman" w:hAnsi="Times New Roman" w:eastAsia="仿宋_GB2312"/>
          <w:sz w:val="32"/>
        </w:rPr>
        <w:fldChar w:fldCharType="separate"/>
      </w:r>
      <w:r>
        <w:rPr>
          <w:rFonts w:ascii="Times New Roman" w:hAnsi="Times New Roman" w:eastAsia="仿宋_GB2312"/>
          <w:sz w:val="32"/>
        </w:rPr>
        <w:t>18</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7C911940">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_Toc23480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（二）绩效目标实现情况</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_Toc23480 \h </w:instrText>
      </w:r>
      <w:r>
        <w:rPr>
          <w:rFonts w:ascii="Times New Roman" w:hAnsi="Times New Roman" w:eastAsia="仿宋_GB2312"/>
          <w:sz w:val="32"/>
        </w:rPr>
        <w:fldChar w:fldCharType="separate"/>
      </w:r>
      <w:r>
        <w:rPr>
          <w:rFonts w:ascii="Times New Roman" w:hAnsi="Times New Roman" w:eastAsia="仿宋_GB2312"/>
          <w:sz w:val="32"/>
        </w:rPr>
        <w:t>20</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25EF04E7">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_Toc7127 </w:instrText>
      </w:r>
      <w:r>
        <w:rPr>
          <w:rFonts w:ascii="Times New Roman" w:hAnsi="Times New Roman" w:eastAsia="仿宋_GB2312"/>
          <w:sz w:val="32"/>
          <w:szCs w:val="44"/>
        </w:rPr>
        <w:fldChar w:fldCharType="separate"/>
      </w:r>
      <w:r>
        <w:rPr>
          <w:rFonts w:ascii="Times New Roman" w:hAnsi="Times New Roman" w:eastAsia="仿宋_GB2312"/>
          <w:sz w:val="32"/>
        </w:rPr>
        <w:t>四、绩效评价情况分析</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_Toc7127 \h </w:instrText>
      </w:r>
      <w:r>
        <w:rPr>
          <w:rFonts w:ascii="Times New Roman" w:hAnsi="Times New Roman" w:eastAsia="仿宋_GB2312"/>
          <w:sz w:val="32"/>
        </w:rPr>
        <w:fldChar w:fldCharType="separate"/>
      </w:r>
      <w:r>
        <w:rPr>
          <w:rFonts w:ascii="Times New Roman" w:hAnsi="Times New Roman" w:eastAsia="仿宋_GB2312"/>
          <w:sz w:val="32"/>
        </w:rPr>
        <w:t>20</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09F23D7F">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_Toc21211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（一）部门决策情况（分值15分，得分15分）</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_Toc21211 \h </w:instrText>
      </w:r>
      <w:r>
        <w:rPr>
          <w:rFonts w:ascii="Times New Roman" w:hAnsi="Times New Roman" w:eastAsia="仿宋_GB2312"/>
          <w:sz w:val="32"/>
        </w:rPr>
        <w:fldChar w:fldCharType="separate"/>
      </w:r>
      <w:r>
        <w:rPr>
          <w:rFonts w:ascii="Times New Roman" w:hAnsi="Times New Roman" w:eastAsia="仿宋_GB2312"/>
          <w:sz w:val="32"/>
        </w:rPr>
        <w:t>21</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1270ED99">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_Toc8346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（二）部门管理情况（分值35分，得分33分）</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_Toc8346 \h </w:instrText>
      </w:r>
      <w:r>
        <w:rPr>
          <w:rFonts w:ascii="Times New Roman" w:hAnsi="Times New Roman" w:eastAsia="仿宋_GB2312"/>
          <w:sz w:val="32"/>
        </w:rPr>
        <w:fldChar w:fldCharType="separate"/>
      </w:r>
      <w:r>
        <w:rPr>
          <w:rFonts w:ascii="Times New Roman" w:hAnsi="Times New Roman" w:eastAsia="仿宋_GB2312"/>
          <w:sz w:val="32"/>
        </w:rPr>
        <w:t>24</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6FC256CC">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_Toc5163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（三）部门绩效情况（分值50分，得分48.83分）</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_Toc5163 \h </w:instrText>
      </w:r>
      <w:r>
        <w:rPr>
          <w:rFonts w:ascii="Times New Roman" w:hAnsi="Times New Roman" w:eastAsia="仿宋_GB2312"/>
          <w:sz w:val="32"/>
        </w:rPr>
        <w:fldChar w:fldCharType="separate"/>
      </w:r>
      <w:r>
        <w:rPr>
          <w:rFonts w:ascii="Times New Roman" w:hAnsi="Times New Roman" w:eastAsia="仿宋_GB2312"/>
          <w:sz w:val="32"/>
        </w:rPr>
        <w:t>30</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2B7011E7">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_Toc17279 </w:instrText>
      </w:r>
      <w:r>
        <w:rPr>
          <w:rFonts w:ascii="Times New Roman" w:hAnsi="Times New Roman" w:eastAsia="仿宋_GB2312"/>
          <w:sz w:val="32"/>
          <w:szCs w:val="44"/>
        </w:rPr>
        <w:fldChar w:fldCharType="separate"/>
      </w:r>
      <w:r>
        <w:rPr>
          <w:rFonts w:ascii="Times New Roman" w:hAnsi="Times New Roman" w:eastAsia="仿宋_GB2312"/>
          <w:sz w:val="32"/>
        </w:rPr>
        <w:t>五、主要经验及做法、存在的问题及原因分析</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_Toc17279 \h </w:instrText>
      </w:r>
      <w:r>
        <w:rPr>
          <w:rFonts w:ascii="Times New Roman" w:hAnsi="Times New Roman" w:eastAsia="仿宋_GB2312"/>
          <w:sz w:val="32"/>
        </w:rPr>
        <w:fldChar w:fldCharType="separate"/>
      </w:r>
      <w:r>
        <w:rPr>
          <w:rFonts w:ascii="Times New Roman" w:hAnsi="Times New Roman" w:eastAsia="仿宋_GB2312"/>
          <w:sz w:val="32"/>
        </w:rPr>
        <w:t>35</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4A9DF36B">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_Toc30234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（一）主要经验及做法</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_Toc30234 \h </w:instrText>
      </w:r>
      <w:r>
        <w:rPr>
          <w:rFonts w:ascii="Times New Roman" w:hAnsi="Times New Roman" w:eastAsia="仿宋_GB2312"/>
          <w:sz w:val="32"/>
        </w:rPr>
        <w:fldChar w:fldCharType="separate"/>
      </w:r>
      <w:r>
        <w:rPr>
          <w:rFonts w:ascii="Times New Roman" w:hAnsi="Times New Roman" w:eastAsia="仿宋_GB2312"/>
          <w:sz w:val="32"/>
        </w:rPr>
        <w:t>35</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551FF6A5">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_Toc16497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（二）存在的问题及原因分析</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_Toc16497 \h </w:instrText>
      </w:r>
      <w:r>
        <w:rPr>
          <w:rFonts w:ascii="Times New Roman" w:hAnsi="Times New Roman" w:eastAsia="仿宋_GB2312"/>
          <w:sz w:val="32"/>
        </w:rPr>
        <w:fldChar w:fldCharType="separate"/>
      </w:r>
      <w:r>
        <w:rPr>
          <w:rFonts w:ascii="Times New Roman" w:hAnsi="Times New Roman" w:eastAsia="仿宋_GB2312"/>
          <w:sz w:val="32"/>
        </w:rPr>
        <w:t>36</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14CC83E8">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_Toc3879 </w:instrText>
      </w:r>
      <w:r>
        <w:rPr>
          <w:rFonts w:ascii="Times New Roman" w:hAnsi="Times New Roman" w:eastAsia="仿宋_GB2312"/>
          <w:sz w:val="32"/>
          <w:szCs w:val="44"/>
        </w:rPr>
        <w:fldChar w:fldCharType="separate"/>
      </w:r>
      <w:r>
        <w:rPr>
          <w:rFonts w:hint="eastAsia" w:ascii="Times New Roman" w:hAnsi="Times New Roman" w:eastAsia="仿宋_GB2312"/>
          <w:sz w:val="32"/>
          <w:lang w:val="en-US" w:eastAsia="zh-CN"/>
        </w:rPr>
        <w:t>六、</w:t>
      </w:r>
      <w:r>
        <w:rPr>
          <w:rFonts w:ascii="Times New Roman" w:hAnsi="Times New Roman" w:eastAsia="仿宋_GB2312"/>
          <w:sz w:val="32"/>
        </w:rPr>
        <w:t>有关建议</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_Toc3879 \h </w:instrText>
      </w:r>
      <w:r>
        <w:rPr>
          <w:rFonts w:ascii="Times New Roman" w:hAnsi="Times New Roman" w:eastAsia="仿宋_GB2312"/>
          <w:sz w:val="32"/>
        </w:rPr>
        <w:fldChar w:fldCharType="separate"/>
      </w:r>
      <w:r>
        <w:rPr>
          <w:rFonts w:ascii="Times New Roman" w:hAnsi="Times New Roman" w:eastAsia="仿宋_GB2312"/>
          <w:sz w:val="32"/>
        </w:rPr>
        <w:t>37</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56F94FFE">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_Toc23878 </w:instrText>
      </w:r>
      <w:r>
        <w:rPr>
          <w:rFonts w:ascii="Times New Roman" w:hAnsi="Times New Roman" w:eastAsia="仿宋_GB2312"/>
          <w:sz w:val="32"/>
          <w:szCs w:val="44"/>
        </w:rPr>
        <w:fldChar w:fldCharType="separate"/>
      </w:r>
      <w:r>
        <w:rPr>
          <w:rFonts w:ascii="Times New Roman" w:hAnsi="Times New Roman" w:eastAsia="仿宋_GB2312"/>
          <w:sz w:val="32"/>
        </w:rPr>
        <w:t>七、绩效评价结果应用建议</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_Toc23878 \h </w:instrText>
      </w:r>
      <w:r>
        <w:rPr>
          <w:rFonts w:ascii="Times New Roman" w:hAnsi="Times New Roman" w:eastAsia="仿宋_GB2312"/>
          <w:sz w:val="32"/>
        </w:rPr>
        <w:fldChar w:fldCharType="separate"/>
      </w:r>
      <w:r>
        <w:rPr>
          <w:rFonts w:ascii="Times New Roman" w:hAnsi="Times New Roman" w:eastAsia="仿宋_GB2312"/>
          <w:sz w:val="32"/>
        </w:rPr>
        <w:t>39</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04EA4C8B">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_Toc14805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（一）绩效结果挂钩次年预算资金安排</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_Toc14805 \h </w:instrText>
      </w:r>
      <w:r>
        <w:rPr>
          <w:rFonts w:ascii="Times New Roman" w:hAnsi="Times New Roman" w:eastAsia="仿宋_GB2312"/>
          <w:sz w:val="32"/>
        </w:rPr>
        <w:fldChar w:fldCharType="separate"/>
      </w:r>
      <w:r>
        <w:rPr>
          <w:rFonts w:ascii="Times New Roman" w:hAnsi="Times New Roman" w:eastAsia="仿宋_GB2312"/>
          <w:sz w:val="32"/>
        </w:rPr>
        <w:t>39</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1338F1BD">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_Toc11861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（二）绩效结果挂钩整改措施</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_Toc11861 \h </w:instrText>
      </w:r>
      <w:r>
        <w:rPr>
          <w:rFonts w:ascii="Times New Roman" w:hAnsi="Times New Roman" w:eastAsia="仿宋_GB2312"/>
          <w:sz w:val="32"/>
        </w:rPr>
        <w:fldChar w:fldCharType="separate"/>
      </w:r>
      <w:r>
        <w:rPr>
          <w:rFonts w:ascii="Times New Roman" w:hAnsi="Times New Roman" w:eastAsia="仿宋_GB2312"/>
          <w:sz w:val="32"/>
        </w:rPr>
        <w:t>40</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1406BC98">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_Toc21881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（三）绩效结果挂钩报告公开</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_Toc21881 \h </w:instrText>
      </w:r>
      <w:r>
        <w:rPr>
          <w:rFonts w:ascii="Times New Roman" w:hAnsi="Times New Roman" w:eastAsia="仿宋_GB2312"/>
          <w:sz w:val="32"/>
        </w:rPr>
        <w:fldChar w:fldCharType="separate"/>
      </w:r>
      <w:r>
        <w:rPr>
          <w:rFonts w:ascii="Times New Roman" w:hAnsi="Times New Roman" w:eastAsia="仿宋_GB2312"/>
          <w:sz w:val="32"/>
        </w:rPr>
        <w:t>40</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7DD13C9F">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_Toc10389 </w:instrText>
      </w:r>
      <w:r>
        <w:rPr>
          <w:rFonts w:ascii="Times New Roman" w:hAnsi="Times New Roman" w:eastAsia="仿宋_GB2312"/>
          <w:sz w:val="32"/>
          <w:szCs w:val="44"/>
        </w:rPr>
        <w:fldChar w:fldCharType="separate"/>
      </w:r>
      <w:r>
        <w:rPr>
          <w:rFonts w:ascii="Times New Roman" w:hAnsi="Times New Roman" w:eastAsia="仿宋_GB2312"/>
          <w:sz w:val="32"/>
        </w:rPr>
        <w:t>八、其他需说明的问题</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_Toc10389 \h </w:instrText>
      </w:r>
      <w:r>
        <w:rPr>
          <w:rFonts w:ascii="Times New Roman" w:hAnsi="Times New Roman" w:eastAsia="仿宋_GB2312"/>
          <w:sz w:val="32"/>
        </w:rPr>
        <w:fldChar w:fldCharType="separate"/>
      </w:r>
      <w:r>
        <w:rPr>
          <w:rFonts w:ascii="Times New Roman" w:hAnsi="Times New Roman" w:eastAsia="仿宋_GB2312"/>
          <w:sz w:val="32"/>
        </w:rPr>
        <w:t>40</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4A368CCD">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_Toc4698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（一）关于评价责任的说明</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_Toc4698 \h </w:instrText>
      </w:r>
      <w:r>
        <w:rPr>
          <w:rFonts w:ascii="Times New Roman" w:hAnsi="Times New Roman" w:eastAsia="仿宋_GB2312"/>
          <w:sz w:val="32"/>
        </w:rPr>
        <w:fldChar w:fldCharType="separate"/>
      </w:r>
      <w:r>
        <w:rPr>
          <w:rFonts w:ascii="Times New Roman" w:hAnsi="Times New Roman" w:eastAsia="仿宋_GB2312"/>
          <w:sz w:val="32"/>
        </w:rPr>
        <w:t>40</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6BEAC6A4">
      <w:pPr>
        <w:pStyle w:val="21"/>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_Toc13741 </w:instrText>
      </w:r>
      <w:r>
        <w:rPr>
          <w:rFonts w:ascii="Times New Roman" w:hAnsi="Times New Roman" w:eastAsia="仿宋_GB2312"/>
          <w:sz w:val="32"/>
          <w:szCs w:val="44"/>
        </w:rPr>
        <w:fldChar w:fldCharType="separate"/>
      </w:r>
      <w:r>
        <w:rPr>
          <w:rFonts w:ascii="Times New Roman" w:hAnsi="Times New Roman" w:eastAsia="仿宋_GB2312" w:cs="Times New Roman"/>
          <w:sz w:val="32"/>
        </w:rPr>
        <w:t>（二）本次绩效评价的局限性</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_Toc13741 \h </w:instrText>
      </w:r>
      <w:r>
        <w:rPr>
          <w:rFonts w:ascii="Times New Roman" w:hAnsi="Times New Roman" w:eastAsia="仿宋_GB2312"/>
          <w:sz w:val="32"/>
        </w:rPr>
        <w:fldChar w:fldCharType="separate"/>
      </w:r>
      <w:r>
        <w:rPr>
          <w:rFonts w:ascii="Times New Roman" w:hAnsi="Times New Roman" w:eastAsia="仿宋_GB2312"/>
          <w:sz w:val="32"/>
        </w:rPr>
        <w:t>41</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44370993">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_Toc19452 </w:instrText>
      </w:r>
      <w:r>
        <w:rPr>
          <w:rFonts w:ascii="Times New Roman" w:hAnsi="Times New Roman" w:eastAsia="仿宋_GB2312"/>
          <w:sz w:val="32"/>
          <w:szCs w:val="44"/>
        </w:rPr>
        <w:fldChar w:fldCharType="separate"/>
      </w:r>
      <w:r>
        <w:rPr>
          <w:rFonts w:ascii="Times New Roman" w:hAnsi="Times New Roman" w:eastAsia="仿宋_GB2312"/>
          <w:bCs/>
          <w:sz w:val="32"/>
        </w:rPr>
        <w:t>附件1：喀什市市场监督管理局2025年度部门（单位）整体支出绩效评价体系</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_Toc19452 \h </w:instrText>
      </w:r>
      <w:r>
        <w:rPr>
          <w:rFonts w:ascii="Times New Roman" w:hAnsi="Times New Roman" w:eastAsia="仿宋_GB2312"/>
          <w:sz w:val="32"/>
        </w:rPr>
        <w:fldChar w:fldCharType="separate"/>
      </w:r>
      <w:r>
        <w:rPr>
          <w:rFonts w:ascii="Times New Roman" w:hAnsi="Times New Roman" w:eastAsia="仿宋_GB2312"/>
          <w:sz w:val="32"/>
        </w:rPr>
        <w:t>42</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32E8F341">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_Toc25000 </w:instrText>
      </w:r>
      <w:r>
        <w:rPr>
          <w:rFonts w:ascii="Times New Roman" w:hAnsi="Times New Roman" w:eastAsia="仿宋_GB2312"/>
          <w:sz w:val="32"/>
          <w:szCs w:val="44"/>
        </w:rPr>
        <w:fldChar w:fldCharType="separate"/>
      </w:r>
      <w:r>
        <w:rPr>
          <w:rFonts w:ascii="Times New Roman" w:hAnsi="Times New Roman" w:eastAsia="仿宋_GB2312" w:cs="Times New Roman"/>
          <w:bCs/>
          <w:sz w:val="32"/>
        </w:rPr>
        <w:t>附件2：基本信息表</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_Toc25000 \h </w:instrText>
      </w:r>
      <w:r>
        <w:rPr>
          <w:rFonts w:ascii="Times New Roman" w:hAnsi="Times New Roman" w:eastAsia="仿宋_GB2312"/>
          <w:sz w:val="32"/>
        </w:rPr>
        <w:fldChar w:fldCharType="separate"/>
      </w:r>
      <w:r>
        <w:rPr>
          <w:rFonts w:ascii="Times New Roman" w:hAnsi="Times New Roman" w:eastAsia="仿宋_GB2312"/>
          <w:sz w:val="32"/>
        </w:rPr>
        <w:t>79</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65FDC8CE">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_Toc19081 </w:instrText>
      </w:r>
      <w:r>
        <w:rPr>
          <w:rFonts w:ascii="Times New Roman" w:hAnsi="Times New Roman" w:eastAsia="仿宋_GB2312"/>
          <w:sz w:val="32"/>
          <w:szCs w:val="44"/>
        </w:rPr>
        <w:fldChar w:fldCharType="separate"/>
      </w:r>
      <w:r>
        <w:rPr>
          <w:rFonts w:ascii="Times New Roman" w:hAnsi="Times New Roman" w:eastAsia="仿宋_GB2312" w:cs="Times New Roman"/>
          <w:bCs/>
          <w:sz w:val="32"/>
        </w:rPr>
        <w:t>附件3：访谈记录</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_Toc19081 \h </w:instrText>
      </w:r>
      <w:r>
        <w:rPr>
          <w:rFonts w:ascii="Times New Roman" w:hAnsi="Times New Roman" w:eastAsia="仿宋_GB2312"/>
          <w:sz w:val="32"/>
        </w:rPr>
        <w:fldChar w:fldCharType="separate"/>
      </w:r>
      <w:r>
        <w:rPr>
          <w:rFonts w:ascii="Times New Roman" w:hAnsi="Times New Roman" w:eastAsia="仿宋_GB2312"/>
          <w:sz w:val="32"/>
        </w:rPr>
        <w:t>81</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1E6049B8">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_Toc14121 </w:instrText>
      </w:r>
      <w:r>
        <w:rPr>
          <w:rFonts w:ascii="Times New Roman" w:hAnsi="Times New Roman" w:eastAsia="仿宋_GB2312"/>
          <w:sz w:val="32"/>
          <w:szCs w:val="44"/>
        </w:rPr>
        <w:fldChar w:fldCharType="separate"/>
      </w:r>
      <w:r>
        <w:rPr>
          <w:rFonts w:ascii="Times New Roman" w:hAnsi="Times New Roman" w:eastAsia="仿宋_GB2312" w:cs="Times New Roman"/>
          <w:bCs/>
          <w:sz w:val="32"/>
        </w:rPr>
        <w:t>附件4：实地勘察记录</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_Toc14121 \h </w:instrText>
      </w:r>
      <w:r>
        <w:rPr>
          <w:rFonts w:ascii="Times New Roman" w:hAnsi="Times New Roman" w:eastAsia="仿宋_GB2312"/>
          <w:sz w:val="32"/>
        </w:rPr>
        <w:fldChar w:fldCharType="separate"/>
      </w:r>
      <w:r>
        <w:rPr>
          <w:rFonts w:ascii="Times New Roman" w:hAnsi="Times New Roman" w:eastAsia="仿宋_GB2312"/>
          <w:sz w:val="32"/>
        </w:rPr>
        <w:t>84</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0E6CA3EA">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rPr>
          <w:rFonts w:ascii="Times New Roman" w:hAnsi="Times New Roman" w:eastAsia="仿宋_GB2312"/>
          <w:sz w:val="32"/>
        </w:rPr>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_Toc19634 </w:instrText>
      </w:r>
      <w:r>
        <w:rPr>
          <w:rFonts w:ascii="Times New Roman" w:hAnsi="Times New Roman" w:eastAsia="仿宋_GB2312"/>
          <w:sz w:val="32"/>
          <w:szCs w:val="44"/>
        </w:rPr>
        <w:fldChar w:fldCharType="separate"/>
      </w:r>
      <w:r>
        <w:rPr>
          <w:rFonts w:ascii="Times New Roman" w:hAnsi="Times New Roman" w:eastAsia="仿宋_GB2312" w:cs="Times New Roman"/>
          <w:bCs/>
          <w:sz w:val="32"/>
        </w:rPr>
        <w:t>附件5：</w:t>
      </w:r>
      <w:r>
        <w:rPr>
          <w:rFonts w:hint="eastAsia" w:ascii="Times New Roman" w:hAnsi="Times New Roman" w:eastAsia="仿宋_GB2312" w:cs="Times New Roman"/>
          <w:bCs/>
          <w:sz w:val="32"/>
          <w:lang w:val="en-US" w:eastAsia="zh-CN"/>
        </w:rPr>
        <w:t>绩效评价报告单位反馈意见单</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_Toc19634 \h </w:instrText>
      </w:r>
      <w:r>
        <w:rPr>
          <w:rFonts w:ascii="Times New Roman" w:hAnsi="Times New Roman" w:eastAsia="仿宋_GB2312"/>
          <w:sz w:val="32"/>
        </w:rPr>
        <w:fldChar w:fldCharType="separate"/>
      </w:r>
      <w:r>
        <w:rPr>
          <w:rFonts w:ascii="Times New Roman" w:hAnsi="Times New Roman" w:eastAsia="仿宋_GB2312"/>
          <w:sz w:val="32"/>
        </w:rPr>
        <w:t>85</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36E52818">
      <w:pPr>
        <w:pStyle w:val="19"/>
        <w:keepNext w:val="0"/>
        <w:keepLines w:val="0"/>
        <w:pageBreakBefore w:val="0"/>
        <w:widowControl w:val="0"/>
        <w:tabs>
          <w:tab w:val="right" w:leader="dot" w:pos="8844"/>
        </w:tabs>
        <w:kinsoku/>
        <w:wordWrap/>
        <w:overflowPunct/>
        <w:topLinePunct w:val="0"/>
        <w:autoSpaceDE/>
        <w:autoSpaceDN/>
        <w:bidi w:val="0"/>
        <w:adjustRightInd/>
        <w:snapToGrid/>
        <w:spacing w:line="560" w:lineRule="exact"/>
        <w:textAlignment w:val="auto"/>
      </w:pPr>
      <w:r>
        <w:rPr>
          <w:rFonts w:ascii="Times New Roman" w:hAnsi="Times New Roman" w:eastAsia="仿宋_GB2312"/>
          <w:sz w:val="32"/>
          <w:szCs w:val="44"/>
        </w:rPr>
        <w:fldChar w:fldCharType="begin"/>
      </w:r>
      <w:r>
        <w:rPr>
          <w:rFonts w:ascii="Times New Roman" w:hAnsi="Times New Roman" w:eastAsia="仿宋_GB2312"/>
          <w:sz w:val="32"/>
          <w:szCs w:val="44"/>
        </w:rPr>
        <w:instrText xml:space="preserve"> HYPERLINK \l _Toc17997 </w:instrText>
      </w:r>
      <w:r>
        <w:rPr>
          <w:rFonts w:ascii="Times New Roman" w:hAnsi="Times New Roman" w:eastAsia="仿宋_GB2312"/>
          <w:sz w:val="32"/>
          <w:szCs w:val="44"/>
        </w:rPr>
        <w:fldChar w:fldCharType="separate"/>
      </w:r>
      <w:r>
        <w:rPr>
          <w:rFonts w:ascii="Times New Roman" w:hAnsi="Times New Roman" w:eastAsia="仿宋_GB2312" w:cs="Times New Roman"/>
          <w:bCs/>
          <w:sz w:val="32"/>
        </w:rPr>
        <w:t>附件</w:t>
      </w:r>
      <w:r>
        <w:rPr>
          <w:rFonts w:hint="eastAsia" w:ascii="Times New Roman" w:hAnsi="Times New Roman" w:eastAsia="仿宋_GB2312" w:cs="Times New Roman"/>
          <w:bCs/>
          <w:sz w:val="32"/>
          <w:lang w:val="en-US" w:eastAsia="zh-CN"/>
        </w:rPr>
        <w:t>6</w:t>
      </w:r>
      <w:r>
        <w:rPr>
          <w:rFonts w:ascii="Times New Roman" w:hAnsi="Times New Roman" w:eastAsia="仿宋_GB2312" w:cs="Times New Roman"/>
          <w:bCs/>
          <w:sz w:val="32"/>
        </w:rPr>
        <w:t>：</w:t>
      </w:r>
      <w:r>
        <w:rPr>
          <w:rFonts w:hint="eastAsia" w:ascii="Times New Roman" w:hAnsi="Times New Roman" w:eastAsia="仿宋_GB2312" w:cs="Times New Roman"/>
          <w:bCs/>
          <w:sz w:val="32"/>
          <w:lang w:val="en-US" w:eastAsia="zh-CN"/>
        </w:rPr>
        <w:t>绩效评价报告财政</w:t>
      </w:r>
      <w:r>
        <w:rPr>
          <w:rFonts w:hint="eastAsia" w:eastAsia="仿宋_GB2312" w:cs="Times New Roman"/>
          <w:bCs/>
          <w:sz w:val="32"/>
          <w:lang w:val="en-US" w:eastAsia="zh-CN"/>
        </w:rPr>
        <w:t>部门</w:t>
      </w:r>
      <w:r>
        <w:rPr>
          <w:rFonts w:hint="eastAsia" w:ascii="Times New Roman" w:hAnsi="Times New Roman" w:eastAsia="仿宋_GB2312" w:cs="Times New Roman"/>
          <w:bCs/>
          <w:sz w:val="32"/>
          <w:lang w:val="en-US" w:eastAsia="zh-CN"/>
        </w:rPr>
        <w:t>意见</w:t>
      </w:r>
      <w:r>
        <w:rPr>
          <w:rFonts w:hint="eastAsia" w:eastAsia="仿宋_GB2312" w:cs="Times New Roman"/>
          <w:bCs/>
          <w:sz w:val="32"/>
          <w:lang w:val="en-US" w:eastAsia="zh-CN"/>
        </w:rPr>
        <w:t>反馈表</w:t>
      </w:r>
      <w:r>
        <w:rPr>
          <w:rFonts w:ascii="Times New Roman" w:hAnsi="Times New Roman" w:eastAsia="仿宋_GB2312"/>
          <w:sz w:val="32"/>
        </w:rPr>
        <w:tab/>
      </w:r>
      <w:r>
        <w:rPr>
          <w:rFonts w:ascii="Times New Roman" w:hAnsi="Times New Roman" w:eastAsia="仿宋_GB2312"/>
          <w:sz w:val="32"/>
        </w:rPr>
        <w:fldChar w:fldCharType="begin"/>
      </w:r>
      <w:r>
        <w:rPr>
          <w:rFonts w:ascii="Times New Roman" w:hAnsi="Times New Roman" w:eastAsia="仿宋_GB2312"/>
          <w:sz w:val="32"/>
        </w:rPr>
        <w:instrText xml:space="preserve"> PAGEREF _Toc17997 \h </w:instrText>
      </w:r>
      <w:r>
        <w:rPr>
          <w:rFonts w:ascii="Times New Roman" w:hAnsi="Times New Roman" w:eastAsia="仿宋_GB2312"/>
          <w:sz w:val="32"/>
        </w:rPr>
        <w:fldChar w:fldCharType="separate"/>
      </w:r>
      <w:r>
        <w:rPr>
          <w:rFonts w:ascii="Times New Roman" w:hAnsi="Times New Roman" w:eastAsia="仿宋_GB2312"/>
          <w:sz w:val="32"/>
        </w:rPr>
        <w:t>86</w:t>
      </w:r>
      <w:r>
        <w:rPr>
          <w:rFonts w:ascii="Times New Roman" w:hAnsi="Times New Roman" w:eastAsia="仿宋_GB2312"/>
          <w:sz w:val="32"/>
        </w:rPr>
        <w:fldChar w:fldCharType="end"/>
      </w:r>
      <w:r>
        <w:rPr>
          <w:rFonts w:ascii="Times New Roman" w:hAnsi="Times New Roman" w:eastAsia="仿宋_GB2312"/>
          <w:sz w:val="32"/>
          <w:szCs w:val="44"/>
        </w:rPr>
        <w:fldChar w:fldCharType="end"/>
      </w:r>
    </w:p>
    <w:p w14:paraId="2A5BFBA5">
      <w:pPr>
        <w:tabs>
          <w:tab w:val="right" w:leader="dot" w:pos="8296"/>
          <w:tab w:val="right" w:leader="dot" w:pos="8834"/>
        </w:tabs>
        <w:spacing w:line="560" w:lineRule="exact"/>
        <w:ind w:firstLine="880" w:firstLineChars="200"/>
        <w:contextualSpacing/>
        <w:jc w:val="center"/>
        <w:rPr>
          <w:rFonts w:eastAsia="仿宋_GB2312"/>
          <w:sz w:val="32"/>
          <w:szCs w:val="32"/>
        </w:rPr>
        <w:sectPr>
          <w:footerReference r:id="rId9" w:type="default"/>
          <w:footerReference r:id="rId10" w:type="even"/>
          <w:pgSz w:w="11906" w:h="16838"/>
          <w:pgMar w:top="1985" w:right="1531" w:bottom="1701" w:left="1531" w:header="850" w:footer="992" w:gutter="0"/>
          <w:pgBorders>
            <w:top w:val="none" w:sz="0" w:space="0"/>
            <w:left w:val="none" w:sz="0" w:space="0"/>
            <w:bottom w:val="none" w:sz="0" w:space="0"/>
            <w:right w:val="none" w:sz="0" w:space="0"/>
          </w:pgBorders>
          <w:pgNumType w:start="1"/>
          <w:cols w:space="720" w:num="1"/>
          <w:docGrid w:linePitch="312" w:charSpace="0"/>
        </w:sectPr>
      </w:pPr>
      <w:r>
        <w:rPr>
          <w:rFonts w:ascii="黑体" w:hAnsi="黑体" w:eastAsia="黑体"/>
          <w:sz w:val="44"/>
          <w:szCs w:val="44"/>
        </w:rPr>
        <w:fldChar w:fldCharType="end"/>
      </w:r>
    </w:p>
    <w:p w14:paraId="410505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sz w:val="40"/>
          <w:szCs w:val="40"/>
        </w:rPr>
      </w:pPr>
      <w:r>
        <w:rPr>
          <w:rFonts w:ascii="黑体" w:hAnsi="黑体" w:eastAsia="黑体"/>
          <w:sz w:val="40"/>
          <w:szCs w:val="40"/>
        </w:rPr>
        <w:t>喀什</w:t>
      </w:r>
      <w:r>
        <w:rPr>
          <w:rFonts w:hint="eastAsia" w:ascii="黑体" w:hAnsi="黑体" w:eastAsia="黑体"/>
          <w:sz w:val="40"/>
          <w:szCs w:val="40"/>
        </w:rPr>
        <w:t>市市场监督管理局</w:t>
      </w:r>
    </w:p>
    <w:p w14:paraId="25D1A1A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sz w:val="40"/>
          <w:szCs w:val="40"/>
        </w:rPr>
      </w:pPr>
      <w:r>
        <w:rPr>
          <w:rFonts w:hint="eastAsia" w:ascii="黑体" w:hAnsi="黑体" w:eastAsia="黑体"/>
          <w:sz w:val="40"/>
          <w:szCs w:val="40"/>
          <w:lang w:val="en-US" w:eastAsia="zh-CN"/>
        </w:rPr>
        <w:t>2025年度</w:t>
      </w:r>
      <w:r>
        <w:rPr>
          <w:rFonts w:ascii="黑体" w:hAnsi="黑体" w:eastAsia="黑体"/>
          <w:kern w:val="0"/>
          <w:sz w:val="40"/>
          <w:szCs w:val="40"/>
          <w:lang w:bidi="ar"/>
        </w:rPr>
        <w:t>部门整体支出绩效评价报告</w:t>
      </w:r>
    </w:p>
    <w:p w14:paraId="22CC1C6E">
      <w:pPr>
        <w:pStyle w:val="13"/>
        <w:spacing w:after="0" w:line="560" w:lineRule="exact"/>
        <w:ind w:firstLine="640" w:firstLineChars="200"/>
        <w:contextualSpacing/>
        <w:rPr>
          <w:rFonts w:eastAsia="仿宋_GB2312"/>
          <w:bCs/>
          <w:kern w:val="0"/>
          <w:sz w:val="32"/>
          <w:szCs w:val="32"/>
          <w:lang w:bidi="ar"/>
        </w:rPr>
      </w:pPr>
    </w:p>
    <w:p w14:paraId="7633BD7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bidi="ar"/>
        </w:rPr>
        <w:t>为贯彻落实全面实施预算绩效管理工作要求，强化部门预算支出责任，规范部门预算管理行为，提高财政资金使用</w:t>
      </w:r>
      <w:r>
        <w:rPr>
          <w:rFonts w:hint="eastAsia" w:eastAsia="仿宋_GB2312" w:cs="Times New Roman"/>
          <w:bCs/>
          <w:kern w:val="0"/>
          <w:sz w:val="32"/>
          <w:szCs w:val="32"/>
          <w:lang w:val="en-US" w:eastAsia="zh-CN" w:bidi="ar"/>
        </w:rPr>
        <w:t>效益</w:t>
      </w:r>
      <w:r>
        <w:rPr>
          <w:rFonts w:hint="eastAsia" w:ascii="Times New Roman" w:hAnsi="Times New Roman" w:eastAsia="仿宋_GB2312" w:cs="Times New Roman"/>
          <w:bCs/>
          <w:kern w:val="0"/>
          <w:sz w:val="32"/>
          <w:szCs w:val="32"/>
          <w:lang w:bidi="ar"/>
        </w:rPr>
        <w:t>，促进部门更好地履职尽责，喀什市财政局委托新疆高博有限责任会计师事务所成立绩效评价工作组，于2026年7月1日至2026年8月10日对喀什市市场监督管理局2025年度部门整体支出开展了绩效评价，现将评价情况报告如下：</w:t>
      </w:r>
      <w:bookmarkStart w:id="113" w:name="_GoBack"/>
      <w:bookmarkEnd w:id="113"/>
    </w:p>
    <w:p w14:paraId="39F9503C">
      <w:pPr>
        <w:pStyle w:val="91"/>
        <w:widowControl w:val="0"/>
        <w:spacing w:before="0" w:after="0"/>
        <w:ind w:left="0" w:firstLine="640" w:firstLineChars="200"/>
        <w:jc w:val="both"/>
        <w:rPr>
          <w:rFonts w:hint="default" w:ascii="Times New Roman" w:hAnsi="Times New Roman"/>
        </w:rPr>
      </w:pPr>
      <w:bookmarkStart w:id="25" w:name="_Toc13603"/>
      <w:bookmarkStart w:id="26" w:name="_Toc6794"/>
      <w:r>
        <w:rPr>
          <w:rFonts w:ascii="Times New Roman" w:hAnsi="Times New Roman"/>
        </w:rPr>
        <w:t>一、基本情况</w:t>
      </w:r>
      <w:bookmarkEnd w:id="25"/>
      <w:bookmarkEnd w:id="26"/>
    </w:p>
    <w:p w14:paraId="2C87CFF6">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rPr>
      </w:pPr>
      <w:bookmarkStart w:id="27" w:name="_Toc1400"/>
      <w:bookmarkStart w:id="28" w:name="_Toc4984"/>
      <w:r>
        <w:rPr>
          <w:rFonts w:ascii="Times New Roman" w:hAnsi="Times New Roman"/>
        </w:rPr>
        <w:t>（一）单位概况</w:t>
      </w:r>
      <w:bookmarkEnd w:id="27"/>
      <w:bookmarkEnd w:id="28"/>
    </w:p>
    <w:p w14:paraId="7141D2C0">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bookmarkStart w:id="29" w:name="_Toc27725"/>
      <w:r>
        <w:rPr>
          <w:rFonts w:eastAsia="仿宋_GB2312"/>
          <w:b/>
          <w:kern w:val="0"/>
          <w:sz w:val="32"/>
          <w:szCs w:val="32"/>
          <w:lang w:bidi="ar"/>
        </w:rPr>
        <w:t>1.</w:t>
      </w:r>
      <w:r>
        <w:rPr>
          <w:rFonts w:hint="eastAsia" w:eastAsia="仿宋_GB2312"/>
          <w:b/>
          <w:kern w:val="0"/>
          <w:sz w:val="32"/>
          <w:szCs w:val="32"/>
          <w:lang w:bidi="ar"/>
        </w:rPr>
        <w:t>部门主要职责</w:t>
      </w:r>
    </w:p>
    <w:p w14:paraId="053F0D69">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w:t>
      </w:r>
      <w:r>
        <w:rPr>
          <w:rFonts w:hint="eastAsia" w:eastAsia="仿宋_GB2312"/>
          <w:bCs/>
          <w:kern w:val="0"/>
          <w:sz w:val="32"/>
          <w:szCs w:val="32"/>
          <w:lang w:bidi="ar"/>
        </w:rPr>
        <w:t>）</w:t>
      </w:r>
      <w:r>
        <w:rPr>
          <w:rFonts w:eastAsia="仿宋_GB2312"/>
          <w:bCs/>
          <w:kern w:val="0"/>
          <w:sz w:val="32"/>
          <w:szCs w:val="32"/>
          <w:lang w:bidi="ar"/>
        </w:rPr>
        <w:t>负责市场综合监督管理和知识产权管理。贯彻执行国家、自治区、地区市场监督和知识产权管理有关</w:t>
      </w:r>
      <w:r>
        <w:rPr>
          <w:rFonts w:hint="eastAsia" w:eastAsia="仿宋_GB2312"/>
          <w:bCs/>
          <w:kern w:val="0"/>
          <w:sz w:val="32"/>
          <w:szCs w:val="32"/>
          <w:lang w:bidi="ar"/>
        </w:rPr>
        <w:t>法律法规</w:t>
      </w:r>
      <w:r>
        <w:rPr>
          <w:rFonts w:eastAsia="仿宋_GB2312"/>
          <w:bCs/>
          <w:kern w:val="0"/>
          <w:sz w:val="32"/>
          <w:szCs w:val="32"/>
          <w:lang w:bidi="ar"/>
        </w:rPr>
        <w:t>、规章和政策，组织实施质量强市战略、食品安全战略、标准化战略和知识产权战略。拟订并组织实施有关规划，规范和维护市场秩序，营造诚实守信、公平竞争的市场环境。</w:t>
      </w:r>
    </w:p>
    <w:p w14:paraId="5EF219C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2</w:t>
      </w:r>
      <w:r>
        <w:rPr>
          <w:rFonts w:hint="eastAsia" w:eastAsia="仿宋_GB2312"/>
          <w:bCs/>
          <w:kern w:val="0"/>
          <w:sz w:val="32"/>
          <w:szCs w:val="32"/>
          <w:lang w:bidi="ar"/>
        </w:rPr>
        <w:t>）负责市场主体统一登记注册工作。负责全市各类企业（内资）、农民专业合作社和从事经营活动的单位、个体工商户、市场主体的登记注册和监督管理工作。建立市场主体信息公示和共享机制，依法公示和共享有关信息，加强信用监管，推动市场主体信用体系建设。</w:t>
      </w:r>
    </w:p>
    <w:p w14:paraId="08D4070B">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3</w:t>
      </w:r>
      <w:r>
        <w:rPr>
          <w:rFonts w:hint="eastAsia" w:eastAsia="仿宋_GB2312"/>
          <w:bCs/>
          <w:kern w:val="0"/>
          <w:sz w:val="32"/>
          <w:szCs w:val="32"/>
          <w:lang w:bidi="ar"/>
        </w:rPr>
        <w:t>）负责市场监管和知识产权综合执法工作。组织查处重大违法案件。规范市场监管和知识产权行政执法行为。</w:t>
      </w:r>
    </w:p>
    <w:p w14:paraId="491EEE5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4</w:t>
      </w:r>
      <w:r>
        <w:rPr>
          <w:rFonts w:hint="eastAsia" w:eastAsia="仿宋_GB2312"/>
          <w:bCs/>
          <w:kern w:val="0"/>
          <w:sz w:val="32"/>
          <w:szCs w:val="32"/>
          <w:lang w:bidi="ar"/>
        </w:rPr>
        <w:t>）负责反垄断统一执法。统筹推进竞争政策实施，组织实施公平竞争审查制度。依据授权负责垄断协议、滥用市场支配地位和滥用行政权力排除、限制竞争等反垄断执法工作。依法对经营者集中行为进行反垄断审查。</w:t>
      </w:r>
    </w:p>
    <w:p w14:paraId="42AB368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5</w:t>
      </w:r>
      <w:r>
        <w:rPr>
          <w:rFonts w:hint="eastAsia" w:eastAsia="仿宋_GB2312"/>
          <w:bCs/>
          <w:kern w:val="0"/>
          <w:sz w:val="32"/>
          <w:szCs w:val="32"/>
          <w:lang w:bidi="ar"/>
        </w:rPr>
        <w:t>）负责监督管理市场秩序。依法监督管理市场交易、网络商品交易及有关服务的行为。组织指导查处价格收费违法违规、不正当竞争、违法直销、传销、侵犯商标专利知识产权和制售假冒伪劣商品行为。依法组织实施合同行为的监督管理，管理动产抵押物登记。指导广告业发展，监督管理广告活动。指导查处无照生产经营和相关无证生产经营行为。负责组织、指导和监督管理行政审批中介服务机构。指导喀什市消费者协会开展消费维权工作。</w:t>
      </w:r>
    </w:p>
    <w:p w14:paraId="3D58DE7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6</w:t>
      </w:r>
      <w:r>
        <w:rPr>
          <w:rFonts w:hint="eastAsia" w:eastAsia="仿宋_GB2312"/>
          <w:bCs/>
          <w:kern w:val="0"/>
          <w:sz w:val="32"/>
          <w:szCs w:val="32"/>
          <w:lang w:bidi="ar"/>
        </w:rPr>
        <w:t>）负责宏观质量管理。拟订并实施质量发展的制度措施。统筹质量基础设施建设与应用，会同有关部门组织实施重大工程设备质量监理制度，组织重大质量事故调查，组织实施缺陷产品召回制度，监督管理产品防伪工作。</w:t>
      </w:r>
    </w:p>
    <w:p w14:paraId="155A94BB">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7</w:t>
      </w:r>
      <w:r>
        <w:rPr>
          <w:rFonts w:hint="eastAsia" w:eastAsia="仿宋_GB2312"/>
          <w:bCs/>
          <w:kern w:val="0"/>
          <w:sz w:val="32"/>
          <w:szCs w:val="32"/>
          <w:lang w:bidi="ar"/>
        </w:rPr>
        <w:t>）负责产品质量安全监督管理。管理产品质量监督抽查、风险监控工作。组织实施质量分级制度、质量安全追溯制度。组织工业产品生产许可证后续管理工作。负责纤维质量监督工作。</w:t>
      </w:r>
    </w:p>
    <w:p w14:paraId="4F08913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8</w:t>
      </w:r>
      <w:r>
        <w:rPr>
          <w:rFonts w:hint="eastAsia" w:eastAsia="仿宋_GB2312"/>
          <w:bCs/>
          <w:kern w:val="0"/>
          <w:sz w:val="32"/>
          <w:szCs w:val="32"/>
          <w:lang w:bidi="ar"/>
        </w:rPr>
        <w:t>）负责特种设备安全监督管理。综合管理特种设备安全监察、监督工作，监督检查高耗能特种设备节能标准和锅炉环境保护标准的执行情况。</w:t>
      </w:r>
    </w:p>
    <w:p w14:paraId="16B6D4A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9</w:t>
      </w:r>
      <w:r>
        <w:rPr>
          <w:rFonts w:hint="eastAsia" w:eastAsia="仿宋_GB2312"/>
          <w:bCs/>
          <w:kern w:val="0"/>
          <w:sz w:val="32"/>
          <w:szCs w:val="32"/>
          <w:lang w:bidi="ar"/>
        </w:rPr>
        <w:t>）负责食品安全监督管理综合协调。负责推进食品安全重大政策措施的实施。负责食品安全应急体系建设。建立健全食品安全重要信息直报制度。</w:t>
      </w:r>
    </w:p>
    <w:p w14:paraId="7F09BC7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10</w:t>
      </w:r>
      <w:r>
        <w:rPr>
          <w:rFonts w:hint="eastAsia" w:eastAsia="仿宋_GB2312"/>
          <w:bCs/>
          <w:kern w:val="0"/>
          <w:sz w:val="32"/>
          <w:szCs w:val="32"/>
          <w:lang w:bidi="ar"/>
        </w:rPr>
        <w:t>）负责食品安全监督管理。建立覆盖食品生产、流通、消费全过程的监督检查制度和隐患排查治理机制并组织实施，防范区域性、系统性食品安全风险。推动建立食品生产经营者落实主体责任的机制，健全食品安全追溯体系。组织开展食品安全监督抽检、风险监测、核查处置和风险预警、风险交流工作。组织实施特殊食品监督管理。</w:t>
      </w:r>
    </w:p>
    <w:p w14:paraId="338F6C2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11</w:t>
      </w:r>
      <w:r>
        <w:rPr>
          <w:rFonts w:hint="eastAsia" w:eastAsia="仿宋_GB2312"/>
          <w:bCs/>
          <w:kern w:val="0"/>
          <w:sz w:val="32"/>
          <w:szCs w:val="32"/>
          <w:lang w:bidi="ar"/>
        </w:rPr>
        <w:t>）负责统一管理计量工作。执行国家计量制度，推行国家法定计量单位，依法管理计量器具及量值传递、强制检定和比对工作。指导建立健全计量检定体系和节能减排等能源计量工作；监督管理计量检定机构、计量校准机构、社会公正计量机构及计量检定人员的资质资格；规范、监督商品量和市场计量行为。</w:t>
      </w:r>
    </w:p>
    <w:p w14:paraId="203609D6">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12</w:t>
      </w:r>
      <w:r>
        <w:rPr>
          <w:rFonts w:hint="eastAsia" w:eastAsia="仿宋_GB2312"/>
          <w:bCs/>
          <w:kern w:val="0"/>
          <w:sz w:val="32"/>
          <w:szCs w:val="32"/>
          <w:lang w:bidi="ar"/>
        </w:rPr>
        <w:t>）负责统一管理标准化工作。依法承担地方标准的立项、编号、制定和发布等工作。依法协调指导和监督团体标准、企业标准制定工作，管理商品条码工作。</w:t>
      </w:r>
    </w:p>
    <w:p w14:paraId="54242A83">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13</w:t>
      </w:r>
      <w:r>
        <w:rPr>
          <w:rFonts w:hint="eastAsia" w:eastAsia="仿宋_GB2312"/>
          <w:bCs/>
          <w:kern w:val="0"/>
          <w:sz w:val="32"/>
          <w:szCs w:val="32"/>
          <w:lang w:bidi="ar"/>
        </w:rPr>
        <w:t>）负责统一管理检验检测工作。组建市检验检测机构，规范检验检测市场，完善检验检测体系，完成年度抽检计划。</w:t>
      </w:r>
    </w:p>
    <w:p w14:paraId="0A7FC04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14</w:t>
      </w:r>
      <w:r>
        <w:rPr>
          <w:rFonts w:hint="eastAsia" w:eastAsia="仿宋_GB2312"/>
          <w:bCs/>
          <w:kern w:val="0"/>
          <w:sz w:val="32"/>
          <w:szCs w:val="32"/>
          <w:lang w:bidi="ar"/>
        </w:rPr>
        <w:t>）负责统一管理、监督和综合协调认证认可工作。建立并组织实施统一的认证认可和合格评定监督管理制度。</w:t>
      </w:r>
    </w:p>
    <w:p w14:paraId="620031B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15</w:t>
      </w:r>
      <w:r>
        <w:rPr>
          <w:rFonts w:hint="eastAsia" w:eastAsia="仿宋_GB2312"/>
          <w:bCs/>
          <w:kern w:val="0"/>
          <w:sz w:val="32"/>
          <w:szCs w:val="32"/>
          <w:lang w:bidi="ar"/>
        </w:rPr>
        <w:t>）负责药品（含中药、民族药，下同）、医疗器械和化妆品安全监督管理。贯彻落实国家关于药品、医疗器械和化妆品监督管理的法律法规、规章和政策。</w:t>
      </w:r>
    </w:p>
    <w:p w14:paraId="3C803616">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16</w:t>
      </w:r>
      <w:r>
        <w:rPr>
          <w:rFonts w:hint="eastAsia" w:eastAsia="仿宋_GB2312"/>
          <w:bCs/>
          <w:kern w:val="0"/>
          <w:sz w:val="32"/>
          <w:szCs w:val="32"/>
          <w:lang w:bidi="ar"/>
        </w:rPr>
        <w:t>）监督实施药品、医疗器械、化妆品相关标准和分类管理制度。监督实施中药材地方标准和中药饮片炮制规范。参与实施国家基本药物制度。</w:t>
      </w:r>
    </w:p>
    <w:p w14:paraId="1DA7C675">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17</w:t>
      </w:r>
      <w:r>
        <w:rPr>
          <w:rFonts w:hint="eastAsia" w:eastAsia="仿宋_GB2312"/>
          <w:bCs/>
          <w:kern w:val="0"/>
          <w:sz w:val="32"/>
          <w:szCs w:val="32"/>
          <w:lang w:bidi="ar"/>
        </w:rPr>
        <w:t>）负责药品、医疗器械和化妆品质量管理。监督实施药品、医疗器械经营质量管理规范，监督实施化妆品经营、使用卫生标准和技术规范。</w:t>
      </w:r>
    </w:p>
    <w:p w14:paraId="48752F86">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18</w:t>
      </w:r>
      <w:r>
        <w:rPr>
          <w:rFonts w:hint="eastAsia" w:eastAsia="仿宋_GB2312"/>
          <w:bCs/>
          <w:kern w:val="0"/>
          <w:sz w:val="32"/>
          <w:szCs w:val="32"/>
          <w:lang w:bidi="ar"/>
        </w:rPr>
        <w:t>）负责药品、医疗器械和化妆品上市后风险管理。组织开展辖区药品、化妆品不良反应和医疗器械不良事件监测、评价和处置。组织开展药物滥用监测。依法承担药品、医疗器械和化妆品安全应急管理。</w:t>
      </w:r>
    </w:p>
    <w:p w14:paraId="52AD0A49">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19</w:t>
      </w:r>
      <w:r>
        <w:rPr>
          <w:rFonts w:hint="eastAsia" w:eastAsia="仿宋_GB2312"/>
          <w:bCs/>
          <w:kern w:val="0"/>
          <w:sz w:val="32"/>
          <w:szCs w:val="32"/>
          <w:lang w:bidi="ar"/>
        </w:rPr>
        <w:t>）负责促进知识产权运用。指导知识产权无形资产评估、审查评议工作。指导和促进知识产权服务业发展，统筹指导知识产权公共服务体系建设，推动知识产权信息宣传引导和推广应用。</w:t>
      </w:r>
    </w:p>
    <w:p w14:paraId="53706DDB">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20</w:t>
      </w:r>
      <w:r>
        <w:rPr>
          <w:rFonts w:hint="eastAsia" w:eastAsia="仿宋_GB2312"/>
          <w:bCs/>
          <w:kern w:val="0"/>
          <w:sz w:val="32"/>
          <w:szCs w:val="32"/>
          <w:lang w:bidi="ar"/>
        </w:rPr>
        <w:t>）负责保护知识产权。负责组织指导商标、专利执法工作，指导知识产权争议处理、维权援助和纠纷调处。组织指导知识产权预警和涉外保护工作。</w:t>
      </w:r>
    </w:p>
    <w:p w14:paraId="1B335483">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21</w:t>
      </w:r>
      <w:r>
        <w:rPr>
          <w:rFonts w:hint="eastAsia" w:eastAsia="仿宋_GB2312"/>
          <w:bCs/>
          <w:kern w:val="0"/>
          <w:sz w:val="32"/>
          <w:szCs w:val="32"/>
          <w:lang w:bidi="ar"/>
        </w:rPr>
        <w:t>）承担喀什市食品安全委员会领导小组办公室的具体工作。</w:t>
      </w:r>
    </w:p>
    <w:p w14:paraId="1B3DD2E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w:t>
      </w:r>
      <w:r>
        <w:rPr>
          <w:rFonts w:hint="eastAsia" w:eastAsia="仿宋_GB2312"/>
          <w:bCs/>
          <w:kern w:val="0"/>
          <w:sz w:val="32"/>
          <w:szCs w:val="32"/>
          <w:lang w:val="en-US" w:eastAsia="zh-CN" w:bidi="ar"/>
        </w:rPr>
        <w:t>22</w:t>
      </w:r>
      <w:r>
        <w:rPr>
          <w:rFonts w:hint="eastAsia" w:eastAsia="仿宋_GB2312"/>
          <w:bCs/>
          <w:kern w:val="0"/>
          <w:sz w:val="32"/>
          <w:szCs w:val="32"/>
          <w:lang w:bidi="ar"/>
        </w:rPr>
        <w:t>）完成市委、市政府交办的其他任务。</w:t>
      </w:r>
    </w:p>
    <w:p w14:paraId="2DD17D74">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hint="eastAsia" w:eastAsia="仿宋_GB2312"/>
          <w:b/>
          <w:kern w:val="0"/>
          <w:sz w:val="32"/>
          <w:szCs w:val="32"/>
          <w:lang w:bidi="ar"/>
        </w:rPr>
        <w:t>2</w:t>
      </w:r>
      <w:r>
        <w:rPr>
          <w:rFonts w:eastAsia="仿宋_GB2312"/>
          <w:b/>
          <w:kern w:val="0"/>
          <w:sz w:val="32"/>
          <w:szCs w:val="32"/>
          <w:lang w:bidi="ar"/>
        </w:rPr>
        <w:t>.</w:t>
      </w:r>
      <w:r>
        <w:rPr>
          <w:rFonts w:hint="eastAsia" w:eastAsia="仿宋_GB2312"/>
          <w:b/>
          <w:kern w:val="0"/>
          <w:sz w:val="32"/>
          <w:szCs w:val="32"/>
          <w:lang w:bidi="ar"/>
        </w:rPr>
        <w:t>部门机构设置及人员情况</w:t>
      </w:r>
    </w:p>
    <w:p w14:paraId="58C69D30">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新疆维吾尔自治区喀什地区喀什市市场监督管理局无下属预算单位，下设十五个内设机构：党政办公室、计划财务股、纪检监察股、政策法规股、行政许可股、打假举报受理指挥中心、市场规范管理股、个体私营经济监督管理股、食品安全监督管理股、药品安全监督管理股、质量计量监督管理股、特种设备监督管理股、知识产权保护与管理股、市场监督稽查大队、派出机构。</w:t>
      </w:r>
    </w:p>
    <w:p w14:paraId="5689104E">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eastAsia="仿宋_GB2312"/>
          <w:bCs/>
          <w:kern w:val="0"/>
          <w:sz w:val="32"/>
          <w:szCs w:val="32"/>
          <w:lang w:bidi="ar"/>
        </w:rPr>
      </w:pPr>
      <w:r>
        <w:rPr>
          <w:rFonts w:hint="eastAsia" w:eastAsia="仿宋_GB2312"/>
          <w:bCs/>
          <w:kern w:val="0"/>
          <w:sz w:val="32"/>
          <w:szCs w:val="32"/>
          <w:highlight w:val="none"/>
          <w:lang w:bidi="ar"/>
        </w:rPr>
        <w:t>截至2025年末，喀什市市场监督管理局</w:t>
      </w:r>
      <w:r>
        <w:rPr>
          <w:rFonts w:hint="eastAsia" w:eastAsia="仿宋_GB2312"/>
          <w:bCs/>
          <w:kern w:val="0"/>
          <w:sz w:val="32"/>
          <w:szCs w:val="32"/>
          <w:highlight w:val="none"/>
          <w:lang w:val="en-US" w:eastAsia="zh-CN" w:bidi="ar"/>
        </w:rPr>
        <w:t>实有合计321人，其中：在职168人（编制内实有人员149人，其他人员19人）、退休153人</w:t>
      </w:r>
      <w:r>
        <w:rPr>
          <w:rFonts w:hint="eastAsia" w:eastAsia="仿宋_GB2312"/>
          <w:bCs/>
          <w:kern w:val="0"/>
          <w:sz w:val="32"/>
          <w:szCs w:val="32"/>
          <w:lang w:bidi="ar"/>
        </w:rPr>
        <w:t>。</w:t>
      </w:r>
    </w:p>
    <w:p w14:paraId="63436051">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30" w:name="_Toc10794"/>
      <w:r>
        <w:rPr>
          <w:rFonts w:ascii="Times New Roman" w:hAnsi="Times New Roman" w:cs="Times New Roman"/>
        </w:rPr>
        <w:t>（二）部门资金投入和使用情况</w:t>
      </w:r>
      <w:bookmarkEnd w:id="29"/>
      <w:bookmarkEnd w:id="30"/>
    </w:p>
    <w:p w14:paraId="2AD2F76B">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1.</w:t>
      </w:r>
      <w:r>
        <w:rPr>
          <w:rFonts w:hint="eastAsia" w:eastAsia="仿宋_GB2312"/>
          <w:b/>
          <w:kern w:val="0"/>
          <w:sz w:val="32"/>
          <w:szCs w:val="32"/>
          <w:lang w:bidi="ar"/>
        </w:rPr>
        <w:t>部门年度预算收入完成情况</w:t>
      </w:r>
    </w:p>
    <w:p w14:paraId="7A6A7E3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2025年喀什市市场监督管理局年初预算安排3375.76万元，其中：一般公共预算财政拨款3368.71万元，事业收入0万元，其他收入0万元，年初结转和结余7.05万元。经年中调整后全年预算金额为3350.24万元，其中：一般公共预算财政拨款3307.61万元，政府性基金预算财政拨款42.63万元。</w:t>
      </w:r>
    </w:p>
    <w:p w14:paraId="6279D71B">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该单位2025年预算资金主要用于基本支出3067.98万元，项目支出282.26万元。</w:t>
      </w:r>
    </w:p>
    <w:p w14:paraId="773E04D7">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2.</w:t>
      </w:r>
      <w:r>
        <w:rPr>
          <w:rFonts w:hint="eastAsia" w:eastAsia="仿宋_GB2312"/>
          <w:b/>
          <w:kern w:val="0"/>
          <w:sz w:val="32"/>
          <w:szCs w:val="32"/>
          <w:lang w:bidi="ar"/>
        </w:rPr>
        <w:t>部门年度预算支出及执行情况</w:t>
      </w:r>
    </w:p>
    <w:p w14:paraId="214CAAB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根据2025年度部门决算报表数据，喀什市市场监督管理局2025年度部门全年支出数3350.24万元，年末结转和结余0万元，部门年度预算执行率为100%。资金使用情况如下：</w:t>
      </w:r>
    </w:p>
    <w:p w14:paraId="153EC73D">
      <w:pPr>
        <w:pStyle w:val="13"/>
        <w:keepNext w:val="0"/>
        <w:keepLines w:val="0"/>
        <w:pageBreakBefore w:val="0"/>
        <w:widowControl w:val="0"/>
        <w:kinsoku/>
        <w:wordWrap/>
        <w:overflowPunct/>
        <w:topLinePunct w:val="0"/>
        <w:autoSpaceDE/>
        <w:autoSpaceDN/>
        <w:bidi w:val="0"/>
        <w:adjustRightInd/>
        <w:snapToGrid/>
        <w:spacing w:after="0" w:line="560" w:lineRule="exact"/>
        <w:ind w:firstLine="482" w:firstLineChars="200"/>
        <w:contextualSpacing/>
        <w:jc w:val="center"/>
        <w:textAlignment w:val="auto"/>
        <w:rPr>
          <w:rFonts w:eastAsia="仿宋_GB2312"/>
          <w:b/>
          <w:bCs/>
          <w:sz w:val="24"/>
          <w:szCs w:val="24"/>
        </w:rPr>
      </w:pPr>
      <w:r>
        <w:rPr>
          <w:rFonts w:hint="eastAsia" w:eastAsia="仿宋_GB2312"/>
          <w:b/>
          <w:bCs/>
          <w:sz w:val="24"/>
          <w:szCs w:val="24"/>
        </w:rPr>
        <w:t>表1-1 部门支出预算与实际支出对比表       单位：万元</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
        <w:gridCol w:w="1850"/>
        <w:gridCol w:w="1649"/>
        <w:gridCol w:w="1649"/>
        <w:gridCol w:w="1167"/>
        <w:gridCol w:w="1923"/>
      </w:tblGrid>
      <w:tr w14:paraId="1F9D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blHeader/>
          <w:jc w:val="center"/>
        </w:trPr>
        <w:tc>
          <w:tcPr>
            <w:tcW w:w="454" w:type="pct"/>
            <w:shd w:val="clear" w:color="auto" w:fill="D7D7D7"/>
            <w:vAlign w:val="center"/>
          </w:tcPr>
          <w:p w14:paraId="246E39F1">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shd w:val="clear" w:color="auto" w:fill="auto"/>
              </w:rPr>
            </w:pPr>
            <w:r>
              <w:rPr>
                <w:rFonts w:hint="eastAsia" w:ascii="Times New Roman" w:hAnsi="Times New Roman" w:eastAsia="仿宋_GB2312"/>
                <w:bCs/>
                <w:kern w:val="0"/>
                <w:sz w:val="22"/>
                <w:shd w:val="clear" w:color="auto" w:fill="auto"/>
              </w:rPr>
              <w:t>序号</w:t>
            </w:r>
          </w:p>
        </w:tc>
        <w:tc>
          <w:tcPr>
            <w:tcW w:w="1021" w:type="pct"/>
            <w:shd w:val="clear" w:color="auto" w:fill="D7D7D7"/>
            <w:vAlign w:val="center"/>
          </w:tcPr>
          <w:p w14:paraId="33B190AB">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shd w:val="clear" w:color="auto" w:fill="auto"/>
              </w:rPr>
            </w:pPr>
            <w:r>
              <w:rPr>
                <w:rFonts w:hint="eastAsia" w:ascii="Times New Roman" w:hAnsi="Times New Roman" w:eastAsia="仿宋_GB2312"/>
                <w:bCs/>
                <w:kern w:val="0"/>
                <w:sz w:val="22"/>
                <w:shd w:val="clear" w:color="auto" w:fill="auto"/>
              </w:rPr>
              <w:t>支出类别</w:t>
            </w:r>
          </w:p>
        </w:tc>
        <w:tc>
          <w:tcPr>
            <w:tcW w:w="910" w:type="pct"/>
            <w:shd w:val="clear" w:color="auto" w:fill="D7D7D7"/>
            <w:noWrap/>
            <w:vAlign w:val="center"/>
          </w:tcPr>
          <w:p w14:paraId="3E07B9D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shd w:val="clear" w:color="auto" w:fill="auto"/>
              </w:rPr>
            </w:pPr>
            <w:r>
              <w:rPr>
                <w:rFonts w:hint="eastAsia" w:ascii="Times New Roman" w:hAnsi="Times New Roman" w:eastAsia="仿宋_GB2312"/>
                <w:bCs/>
                <w:kern w:val="0"/>
                <w:sz w:val="22"/>
                <w:shd w:val="clear" w:color="auto" w:fill="auto"/>
              </w:rPr>
              <w:t>年初预算数</w:t>
            </w:r>
          </w:p>
        </w:tc>
        <w:tc>
          <w:tcPr>
            <w:tcW w:w="910" w:type="pct"/>
            <w:shd w:val="clear" w:color="auto" w:fill="D7D7D7"/>
            <w:noWrap/>
            <w:vAlign w:val="center"/>
          </w:tcPr>
          <w:p w14:paraId="4971AFD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shd w:val="clear" w:color="auto" w:fill="auto"/>
              </w:rPr>
            </w:pPr>
            <w:r>
              <w:rPr>
                <w:rFonts w:hint="eastAsia" w:ascii="Times New Roman" w:hAnsi="Times New Roman" w:eastAsia="仿宋_GB2312"/>
                <w:bCs/>
                <w:kern w:val="0"/>
                <w:sz w:val="22"/>
                <w:shd w:val="clear" w:color="auto" w:fill="auto"/>
              </w:rPr>
              <w:t>全年预算数</w:t>
            </w:r>
          </w:p>
        </w:tc>
        <w:tc>
          <w:tcPr>
            <w:tcW w:w="644" w:type="pct"/>
            <w:shd w:val="clear" w:color="auto" w:fill="D7D7D7"/>
            <w:vAlign w:val="center"/>
          </w:tcPr>
          <w:p w14:paraId="2973CE8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shd w:val="clear" w:color="auto" w:fill="auto"/>
              </w:rPr>
            </w:pPr>
            <w:r>
              <w:rPr>
                <w:rFonts w:hint="eastAsia" w:ascii="Times New Roman" w:hAnsi="Times New Roman" w:eastAsia="仿宋_GB2312"/>
                <w:bCs/>
                <w:kern w:val="0"/>
                <w:sz w:val="22"/>
                <w:shd w:val="clear" w:color="auto" w:fill="auto"/>
              </w:rPr>
              <w:t>决算数</w:t>
            </w:r>
          </w:p>
        </w:tc>
        <w:tc>
          <w:tcPr>
            <w:tcW w:w="1061" w:type="pct"/>
            <w:shd w:val="clear" w:color="auto" w:fill="D7D7D7"/>
            <w:vAlign w:val="center"/>
          </w:tcPr>
          <w:p w14:paraId="5AC701C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shd w:val="clear" w:color="auto" w:fill="auto"/>
              </w:rPr>
            </w:pPr>
            <w:r>
              <w:rPr>
                <w:rFonts w:hint="eastAsia" w:ascii="Times New Roman" w:hAnsi="Times New Roman" w:eastAsia="仿宋_GB2312"/>
                <w:bCs/>
                <w:kern w:val="0"/>
                <w:sz w:val="22"/>
                <w:shd w:val="clear" w:color="auto" w:fill="auto"/>
              </w:rPr>
              <w:t>预算执行率</w:t>
            </w:r>
          </w:p>
        </w:tc>
      </w:tr>
      <w:tr w14:paraId="0E31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54" w:type="pct"/>
            <w:vAlign w:val="center"/>
          </w:tcPr>
          <w:p w14:paraId="703464DC">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1</w:t>
            </w:r>
          </w:p>
        </w:tc>
        <w:tc>
          <w:tcPr>
            <w:tcW w:w="1021" w:type="pct"/>
            <w:vAlign w:val="center"/>
          </w:tcPr>
          <w:p w14:paraId="250E4010">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基本支出</w:t>
            </w:r>
          </w:p>
        </w:tc>
        <w:tc>
          <w:tcPr>
            <w:tcW w:w="910" w:type="pct"/>
            <w:vAlign w:val="center"/>
          </w:tcPr>
          <w:p w14:paraId="2EBC6E45">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3208.25</w:t>
            </w:r>
          </w:p>
        </w:tc>
        <w:tc>
          <w:tcPr>
            <w:tcW w:w="910" w:type="pct"/>
            <w:vAlign w:val="center"/>
          </w:tcPr>
          <w:p w14:paraId="0DDF1959">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3067.98</w:t>
            </w:r>
          </w:p>
        </w:tc>
        <w:tc>
          <w:tcPr>
            <w:tcW w:w="644" w:type="pct"/>
            <w:vAlign w:val="center"/>
          </w:tcPr>
          <w:p w14:paraId="42DC1B5C">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3067.98</w:t>
            </w:r>
          </w:p>
        </w:tc>
        <w:tc>
          <w:tcPr>
            <w:tcW w:w="1061" w:type="pct"/>
            <w:vAlign w:val="center"/>
          </w:tcPr>
          <w:p w14:paraId="111282D3">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100%</w:t>
            </w:r>
          </w:p>
        </w:tc>
      </w:tr>
      <w:tr w14:paraId="198A8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54" w:type="pct"/>
            <w:vAlign w:val="center"/>
          </w:tcPr>
          <w:p w14:paraId="1D722451">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p>
        </w:tc>
        <w:tc>
          <w:tcPr>
            <w:tcW w:w="1021" w:type="pct"/>
            <w:vAlign w:val="center"/>
          </w:tcPr>
          <w:p w14:paraId="3EE80BB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人员经费</w:t>
            </w:r>
          </w:p>
        </w:tc>
        <w:tc>
          <w:tcPr>
            <w:tcW w:w="910" w:type="pct"/>
            <w:vAlign w:val="center"/>
          </w:tcPr>
          <w:p w14:paraId="671678F1">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3131.18</w:t>
            </w:r>
          </w:p>
        </w:tc>
        <w:tc>
          <w:tcPr>
            <w:tcW w:w="910" w:type="pct"/>
            <w:vAlign w:val="center"/>
          </w:tcPr>
          <w:p w14:paraId="642AB35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3005.1</w:t>
            </w:r>
          </w:p>
        </w:tc>
        <w:tc>
          <w:tcPr>
            <w:tcW w:w="644" w:type="pct"/>
            <w:vAlign w:val="center"/>
          </w:tcPr>
          <w:p w14:paraId="552F82EC">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3005.1</w:t>
            </w:r>
          </w:p>
        </w:tc>
        <w:tc>
          <w:tcPr>
            <w:tcW w:w="1061" w:type="pct"/>
            <w:vAlign w:val="center"/>
          </w:tcPr>
          <w:p w14:paraId="1ABE81E9">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100%</w:t>
            </w:r>
          </w:p>
        </w:tc>
      </w:tr>
      <w:tr w14:paraId="76AF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54" w:type="pct"/>
            <w:vAlign w:val="center"/>
          </w:tcPr>
          <w:p w14:paraId="72D86C7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p>
        </w:tc>
        <w:tc>
          <w:tcPr>
            <w:tcW w:w="1021" w:type="pct"/>
            <w:vAlign w:val="center"/>
          </w:tcPr>
          <w:p w14:paraId="73C597AC">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公用经费</w:t>
            </w:r>
          </w:p>
        </w:tc>
        <w:tc>
          <w:tcPr>
            <w:tcW w:w="910" w:type="pct"/>
            <w:vAlign w:val="center"/>
          </w:tcPr>
          <w:p w14:paraId="7E58934C">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77.07</w:t>
            </w:r>
          </w:p>
        </w:tc>
        <w:tc>
          <w:tcPr>
            <w:tcW w:w="910" w:type="pct"/>
            <w:vAlign w:val="center"/>
          </w:tcPr>
          <w:p w14:paraId="2717C78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62.88</w:t>
            </w:r>
          </w:p>
        </w:tc>
        <w:tc>
          <w:tcPr>
            <w:tcW w:w="644" w:type="pct"/>
            <w:vAlign w:val="center"/>
          </w:tcPr>
          <w:p w14:paraId="564DE500">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62.88</w:t>
            </w:r>
          </w:p>
        </w:tc>
        <w:tc>
          <w:tcPr>
            <w:tcW w:w="1061" w:type="pct"/>
            <w:vAlign w:val="center"/>
          </w:tcPr>
          <w:p w14:paraId="055706D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100%</w:t>
            </w:r>
          </w:p>
        </w:tc>
      </w:tr>
      <w:tr w14:paraId="7D71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54" w:type="pct"/>
            <w:vAlign w:val="center"/>
          </w:tcPr>
          <w:p w14:paraId="3F01DE7A">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2</w:t>
            </w:r>
          </w:p>
        </w:tc>
        <w:tc>
          <w:tcPr>
            <w:tcW w:w="1021" w:type="pct"/>
            <w:vAlign w:val="center"/>
          </w:tcPr>
          <w:p w14:paraId="45C0CF0D">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项目支出</w:t>
            </w:r>
          </w:p>
        </w:tc>
        <w:tc>
          <w:tcPr>
            <w:tcW w:w="910" w:type="pct"/>
            <w:vAlign w:val="center"/>
          </w:tcPr>
          <w:p w14:paraId="10D412AC">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167.51</w:t>
            </w:r>
          </w:p>
        </w:tc>
        <w:tc>
          <w:tcPr>
            <w:tcW w:w="910" w:type="pct"/>
            <w:vAlign w:val="center"/>
          </w:tcPr>
          <w:p w14:paraId="32DD0802">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282.26</w:t>
            </w:r>
          </w:p>
        </w:tc>
        <w:tc>
          <w:tcPr>
            <w:tcW w:w="644" w:type="pct"/>
            <w:vAlign w:val="center"/>
          </w:tcPr>
          <w:p w14:paraId="6488FF0E">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282.26</w:t>
            </w:r>
          </w:p>
        </w:tc>
        <w:tc>
          <w:tcPr>
            <w:tcW w:w="1061" w:type="pct"/>
            <w:vAlign w:val="center"/>
          </w:tcPr>
          <w:p w14:paraId="76AD9D1D">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100%</w:t>
            </w:r>
          </w:p>
        </w:tc>
      </w:tr>
      <w:tr w14:paraId="30052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54" w:type="pct"/>
            <w:vAlign w:val="center"/>
          </w:tcPr>
          <w:p w14:paraId="0309F29D">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3</w:t>
            </w:r>
          </w:p>
        </w:tc>
        <w:tc>
          <w:tcPr>
            <w:tcW w:w="1021" w:type="pct"/>
            <w:vAlign w:val="center"/>
          </w:tcPr>
          <w:p w14:paraId="2FAD2483">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上缴上年支出</w:t>
            </w:r>
          </w:p>
        </w:tc>
        <w:tc>
          <w:tcPr>
            <w:tcW w:w="910" w:type="pct"/>
            <w:vAlign w:val="center"/>
          </w:tcPr>
          <w:p w14:paraId="205E874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w:t>
            </w:r>
          </w:p>
        </w:tc>
        <w:tc>
          <w:tcPr>
            <w:tcW w:w="910" w:type="pct"/>
            <w:vAlign w:val="center"/>
          </w:tcPr>
          <w:p w14:paraId="657805BB">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w:t>
            </w:r>
          </w:p>
        </w:tc>
        <w:tc>
          <w:tcPr>
            <w:tcW w:w="644" w:type="pct"/>
            <w:vAlign w:val="center"/>
          </w:tcPr>
          <w:p w14:paraId="4880C275">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w:t>
            </w:r>
          </w:p>
        </w:tc>
        <w:tc>
          <w:tcPr>
            <w:tcW w:w="1061" w:type="pct"/>
            <w:vAlign w:val="center"/>
          </w:tcPr>
          <w:p w14:paraId="0EB0CF15">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w:t>
            </w:r>
          </w:p>
        </w:tc>
      </w:tr>
      <w:tr w14:paraId="4F8CB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54" w:type="pct"/>
            <w:vAlign w:val="center"/>
          </w:tcPr>
          <w:p w14:paraId="50574F52">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4</w:t>
            </w:r>
          </w:p>
        </w:tc>
        <w:tc>
          <w:tcPr>
            <w:tcW w:w="1021" w:type="pct"/>
            <w:vAlign w:val="center"/>
          </w:tcPr>
          <w:p w14:paraId="408AD56E">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经营支出</w:t>
            </w:r>
          </w:p>
        </w:tc>
        <w:tc>
          <w:tcPr>
            <w:tcW w:w="910" w:type="pct"/>
            <w:vAlign w:val="center"/>
          </w:tcPr>
          <w:p w14:paraId="292AB23B">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w:t>
            </w:r>
          </w:p>
        </w:tc>
        <w:tc>
          <w:tcPr>
            <w:tcW w:w="910" w:type="pct"/>
            <w:vAlign w:val="center"/>
          </w:tcPr>
          <w:p w14:paraId="66045008">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w:t>
            </w:r>
          </w:p>
        </w:tc>
        <w:tc>
          <w:tcPr>
            <w:tcW w:w="644" w:type="pct"/>
            <w:vAlign w:val="center"/>
          </w:tcPr>
          <w:p w14:paraId="4E7F3180">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w:t>
            </w:r>
          </w:p>
        </w:tc>
        <w:tc>
          <w:tcPr>
            <w:tcW w:w="1061" w:type="pct"/>
            <w:vAlign w:val="center"/>
          </w:tcPr>
          <w:p w14:paraId="009AD93D">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w:t>
            </w:r>
          </w:p>
        </w:tc>
      </w:tr>
      <w:tr w14:paraId="5FA80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454" w:type="pct"/>
            <w:vAlign w:val="center"/>
          </w:tcPr>
          <w:p w14:paraId="641DCB7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5</w:t>
            </w:r>
          </w:p>
        </w:tc>
        <w:tc>
          <w:tcPr>
            <w:tcW w:w="1021" w:type="pct"/>
            <w:vAlign w:val="center"/>
          </w:tcPr>
          <w:p w14:paraId="6614B44E">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对附属单位补助支出</w:t>
            </w:r>
          </w:p>
        </w:tc>
        <w:tc>
          <w:tcPr>
            <w:tcW w:w="910" w:type="pct"/>
            <w:vAlign w:val="center"/>
          </w:tcPr>
          <w:p w14:paraId="43560720">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w:t>
            </w:r>
          </w:p>
        </w:tc>
        <w:tc>
          <w:tcPr>
            <w:tcW w:w="910" w:type="pct"/>
            <w:vAlign w:val="center"/>
          </w:tcPr>
          <w:p w14:paraId="565C3AF4">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w:t>
            </w:r>
          </w:p>
        </w:tc>
        <w:tc>
          <w:tcPr>
            <w:tcW w:w="644" w:type="pct"/>
            <w:vAlign w:val="center"/>
          </w:tcPr>
          <w:p w14:paraId="2B4E84CC">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w:t>
            </w:r>
          </w:p>
        </w:tc>
        <w:tc>
          <w:tcPr>
            <w:tcW w:w="1061" w:type="pct"/>
            <w:vAlign w:val="center"/>
          </w:tcPr>
          <w:p w14:paraId="7E495DFF">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w:t>
            </w:r>
          </w:p>
        </w:tc>
      </w:tr>
      <w:tr w14:paraId="1F79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475" w:type="pct"/>
            <w:gridSpan w:val="2"/>
            <w:vAlign w:val="center"/>
          </w:tcPr>
          <w:p w14:paraId="4B6D8882">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合计</w:t>
            </w:r>
          </w:p>
        </w:tc>
        <w:tc>
          <w:tcPr>
            <w:tcW w:w="910" w:type="pct"/>
            <w:vAlign w:val="center"/>
          </w:tcPr>
          <w:p w14:paraId="441ACE13">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3375.76</w:t>
            </w:r>
          </w:p>
        </w:tc>
        <w:tc>
          <w:tcPr>
            <w:tcW w:w="910" w:type="pct"/>
            <w:vAlign w:val="center"/>
          </w:tcPr>
          <w:p w14:paraId="5360897D">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3350.24</w:t>
            </w:r>
          </w:p>
        </w:tc>
        <w:tc>
          <w:tcPr>
            <w:tcW w:w="644" w:type="pct"/>
            <w:vAlign w:val="center"/>
          </w:tcPr>
          <w:p w14:paraId="39877167">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3350.24</w:t>
            </w:r>
          </w:p>
        </w:tc>
        <w:tc>
          <w:tcPr>
            <w:tcW w:w="1061" w:type="pct"/>
            <w:vAlign w:val="center"/>
          </w:tcPr>
          <w:p w14:paraId="1C1652F6">
            <w:pPr>
              <w:keepNext w:val="0"/>
              <w:keepLines/>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kern w:val="0"/>
                <w:sz w:val="22"/>
                <w:shd w:val="clear" w:color="auto" w:fill="auto"/>
                <w:lang w:bidi="ar"/>
              </w:rPr>
            </w:pPr>
            <w:r>
              <w:rPr>
                <w:rFonts w:hint="eastAsia" w:ascii="Times New Roman" w:hAnsi="Times New Roman" w:eastAsia="仿宋_GB2312"/>
                <w:kern w:val="0"/>
                <w:sz w:val="22"/>
                <w:shd w:val="clear" w:color="auto" w:fill="auto"/>
                <w:lang w:bidi="ar"/>
              </w:rPr>
              <w:t>100%</w:t>
            </w:r>
          </w:p>
        </w:tc>
      </w:tr>
    </w:tbl>
    <w:p w14:paraId="1230CD82">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3.部门</w:t>
      </w:r>
      <w:r>
        <w:rPr>
          <w:rFonts w:hint="eastAsia" w:eastAsia="仿宋_GB2312"/>
          <w:b/>
          <w:kern w:val="0"/>
          <w:sz w:val="32"/>
          <w:szCs w:val="32"/>
          <w:lang w:bidi="ar"/>
        </w:rPr>
        <w:t>一般公共预算财政拨款</w:t>
      </w:r>
      <w:r>
        <w:rPr>
          <w:rFonts w:eastAsia="仿宋_GB2312"/>
          <w:b/>
          <w:kern w:val="0"/>
          <w:sz w:val="32"/>
          <w:szCs w:val="32"/>
          <w:lang w:bidi="ar"/>
        </w:rPr>
        <w:t>“三公”经费支出情况</w:t>
      </w:r>
    </w:p>
    <w:p w14:paraId="7548B1F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2025年一般公共预算“三公”经费年初预算金额为10.5万元，全年预算数为10.5万元，2025年支出“三公”经费10.5万元，预算执行率100%。</w:t>
      </w:r>
    </w:p>
    <w:p w14:paraId="00E04459">
      <w:pPr>
        <w:pStyle w:val="92"/>
        <w:keepNext/>
        <w:keepLines/>
        <w:pageBreakBefore w:val="0"/>
        <w:widowControl w:val="0"/>
        <w:kinsoku/>
        <w:wordWrap/>
        <w:overflowPunct/>
        <w:topLinePunct w:val="0"/>
        <w:autoSpaceDE/>
        <w:autoSpaceDN/>
        <w:bidi w:val="0"/>
        <w:adjustRightInd/>
        <w:snapToGrid/>
        <w:ind w:firstLine="643"/>
        <w:jc w:val="both"/>
        <w:textAlignment w:val="auto"/>
        <w:rPr>
          <w:rFonts w:ascii="Times New Roman" w:hAnsi="Times New Roman" w:cs="Times New Roman"/>
        </w:rPr>
      </w:pPr>
      <w:bookmarkStart w:id="31" w:name="_Toc31855"/>
      <w:r>
        <w:rPr>
          <w:rFonts w:ascii="Times New Roman" w:hAnsi="Times New Roman" w:cs="Times New Roman"/>
        </w:rPr>
        <w:t>（</w:t>
      </w:r>
      <w:r>
        <w:rPr>
          <w:rFonts w:hint="eastAsia" w:ascii="Times New Roman" w:hAnsi="Times New Roman" w:cs="Times New Roman"/>
        </w:rPr>
        <w:t>三</w:t>
      </w:r>
      <w:r>
        <w:rPr>
          <w:rFonts w:ascii="Times New Roman" w:hAnsi="Times New Roman" w:cs="Times New Roman"/>
        </w:rPr>
        <w:t>）</w:t>
      </w:r>
      <w:r>
        <w:rPr>
          <w:rFonts w:hint="eastAsia" w:ascii="Times New Roman" w:hAnsi="Times New Roman" w:cs="Times New Roman"/>
        </w:rPr>
        <w:t>部门资产情况</w:t>
      </w:r>
      <w:bookmarkEnd w:id="31"/>
    </w:p>
    <w:p w14:paraId="36AAC84C">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1.资产配置情况</w:t>
      </w:r>
    </w:p>
    <w:p w14:paraId="50D2EDC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截至2025年12月31日，喀什市市场监督管理局资产总额228.43万元，其中流动资产50.73万元；固定资产净值171.87万元，无形资产5.83万元；固定资产具体情况如下：</w:t>
      </w:r>
    </w:p>
    <w:p w14:paraId="46F85B8F">
      <w:pPr>
        <w:pStyle w:val="13"/>
        <w:spacing w:after="0" w:line="560" w:lineRule="exact"/>
        <w:ind w:firstLine="482" w:firstLineChars="200"/>
        <w:contextualSpacing/>
        <w:jc w:val="center"/>
        <w:rPr>
          <w:rFonts w:eastAsia="仿宋_GB2312"/>
          <w:b/>
          <w:bCs/>
          <w:sz w:val="24"/>
          <w:szCs w:val="24"/>
        </w:rPr>
      </w:pPr>
      <w:r>
        <w:rPr>
          <w:rFonts w:hint="eastAsia" w:eastAsia="仿宋_GB2312"/>
          <w:b/>
          <w:bCs/>
          <w:sz w:val="24"/>
          <w:szCs w:val="24"/>
        </w:rPr>
        <w:t xml:space="preserve">表1-2 </w:t>
      </w:r>
      <w:r>
        <w:rPr>
          <w:rFonts w:eastAsia="仿宋_GB2312"/>
          <w:b/>
          <w:bCs/>
          <w:sz w:val="24"/>
          <w:szCs w:val="24"/>
        </w:rPr>
        <w:t>固定资产明细表</w:t>
      </w:r>
      <w:r>
        <w:rPr>
          <w:rFonts w:hint="eastAsia" w:eastAsia="仿宋_GB2312"/>
          <w:b/>
          <w:bCs/>
          <w:sz w:val="24"/>
          <w:szCs w:val="24"/>
        </w:rPr>
        <w:t xml:space="preserve">       </w:t>
      </w:r>
      <w:r>
        <w:rPr>
          <w:rFonts w:eastAsia="仿宋_GB2312"/>
          <w:b/>
          <w:bCs/>
          <w:sz w:val="24"/>
          <w:szCs w:val="24"/>
        </w:rPr>
        <w:t>单位：万元</w:t>
      </w:r>
    </w:p>
    <w:tbl>
      <w:tblPr>
        <w:tblStyle w:val="26"/>
        <w:tblW w:w="5000"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050"/>
        <w:gridCol w:w="1576"/>
        <w:gridCol w:w="1327"/>
        <w:gridCol w:w="1207"/>
        <w:gridCol w:w="1061"/>
        <w:gridCol w:w="1044"/>
      </w:tblGrid>
      <w:tr w14:paraId="66B52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796" w:type="dxa"/>
            <w:vMerge w:val="restart"/>
            <w:shd w:val="clear" w:color="auto" w:fill="D7D7D7"/>
            <w:noWrap/>
            <w:vAlign w:val="center"/>
          </w:tcPr>
          <w:p w14:paraId="40DD51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项目</w:t>
            </w:r>
          </w:p>
        </w:tc>
        <w:tc>
          <w:tcPr>
            <w:tcW w:w="5161" w:type="dxa"/>
            <w:gridSpan w:val="4"/>
            <w:shd w:val="clear" w:color="auto" w:fill="D7D7D7"/>
            <w:noWrap/>
            <w:vAlign w:val="center"/>
          </w:tcPr>
          <w:p w14:paraId="05829E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原值</w:t>
            </w:r>
          </w:p>
        </w:tc>
        <w:tc>
          <w:tcPr>
            <w:tcW w:w="1060" w:type="dxa"/>
            <w:vMerge w:val="restart"/>
            <w:shd w:val="clear" w:color="auto" w:fill="D7D7D7"/>
            <w:noWrap/>
            <w:vAlign w:val="center"/>
          </w:tcPr>
          <w:p w14:paraId="7F0C37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累计折旧</w:t>
            </w:r>
          </w:p>
        </w:tc>
        <w:tc>
          <w:tcPr>
            <w:tcW w:w="1043" w:type="dxa"/>
            <w:vMerge w:val="restart"/>
            <w:shd w:val="clear" w:color="auto" w:fill="D7D7D7"/>
            <w:noWrap/>
            <w:vAlign w:val="center"/>
          </w:tcPr>
          <w:p w14:paraId="12BC8E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净值</w:t>
            </w:r>
          </w:p>
        </w:tc>
      </w:tr>
      <w:tr w14:paraId="59A33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796" w:type="dxa"/>
            <w:vMerge w:val="continue"/>
            <w:shd w:val="clear" w:color="auto" w:fill="D7D7D7"/>
            <w:noWrap/>
            <w:vAlign w:val="center"/>
          </w:tcPr>
          <w:p w14:paraId="4FC40EA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p>
        </w:tc>
        <w:tc>
          <w:tcPr>
            <w:tcW w:w="1049" w:type="dxa"/>
            <w:shd w:val="clear" w:color="auto" w:fill="D7D7D7"/>
            <w:noWrap/>
            <w:vAlign w:val="center"/>
          </w:tcPr>
          <w:p w14:paraId="2F73EA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年初数</w:t>
            </w:r>
          </w:p>
        </w:tc>
        <w:tc>
          <w:tcPr>
            <w:tcW w:w="1578" w:type="dxa"/>
            <w:shd w:val="clear" w:color="auto" w:fill="D7D7D7"/>
            <w:noWrap/>
            <w:vAlign w:val="center"/>
          </w:tcPr>
          <w:p w14:paraId="0CF146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本年增加</w:t>
            </w:r>
          </w:p>
        </w:tc>
        <w:tc>
          <w:tcPr>
            <w:tcW w:w="1327" w:type="dxa"/>
            <w:shd w:val="clear" w:color="auto" w:fill="D7D7D7"/>
            <w:noWrap/>
            <w:vAlign w:val="center"/>
          </w:tcPr>
          <w:p w14:paraId="1F1A0B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本年减少</w:t>
            </w:r>
          </w:p>
        </w:tc>
        <w:tc>
          <w:tcPr>
            <w:tcW w:w="1207" w:type="dxa"/>
            <w:shd w:val="clear" w:color="auto" w:fill="D7D7D7"/>
            <w:noWrap/>
            <w:vAlign w:val="center"/>
          </w:tcPr>
          <w:p w14:paraId="452B0F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年末数</w:t>
            </w:r>
          </w:p>
        </w:tc>
        <w:tc>
          <w:tcPr>
            <w:tcW w:w="1060" w:type="dxa"/>
            <w:vMerge w:val="continue"/>
            <w:shd w:val="clear" w:color="auto" w:fill="D7D7D7"/>
            <w:noWrap/>
            <w:vAlign w:val="center"/>
          </w:tcPr>
          <w:p w14:paraId="200F678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p>
        </w:tc>
        <w:tc>
          <w:tcPr>
            <w:tcW w:w="1043" w:type="dxa"/>
            <w:vMerge w:val="continue"/>
            <w:shd w:val="clear" w:color="auto" w:fill="D7D7D7"/>
            <w:noWrap/>
            <w:vAlign w:val="center"/>
          </w:tcPr>
          <w:p w14:paraId="0A0414E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p>
        </w:tc>
      </w:tr>
      <w:tr w14:paraId="7AB3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796" w:type="dxa"/>
            <w:noWrap/>
            <w:vAlign w:val="center"/>
          </w:tcPr>
          <w:p w14:paraId="64B087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固定资产合计</w:t>
            </w:r>
          </w:p>
        </w:tc>
        <w:tc>
          <w:tcPr>
            <w:tcW w:w="1049" w:type="dxa"/>
            <w:noWrap/>
            <w:vAlign w:val="center"/>
          </w:tcPr>
          <w:p w14:paraId="63586E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949.51</w:t>
            </w:r>
          </w:p>
        </w:tc>
        <w:tc>
          <w:tcPr>
            <w:tcW w:w="1578" w:type="dxa"/>
            <w:noWrap/>
            <w:vAlign w:val="center"/>
          </w:tcPr>
          <w:p w14:paraId="528CF5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55.31</w:t>
            </w:r>
          </w:p>
        </w:tc>
        <w:tc>
          <w:tcPr>
            <w:tcW w:w="1327" w:type="dxa"/>
            <w:noWrap/>
            <w:vAlign w:val="center"/>
          </w:tcPr>
          <w:p w14:paraId="04A526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207" w:type="dxa"/>
            <w:noWrap/>
            <w:vAlign w:val="center"/>
          </w:tcPr>
          <w:p w14:paraId="4EB518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1004.82</w:t>
            </w:r>
          </w:p>
        </w:tc>
        <w:tc>
          <w:tcPr>
            <w:tcW w:w="1060" w:type="dxa"/>
            <w:noWrap/>
            <w:vAlign w:val="center"/>
          </w:tcPr>
          <w:p w14:paraId="147AF1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832.95</w:t>
            </w:r>
          </w:p>
        </w:tc>
        <w:tc>
          <w:tcPr>
            <w:tcW w:w="1043" w:type="dxa"/>
            <w:noWrap/>
            <w:vAlign w:val="center"/>
          </w:tcPr>
          <w:p w14:paraId="4B7C4D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17</w:t>
            </w:r>
            <w:r>
              <w:rPr>
                <w:rFonts w:hint="eastAsia" w:eastAsia="仿宋_GB2312"/>
                <w:kern w:val="0"/>
                <w:sz w:val="22"/>
                <w:lang w:bidi="ar"/>
              </w:rPr>
              <w:t>1.87</w:t>
            </w:r>
          </w:p>
        </w:tc>
      </w:tr>
      <w:tr w14:paraId="5D10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796" w:type="dxa"/>
            <w:noWrap/>
            <w:vAlign w:val="center"/>
          </w:tcPr>
          <w:p w14:paraId="5898CD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土地、房屋及构筑物</w:t>
            </w:r>
          </w:p>
        </w:tc>
        <w:tc>
          <w:tcPr>
            <w:tcW w:w="1049" w:type="dxa"/>
            <w:noWrap/>
            <w:vAlign w:val="center"/>
          </w:tcPr>
          <w:p w14:paraId="791A01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510.79</w:t>
            </w:r>
          </w:p>
        </w:tc>
        <w:tc>
          <w:tcPr>
            <w:tcW w:w="1578" w:type="dxa"/>
            <w:noWrap/>
            <w:vAlign w:val="center"/>
          </w:tcPr>
          <w:p w14:paraId="75AD52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327" w:type="dxa"/>
            <w:noWrap/>
            <w:vAlign w:val="center"/>
          </w:tcPr>
          <w:p w14:paraId="155148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207" w:type="dxa"/>
            <w:noWrap/>
            <w:vAlign w:val="center"/>
          </w:tcPr>
          <w:p w14:paraId="6A5EAF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510.79</w:t>
            </w:r>
          </w:p>
        </w:tc>
        <w:tc>
          <w:tcPr>
            <w:tcW w:w="1060" w:type="dxa"/>
            <w:noWrap/>
            <w:vAlign w:val="center"/>
          </w:tcPr>
          <w:p w14:paraId="4D705B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357.91</w:t>
            </w:r>
          </w:p>
        </w:tc>
        <w:tc>
          <w:tcPr>
            <w:tcW w:w="1043" w:type="dxa"/>
            <w:noWrap/>
            <w:vAlign w:val="center"/>
          </w:tcPr>
          <w:p w14:paraId="6A731C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152.88</w:t>
            </w:r>
          </w:p>
        </w:tc>
      </w:tr>
      <w:tr w14:paraId="3541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796" w:type="dxa"/>
            <w:noWrap/>
            <w:vAlign w:val="center"/>
          </w:tcPr>
          <w:p w14:paraId="6D7D67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设备类</w:t>
            </w:r>
          </w:p>
        </w:tc>
        <w:tc>
          <w:tcPr>
            <w:tcW w:w="1049" w:type="dxa"/>
            <w:noWrap/>
            <w:vAlign w:val="center"/>
          </w:tcPr>
          <w:p w14:paraId="7F0A55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374.51</w:t>
            </w:r>
          </w:p>
        </w:tc>
        <w:tc>
          <w:tcPr>
            <w:tcW w:w="1578" w:type="dxa"/>
            <w:noWrap/>
            <w:vAlign w:val="center"/>
          </w:tcPr>
          <w:p w14:paraId="4A85E4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5</w:t>
            </w:r>
            <w:r>
              <w:rPr>
                <w:rFonts w:hint="eastAsia" w:eastAsia="仿宋_GB2312"/>
                <w:kern w:val="0"/>
                <w:sz w:val="22"/>
                <w:lang w:bidi="ar"/>
              </w:rPr>
              <w:t>3.4</w:t>
            </w:r>
          </w:p>
        </w:tc>
        <w:tc>
          <w:tcPr>
            <w:tcW w:w="1327" w:type="dxa"/>
            <w:noWrap/>
            <w:vAlign w:val="center"/>
          </w:tcPr>
          <w:p w14:paraId="0D9174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207" w:type="dxa"/>
            <w:noWrap/>
            <w:vAlign w:val="center"/>
          </w:tcPr>
          <w:p w14:paraId="20233D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427.91</w:t>
            </w:r>
          </w:p>
        </w:tc>
        <w:tc>
          <w:tcPr>
            <w:tcW w:w="1060" w:type="dxa"/>
            <w:noWrap/>
            <w:vAlign w:val="center"/>
          </w:tcPr>
          <w:p w14:paraId="02FE8F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415.81</w:t>
            </w:r>
          </w:p>
        </w:tc>
        <w:tc>
          <w:tcPr>
            <w:tcW w:w="1043" w:type="dxa"/>
            <w:noWrap/>
            <w:vAlign w:val="center"/>
          </w:tcPr>
          <w:p w14:paraId="7ADE17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1</w:t>
            </w:r>
            <w:r>
              <w:rPr>
                <w:rFonts w:hint="eastAsia" w:eastAsia="仿宋_GB2312"/>
                <w:kern w:val="0"/>
                <w:sz w:val="22"/>
                <w:lang w:bidi="ar"/>
              </w:rPr>
              <w:t>2.1</w:t>
            </w:r>
          </w:p>
        </w:tc>
      </w:tr>
      <w:tr w14:paraId="0498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796" w:type="dxa"/>
            <w:noWrap/>
            <w:vAlign w:val="center"/>
          </w:tcPr>
          <w:p w14:paraId="2B743F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文物和陈列品</w:t>
            </w:r>
          </w:p>
        </w:tc>
        <w:tc>
          <w:tcPr>
            <w:tcW w:w="1049" w:type="dxa"/>
            <w:noWrap/>
            <w:vAlign w:val="center"/>
          </w:tcPr>
          <w:p w14:paraId="25A741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578" w:type="dxa"/>
            <w:noWrap/>
            <w:vAlign w:val="center"/>
          </w:tcPr>
          <w:p w14:paraId="1C7BB0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327" w:type="dxa"/>
            <w:noWrap/>
            <w:vAlign w:val="center"/>
          </w:tcPr>
          <w:p w14:paraId="502029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207" w:type="dxa"/>
            <w:noWrap/>
            <w:vAlign w:val="center"/>
          </w:tcPr>
          <w:p w14:paraId="7CF021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060" w:type="dxa"/>
            <w:noWrap/>
            <w:vAlign w:val="center"/>
          </w:tcPr>
          <w:p w14:paraId="234B5D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043" w:type="dxa"/>
            <w:noWrap/>
            <w:vAlign w:val="center"/>
          </w:tcPr>
          <w:p w14:paraId="1D4BEB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r>
      <w:tr w14:paraId="65BA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796" w:type="dxa"/>
            <w:noWrap/>
            <w:vAlign w:val="center"/>
          </w:tcPr>
          <w:p w14:paraId="612627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图书、档案</w:t>
            </w:r>
          </w:p>
        </w:tc>
        <w:tc>
          <w:tcPr>
            <w:tcW w:w="1049" w:type="dxa"/>
            <w:noWrap/>
            <w:vAlign w:val="center"/>
          </w:tcPr>
          <w:p w14:paraId="0FCAB2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0.2</w:t>
            </w:r>
          </w:p>
        </w:tc>
        <w:tc>
          <w:tcPr>
            <w:tcW w:w="1578" w:type="dxa"/>
            <w:noWrap/>
            <w:vAlign w:val="center"/>
          </w:tcPr>
          <w:p w14:paraId="6E3E7E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327" w:type="dxa"/>
            <w:noWrap/>
            <w:vAlign w:val="center"/>
          </w:tcPr>
          <w:p w14:paraId="6E8E40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207" w:type="dxa"/>
            <w:noWrap/>
            <w:vAlign w:val="center"/>
          </w:tcPr>
          <w:p w14:paraId="625830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0.2</w:t>
            </w:r>
          </w:p>
        </w:tc>
        <w:tc>
          <w:tcPr>
            <w:tcW w:w="1060" w:type="dxa"/>
            <w:noWrap/>
            <w:vAlign w:val="center"/>
          </w:tcPr>
          <w:p w14:paraId="6C53AF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043" w:type="dxa"/>
            <w:noWrap/>
            <w:vAlign w:val="center"/>
          </w:tcPr>
          <w:p w14:paraId="6185D1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0.2</w:t>
            </w:r>
          </w:p>
        </w:tc>
      </w:tr>
      <w:tr w14:paraId="1A517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796" w:type="dxa"/>
            <w:noWrap/>
            <w:vAlign w:val="center"/>
          </w:tcPr>
          <w:p w14:paraId="4A3272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家具、用具、装具</w:t>
            </w:r>
          </w:p>
        </w:tc>
        <w:tc>
          <w:tcPr>
            <w:tcW w:w="1049" w:type="dxa"/>
            <w:noWrap/>
            <w:vAlign w:val="center"/>
          </w:tcPr>
          <w:p w14:paraId="0C5B99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64.01</w:t>
            </w:r>
          </w:p>
        </w:tc>
        <w:tc>
          <w:tcPr>
            <w:tcW w:w="1578" w:type="dxa"/>
            <w:noWrap/>
            <w:vAlign w:val="center"/>
          </w:tcPr>
          <w:p w14:paraId="312D28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1.91</w:t>
            </w:r>
          </w:p>
        </w:tc>
        <w:tc>
          <w:tcPr>
            <w:tcW w:w="1327" w:type="dxa"/>
            <w:noWrap/>
            <w:vAlign w:val="center"/>
          </w:tcPr>
          <w:p w14:paraId="2C7236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207" w:type="dxa"/>
            <w:noWrap/>
            <w:vAlign w:val="center"/>
          </w:tcPr>
          <w:p w14:paraId="34A767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65.92</w:t>
            </w:r>
          </w:p>
        </w:tc>
        <w:tc>
          <w:tcPr>
            <w:tcW w:w="1060" w:type="dxa"/>
            <w:noWrap/>
            <w:vAlign w:val="center"/>
          </w:tcPr>
          <w:p w14:paraId="1534DA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59.23</w:t>
            </w:r>
          </w:p>
        </w:tc>
        <w:tc>
          <w:tcPr>
            <w:tcW w:w="1043" w:type="dxa"/>
            <w:noWrap/>
            <w:vAlign w:val="center"/>
          </w:tcPr>
          <w:p w14:paraId="27BD0A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6.69</w:t>
            </w:r>
          </w:p>
        </w:tc>
      </w:tr>
      <w:tr w14:paraId="3D1F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796" w:type="dxa"/>
            <w:noWrap/>
            <w:vAlign w:val="center"/>
          </w:tcPr>
          <w:p w14:paraId="4214EF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特种动植物</w:t>
            </w:r>
          </w:p>
        </w:tc>
        <w:tc>
          <w:tcPr>
            <w:tcW w:w="1049" w:type="dxa"/>
            <w:noWrap/>
            <w:vAlign w:val="center"/>
          </w:tcPr>
          <w:p w14:paraId="3840C9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578" w:type="dxa"/>
            <w:noWrap/>
            <w:vAlign w:val="center"/>
          </w:tcPr>
          <w:p w14:paraId="287613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327" w:type="dxa"/>
            <w:noWrap/>
            <w:vAlign w:val="center"/>
          </w:tcPr>
          <w:p w14:paraId="54CBF2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207" w:type="dxa"/>
            <w:noWrap/>
            <w:vAlign w:val="center"/>
          </w:tcPr>
          <w:p w14:paraId="2F2FA4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060" w:type="dxa"/>
            <w:noWrap/>
            <w:vAlign w:val="center"/>
          </w:tcPr>
          <w:p w14:paraId="51CC7B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043" w:type="dxa"/>
            <w:noWrap/>
            <w:vAlign w:val="center"/>
          </w:tcPr>
          <w:p w14:paraId="2CA125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r>
      <w:tr w14:paraId="2055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796" w:type="dxa"/>
            <w:noWrap/>
            <w:vAlign w:val="center"/>
          </w:tcPr>
          <w:p w14:paraId="722B44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szCs w:val="24"/>
              </w:rPr>
            </w:pPr>
            <w:r>
              <w:rPr>
                <w:rFonts w:hint="default" w:eastAsia="仿宋_GB2312"/>
                <w:bCs/>
                <w:kern w:val="0"/>
                <w:sz w:val="22"/>
                <w:szCs w:val="24"/>
              </w:rPr>
              <w:t>无形资产</w:t>
            </w:r>
          </w:p>
        </w:tc>
        <w:tc>
          <w:tcPr>
            <w:tcW w:w="1049" w:type="dxa"/>
            <w:noWrap/>
            <w:vAlign w:val="center"/>
          </w:tcPr>
          <w:p w14:paraId="00EB72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0.48</w:t>
            </w:r>
          </w:p>
        </w:tc>
        <w:tc>
          <w:tcPr>
            <w:tcW w:w="1578" w:type="dxa"/>
            <w:noWrap/>
            <w:vAlign w:val="center"/>
          </w:tcPr>
          <w:p w14:paraId="6382CF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5.35</w:t>
            </w:r>
          </w:p>
        </w:tc>
        <w:tc>
          <w:tcPr>
            <w:tcW w:w="1327" w:type="dxa"/>
            <w:noWrap/>
            <w:vAlign w:val="center"/>
          </w:tcPr>
          <w:p w14:paraId="2C4C76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207" w:type="dxa"/>
            <w:noWrap/>
            <w:vAlign w:val="center"/>
          </w:tcPr>
          <w:p w14:paraId="0C731A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5.83</w:t>
            </w:r>
          </w:p>
        </w:tc>
        <w:tc>
          <w:tcPr>
            <w:tcW w:w="1060" w:type="dxa"/>
            <w:noWrap/>
            <w:vAlign w:val="center"/>
          </w:tcPr>
          <w:p w14:paraId="36CCA0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w:t>
            </w:r>
          </w:p>
        </w:tc>
        <w:tc>
          <w:tcPr>
            <w:tcW w:w="1043" w:type="dxa"/>
            <w:noWrap/>
            <w:vAlign w:val="center"/>
          </w:tcPr>
          <w:p w14:paraId="63326B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5.83</w:t>
            </w:r>
          </w:p>
        </w:tc>
      </w:tr>
    </w:tbl>
    <w:p w14:paraId="1CE3BE4F">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2.资产管理情况</w:t>
      </w:r>
    </w:p>
    <w:p w14:paraId="6808902C">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bookmarkStart w:id="32" w:name="_Toc27638"/>
      <w:r>
        <w:rPr>
          <w:rFonts w:hint="eastAsia" w:eastAsia="仿宋_GB2312"/>
          <w:bCs/>
          <w:kern w:val="0"/>
          <w:sz w:val="32"/>
          <w:szCs w:val="32"/>
          <w:lang w:bidi="ar"/>
        </w:rPr>
        <w:t>喀什市市场监督管理局制定《喀什市市场监督管理局资产管理制度》，对资产配置、购置、登记、使用、维护、处置、清查等全流程进行规范，细化资产管控，形成完整管理体系。</w:t>
      </w:r>
    </w:p>
    <w:p w14:paraId="2B8FE005">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流动资产方面，部门或个人用款需提前提交付款审批单，清晰注明款项用途、金额、支付方式等信息，并附上有效合同、原始单据等相关证明材料；审批人按岗位职责、权限及既定程序审核支付申请，驳回不合规申请；针对特殊性质、大额资金支付情况，须及时上报相关部门；复核人对已审批的支付申请及会计凭证进行全面核查，确认审批范围、权限、程序合规，手续单证齐全、金额准确、支付信息妥当，复核无误后移交出纳办理支付；出纳依据复核无误的申请及合规凭证办理收支业务，为相关凭证加盖收付讫章，未盖章导致重复报销造成损失的，由责任人承担赔偿责任。</w:t>
      </w:r>
    </w:p>
    <w:p w14:paraId="4991F935">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固定资产及其他资产的管理上，按工作需求科学编制配置计划，购置履行审批程序，大型资产需可行性论证；实行台账登记，记录资产详细信息确保账实相符；应建立固定资产实物登记卡，详细记载固定资产的购建、使用、出租、投资、调拨、出让、报废、维修等情况，明确保管（使用）人的责任，保证固定资产完整，防止固定资产流失，禁止擅自转借、出租或处置；处置应当经过中介机构评估或鉴定，报主管部门和财政部门批准；每年至少一次全面清查，处理盘盈盘亏问题。</w:t>
      </w:r>
    </w:p>
    <w:p w14:paraId="0012347C">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33" w:name="_Toc63"/>
      <w:r>
        <w:rPr>
          <w:rFonts w:ascii="Times New Roman" w:hAnsi="Times New Roman" w:cs="Times New Roman"/>
        </w:rPr>
        <w:t>（四）部门年度重点工作任务</w:t>
      </w:r>
      <w:bookmarkEnd w:id="33"/>
    </w:p>
    <w:p w14:paraId="55741E6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一是围绕“四个聚焦”筑牢市场监管防线，提升服务发展效能，包括聚焦旅游产业全链条监管，聚焦市场主体风险点排查，聚焦重点领域专项整治推进，聚焦营造公平竞争市场环境；二是持续优化营商环境，促进经济健康发展；三是强化信用监管，推进诚信体系建设。四是加强四大安全监管，守护安全生产底线；五是加强服务引导，推进质量提升；六是加强消费者权益保护举措，构建和谐消费环境；七是维护市场秩序，优化市场环境；八是排查化解风险隐患，落实维护社会稳定责任；九是强化法治建设，优化法治化营商环境。部门工作计划明确、全面、完整，与该单位实际相适应。</w:t>
      </w:r>
    </w:p>
    <w:bookmarkEnd w:id="32"/>
    <w:p w14:paraId="62C07AAA">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34" w:name="_Toc4579"/>
      <w:bookmarkStart w:id="35" w:name="_Toc2202"/>
      <w:r>
        <w:rPr>
          <w:rFonts w:ascii="Times New Roman" w:hAnsi="Times New Roman" w:cs="Times New Roman"/>
        </w:rPr>
        <w:t>（五）部门年度绩效目标</w:t>
      </w:r>
      <w:bookmarkEnd w:id="34"/>
    </w:p>
    <w:p w14:paraId="0D2EBA48">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1.年度总体目标</w:t>
      </w:r>
    </w:p>
    <w:p w14:paraId="0DC7B0D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目标</w:t>
      </w:r>
      <w:r>
        <w:rPr>
          <w:rFonts w:hint="eastAsia" w:eastAsia="仿宋_GB2312"/>
          <w:bCs/>
          <w:kern w:val="0"/>
          <w:sz w:val="32"/>
          <w:szCs w:val="32"/>
          <w:lang w:val="en-US" w:eastAsia="zh-CN" w:bidi="ar"/>
        </w:rPr>
        <w:t>1</w:t>
      </w:r>
      <w:r>
        <w:rPr>
          <w:rFonts w:hint="eastAsia" w:eastAsia="仿宋_GB2312"/>
          <w:bCs/>
          <w:kern w:val="0"/>
          <w:sz w:val="32"/>
          <w:szCs w:val="32"/>
          <w:lang w:bidi="ar"/>
        </w:rPr>
        <w:t>.计划抽检不少于1016批次，抽检信息公布率达100%，加强四大安全监管，守护安全生产底线，开展食品安全监督抽检，药械化抽样任务完成率达到100%，年底前实现全市七大类8200余台特种设备定检率不</w:t>
      </w:r>
      <w:r>
        <w:rPr>
          <w:rFonts w:hint="eastAsia" w:eastAsia="仿宋_GB2312"/>
          <w:bCs/>
          <w:kern w:val="0"/>
          <w:sz w:val="32"/>
          <w:szCs w:val="32"/>
          <w:lang w:val="en-US" w:eastAsia="zh-CN" w:bidi="ar"/>
        </w:rPr>
        <w:t>低</w:t>
      </w:r>
      <w:r>
        <w:rPr>
          <w:rFonts w:hint="eastAsia" w:eastAsia="仿宋_GB2312"/>
          <w:bCs/>
          <w:kern w:val="0"/>
          <w:sz w:val="32"/>
          <w:szCs w:val="32"/>
          <w:lang w:bidi="ar"/>
        </w:rPr>
        <w:t>于95%，特种设备注册登记率不</w:t>
      </w:r>
      <w:r>
        <w:rPr>
          <w:rFonts w:hint="eastAsia" w:eastAsia="仿宋_GB2312"/>
          <w:bCs/>
          <w:kern w:val="0"/>
          <w:sz w:val="32"/>
          <w:szCs w:val="32"/>
          <w:lang w:val="en-US" w:eastAsia="zh-CN" w:bidi="ar"/>
        </w:rPr>
        <w:t>低</w:t>
      </w:r>
      <w:r>
        <w:rPr>
          <w:rFonts w:hint="eastAsia" w:eastAsia="仿宋_GB2312"/>
          <w:bCs/>
          <w:kern w:val="0"/>
          <w:sz w:val="32"/>
          <w:szCs w:val="32"/>
          <w:lang w:bidi="ar"/>
        </w:rPr>
        <w:t>于99%，全年不发生重特大特种设备安全事故。</w:t>
      </w:r>
    </w:p>
    <w:p w14:paraId="40D7778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目标</w:t>
      </w:r>
      <w:r>
        <w:rPr>
          <w:rFonts w:hint="eastAsia" w:eastAsia="仿宋_GB2312"/>
          <w:bCs/>
          <w:kern w:val="0"/>
          <w:sz w:val="32"/>
          <w:szCs w:val="32"/>
          <w:lang w:val="en-US" w:eastAsia="zh-CN" w:bidi="ar"/>
        </w:rPr>
        <w:t>2.</w:t>
      </w:r>
      <w:r>
        <w:rPr>
          <w:rFonts w:hint="eastAsia" w:eastAsia="仿宋_GB2312"/>
          <w:bCs/>
          <w:kern w:val="0"/>
          <w:sz w:val="32"/>
          <w:szCs w:val="32"/>
          <w:lang w:bidi="ar"/>
        </w:rPr>
        <w:t>加强服务引导，推进质量提升，做好知识产权促进与保护工作，完成知识产权强区三年行动方案各类指标性工作，年底前商标有效注册量不少于19389件。</w:t>
      </w:r>
    </w:p>
    <w:p w14:paraId="2512417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目标</w:t>
      </w:r>
      <w:r>
        <w:rPr>
          <w:rFonts w:hint="eastAsia" w:eastAsia="仿宋_GB2312"/>
          <w:bCs/>
          <w:kern w:val="0"/>
          <w:sz w:val="32"/>
          <w:szCs w:val="32"/>
          <w:lang w:val="en-US" w:eastAsia="zh-CN" w:bidi="ar"/>
        </w:rPr>
        <w:t>3</w:t>
      </w:r>
      <w:r>
        <w:rPr>
          <w:rFonts w:hint="eastAsia" w:eastAsia="仿宋_GB2312"/>
          <w:bCs/>
          <w:kern w:val="0"/>
          <w:sz w:val="32"/>
          <w:szCs w:val="32"/>
          <w:lang w:bidi="ar"/>
        </w:rPr>
        <w:t>.2025年加强消费者权益保护举措，构建和谐消费环境，做好12315投诉举报平台受理化解和12345转办处理工作，确保办结率达到100%。维护市场秩序，优化市场环境，推动市场价格监管工作，开展涉企收费专项检查，加强民生领域广告监管。</w:t>
      </w:r>
    </w:p>
    <w:p w14:paraId="4865C1D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eastAsia="仿宋_GB2312"/>
          <w:bCs/>
          <w:kern w:val="0"/>
          <w:sz w:val="32"/>
          <w:szCs w:val="32"/>
          <w:lang w:bidi="ar"/>
        </w:rPr>
      </w:pPr>
      <w:r>
        <w:rPr>
          <w:rFonts w:hint="eastAsia" w:eastAsia="仿宋_GB2312"/>
          <w:bCs/>
          <w:kern w:val="0"/>
          <w:sz w:val="32"/>
          <w:szCs w:val="32"/>
          <w:lang w:bidi="ar"/>
        </w:rPr>
        <w:t>目标</w:t>
      </w:r>
      <w:r>
        <w:rPr>
          <w:rFonts w:hint="eastAsia" w:eastAsia="仿宋_GB2312"/>
          <w:bCs/>
          <w:kern w:val="0"/>
          <w:sz w:val="32"/>
          <w:szCs w:val="32"/>
          <w:lang w:val="en-US" w:eastAsia="zh-CN" w:bidi="ar"/>
        </w:rPr>
        <w:t>4</w:t>
      </w:r>
      <w:r>
        <w:rPr>
          <w:rFonts w:hint="eastAsia" w:eastAsia="仿宋_GB2312"/>
          <w:bCs/>
          <w:kern w:val="0"/>
          <w:sz w:val="32"/>
          <w:szCs w:val="32"/>
          <w:lang w:bidi="ar"/>
        </w:rPr>
        <w:t>.计划开展</w:t>
      </w:r>
      <w:r>
        <w:rPr>
          <w:rFonts w:hint="eastAsia" w:eastAsia="仿宋_GB2312"/>
          <w:bCs/>
          <w:kern w:val="0"/>
          <w:sz w:val="32"/>
          <w:szCs w:val="32"/>
          <w:lang w:eastAsia="zh-CN" w:bidi="ar"/>
        </w:rPr>
        <w:t>“3·15”消费者权益日</w:t>
      </w:r>
      <w:r>
        <w:rPr>
          <w:rFonts w:hint="eastAsia" w:eastAsia="仿宋_GB2312"/>
          <w:bCs/>
          <w:kern w:val="0"/>
          <w:sz w:val="32"/>
          <w:szCs w:val="32"/>
          <w:lang w:bidi="ar"/>
        </w:rPr>
        <w:t>、</w:t>
      </w:r>
      <w:r>
        <w:rPr>
          <w:rFonts w:hint="eastAsia" w:eastAsia="仿宋_GB2312"/>
          <w:bCs/>
          <w:kern w:val="0"/>
          <w:sz w:val="32"/>
          <w:szCs w:val="32"/>
          <w:lang w:eastAsia="zh-CN" w:bidi="ar"/>
        </w:rPr>
        <w:t>“4·15”全民国家安全教育日</w:t>
      </w:r>
      <w:r>
        <w:rPr>
          <w:rFonts w:hint="eastAsia" w:eastAsia="仿宋_GB2312"/>
          <w:bCs/>
          <w:kern w:val="0"/>
          <w:sz w:val="32"/>
          <w:szCs w:val="32"/>
          <w:lang w:bidi="ar"/>
        </w:rPr>
        <w:t>、</w:t>
      </w:r>
      <w:r>
        <w:rPr>
          <w:rFonts w:hint="eastAsia" w:eastAsia="仿宋_GB2312"/>
          <w:bCs/>
          <w:kern w:val="0"/>
          <w:sz w:val="32"/>
          <w:szCs w:val="32"/>
          <w:lang w:eastAsia="zh-CN" w:bidi="ar"/>
        </w:rPr>
        <w:t>“</w:t>
      </w:r>
      <w:r>
        <w:rPr>
          <w:rFonts w:hint="eastAsia" w:eastAsia="仿宋_GB2312"/>
          <w:bCs/>
          <w:kern w:val="0"/>
          <w:sz w:val="32"/>
          <w:szCs w:val="32"/>
          <w:lang w:bidi="ar"/>
        </w:rPr>
        <w:t>4</w:t>
      </w:r>
      <w:r>
        <w:rPr>
          <w:rFonts w:hint="eastAsia" w:eastAsia="仿宋_GB2312"/>
          <w:bCs/>
          <w:kern w:val="0"/>
          <w:sz w:val="32"/>
          <w:szCs w:val="32"/>
          <w:lang w:eastAsia="zh-CN" w:bidi="ar"/>
        </w:rPr>
        <w:t>·</w:t>
      </w:r>
      <w:r>
        <w:rPr>
          <w:rFonts w:hint="eastAsia" w:eastAsia="仿宋_GB2312"/>
          <w:bCs/>
          <w:kern w:val="0"/>
          <w:sz w:val="32"/>
          <w:szCs w:val="32"/>
          <w:lang w:bidi="ar"/>
        </w:rPr>
        <w:t>26</w:t>
      </w:r>
      <w:r>
        <w:rPr>
          <w:rFonts w:hint="eastAsia" w:eastAsia="仿宋_GB2312"/>
          <w:bCs/>
          <w:kern w:val="0"/>
          <w:sz w:val="32"/>
          <w:szCs w:val="32"/>
          <w:lang w:eastAsia="zh-CN" w:bidi="ar"/>
        </w:rPr>
        <w:t>”</w:t>
      </w:r>
      <w:r>
        <w:rPr>
          <w:rFonts w:hint="eastAsia" w:eastAsia="仿宋_GB2312"/>
          <w:bCs/>
          <w:kern w:val="0"/>
          <w:sz w:val="32"/>
          <w:szCs w:val="32"/>
          <w:lang w:bidi="ar"/>
        </w:rPr>
        <w:t>世界知识产权日、</w:t>
      </w:r>
      <w:r>
        <w:rPr>
          <w:rFonts w:hint="eastAsia" w:eastAsia="仿宋_GB2312"/>
          <w:bCs/>
          <w:kern w:val="0"/>
          <w:sz w:val="32"/>
          <w:szCs w:val="32"/>
          <w:lang w:eastAsia="zh-CN" w:bidi="ar"/>
        </w:rPr>
        <w:t>“</w:t>
      </w:r>
      <w:r>
        <w:rPr>
          <w:rFonts w:hint="eastAsia" w:eastAsia="仿宋_GB2312"/>
          <w:bCs/>
          <w:kern w:val="0"/>
          <w:sz w:val="32"/>
          <w:szCs w:val="32"/>
          <w:lang w:bidi="ar"/>
        </w:rPr>
        <w:t>5</w:t>
      </w:r>
      <w:r>
        <w:rPr>
          <w:rFonts w:hint="eastAsia" w:eastAsia="仿宋_GB2312"/>
          <w:bCs/>
          <w:kern w:val="0"/>
          <w:sz w:val="32"/>
          <w:szCs w:val="32"/>
          <w:lang w:eastAsia="zh-CN" w:bidi="ar"/>
        </w:rPr>
        <w:t>·</w:t>
      </w:r>
      <w:r>
        <w:rPr>
          <w:rFonts w:hint="eastAsia" w:eastAsia="仿宋_GB2312"/>
          <w:bCs/>
          <w:kern w:val="0"/>
          <w:sz w:val="32"/>
          <w:szCs w:val="32"/>
          <w:lang w:bidi="ar"/>
        </w:rPr>
        <w:t>20</w:t>
      </w:r>
      <w:r>
        <w:rPr>
          <w:rFonts w:hint="eastAsia" w:eastAsia="仿宋_GB2312"/>
          <w:bCs/>
          <w:kern w:val="0"/>
          <w:sz w:val="32"/>
          <w:szCs w:val="32"/>
          <w:lang w:eastAsia="zh-CN" w:bidi="ar"/>
        </w:rPr>
        <w:t>”</w:t>
      </w:r>
      <w:r>
        <w:rPr>
          <w:rFonts w:hint="eastAsia" w:eastAsia="仿宋_GB2312"/>
          <w:bCs/>
          <w:kern w:val="0"/>
          <w:sz w:val="32"/>
          <w:szCs w:val="32"/>
          <w:lang w:bidi="ar"/>
        </w:rPr>
        <w:t>世界计量日、</w:t>
      </w:r>
      <w:r>
        <w:rPr>
          <w:rFonts w:hint="eastAsia" w:eastAsia="仿宋_GB2312"/>
          <w:bCs/>
          <w:kern w:val="0"/>
          <w:sz w:val="32"/>
          <w:szCs w:val="32"/>
          <w:lang w:eastAsia="zh-CN" w:bidi="ar"/>
        </w:rPr>
        <w:t>“</w:t>
      </w:r>
      <w:r>
        <w:rPr>
          <w:rFonts w:hint="eastAsia" w:eastAsia="仿宋_GB2312"/>
          <w:bCs/>
          <w:kern w:val="0"/>
          <w:sz w:val="32"/>
          <w:szCs w:val="32"/>
          <w:lang w:bidi="ar"/>
        </w:rPr>
        <w:t>5</w:t>
      </w:r>
      <w:r>
        <w:rPr>
          <w:rFonts w:hint="eastAsia" w:eastAsia="仿宋_GB2312"/>
          <w:bCs/>
          <w:kern w:val="0"/>
          <w:sz w:val="32"/>
          <w:szCs w:val="32"/>
          <w:lang w:eastAsia="zh-CN" w:bidi="ar"/>
        </w:rPr>
        <w:t>·</w:t>
      </w:r>
      <w:r>
        <w:rPr>
          <w:rFonts w:hint="eastAsia" w:eastAsia="仿宋_GB2312"/>
          <w:bCs/>
          <w:kern w:val="0"/>
          <w:sz w:val="32"/>
          <w:szCs w:val="32"/>
          <w:lang w:bidi="ar"/>
        </w:rPr>
        <w:t>25</w:t>
      </w:r>
      <w:r>
        <w:rPr>
          <w:rFonts w:hint="eastAsia" w:eastAsia="仿宋_GB2312"/>
          <w:bCs/>
          <w:kern w:val="0"/>
          <w:sz w:val="32"/>
          <w:szCs w:val="32"/>
          <w:lang w:eastAsia="zh-CN" w:bidi="ar"/>
        </w:rPr>
        <w:t>”</w:t>
      </w:r>
      <w:r>
        <w:rPr>
          <w:rFonts w:hint="eastAsia" w:eastAsia="仿宋_GB2312"/>
          <w:bCs/>
          <w:kern w:val="0"/>
          <w:sz w:val="32"/>
          <w:szCs w:val="32"/>
          <w:lang w:bidi="ar"/>
        </w:rPr>
        <w:t>爱肤日、</w:t>
      </w:r>
      <w:r>
        <w:rPr>
          <w:rFonts w:hint="eastAsia" w:eastAsia="仿宋_GB2312"/>
          <w:bCs/>
          <w:kern w:val="0"/>
          <w:sz w:val="32"/>
          <w:szCs w:val="32"/>
          <w:lang w:eastAsia="zh-CN" w:bidi="ar"/>
        </w:rPr>
        <w:t>“12·4”国家宪法日</w:t>
      </w:r>
      <w:r>
        <w:rPr>
          <w:rFonts w:hint="eastAsia" w:eastAsia="仿宋_GB2312"/>
          <w:bCs/>
          <w:kern w:val="0"/>
          <w:sz w:val="32"/>
          <w:szCs w:val="32"/>
          <w:lang w:bidi="ar"/>
        </w:rPr>
        <w:t>、世界标准日、世界认可日、食品安全周、质量月、诚信宣传月、反有组织犯罪法宣传等重要节点的12项主题宣传活动，强化法治建设，优化法治化营商环境，落实“谁执法谁普法”责任制。</w:t>
      </w:r>
    </w:p>
    <w:p w14:paraId="02C9AED2">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2.绩效指标</w:t>
      </w:r>
    </w:p>
    <w:p w14:paraId="0E4468B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喀什市市场监督管理局将年度总体绩效目标分解细化后设置的具体绩效指标如下：</w:t>
      </w:r>
    </w:p>
    <w:p w14:paraId="7172C1D9">
      <w:pPr>
        <w:pStyle w:val="72"/>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Times New Roman"/>
          <w:b/>
          <w:bCs/>
          <w:sz w:val="24"/>
          <w:szCs w:val="24"/>
        </w:rPr>
      </w:pPr>
      <w:r>
        <w:rPr>
          <w:rFonts w:hint="eastAsia" w:ascii="Times New Roman"/>
          <w:b/>
          <w:bCs/>
          <w:sz w:val="24"/>
          <w:szCs w:val="24"/>
        </w:rPr>
        <w:t xml:space="preserve">表1-3 </w:t>
      </w:r>
      <w:r>
        <w:rPr>
          <w:rFonts w:ascii="Times New Roman"/>
          <w:b/>
          <w:bCs/>
          <w:sz w:val="24"/>
          <w:szCs w:val="24"/>
        </w:rPr>
        <w:t>喀什</w:t>
      </w:r>
      <w:r>
        <w:rPr>
          <w:rFonts w:hint="eastAsia" w:ascii="Times New Roman"/>
          <w:b/>
          <w:bCs/>
          <w:sz w:val="24"/>
          <w:szCs w:val="24"/>
        </w:rPr>
        <w:t>市市场监督管理局</w:t>
      </w:r>
      <w:r>
        <w:rPr>
          <w:rFonts w:ascii="Times New Roman"/>
          <w:b/>
          <w:bCs/>
          <w:sz w:val="24"/>
          <w:szCs w:val="24"/>
        </w:rPr>
        <w:t>202</w:t>
      </w:r>
      <w:r>
        <w:rPr>
          <w:rFonts w:hint="eastAsia" w:ascii="Times New Roman"/>
          <w:b/>
          <w:bCs/>
          <w:sz w:val="24"/>
          <w:szCs w:val="24"/>
        </w:rPr>
        <w:t>5</w:t>
      </w:r>
      <w:r>
        <w:rPr>
          <w:rFonts w:ascii="Times New Roman"/>
          <w:b/>
          <w:bCs/>
          <w:sz w:val="24"/>
          <w:szCs w:val="24"/>
        </w:rPr>
        <w:t>年度部门（单位）整体支出绩效指标一览表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0"/>
        <w:gridCol w:w="1260"/>
        <w:gridCol w:w="4766"/>
        <w:gridCol w:w="1504"/>
      </w:tblGrid>
      <w:tr w14:paraId="477C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2" w:hRule="atLeast"/>
          <w:tblHeader/>
        </w:trPr>
        <w:tc>
          <w:tcPr>
            <w:tcW w:w="844" w:type="pct"/>
            <w:shd w:val="clear" w:color="auto" w:fill="D7D7D7"/>
            <w:noWrap/>
            <w:vAlign w:val="center"/>
          </w:tcPr>
          <w:p w14:paraId="5A8392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一级指标</w:t>
            </w:r>
          </w:p>
        </w:tc>
        <w:tc>
          <w:tcPr>
            <w:tcW w:w="695" w:type="pct"/>
            <w:shd w:val="clear" w:color="auto" w:fill="D7D7D7"/>
            <w:noWrap/>
            <w:vAlign w:val="center"/>
          </w:tcPr>
          <w:p w14:paraId="049BDF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二级指标</w:t>
            </w:r>
          </w:p>
        </w:tc>
        <w:tc>
          <w:tcPr>
            <w:tcW w:w="2629" w:type="pct"/>
            <w:shd w:val="clear" w:color="auto" w:fill="D7D7D7"/>
            <w:noWrap/>
            <w:vAlign w:val="center"/>
          </w:tcPr>
          <w:p w14:paraId="6AE015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三级指标</w:t>
            </w:r>
          </w:p>
        </w:tc>
        <w:tc>
          <w:tcPr>
            <w:tcW w:w="829" w:type="pct"/>
            <w:shd w:val="clear" w:color="auto" w:fill="D7D7D7"/>
            <w:noWrap/>
            <w:vAlign w:val="center"/>
          </w:tcPr>
          <w:p w14:paraId="319F4D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r>
              <w:rPr>
                <w:rFonts w:hint="default" w:eastAsia="仿宋_GB2312"/>
                <w:bCs/>
                <w:kern w:val="0"/>
                <w:sz w:val="22"/>
              </w:rPr>
              <w:t>预期指标值</w:t>
            </w:r>
          </w:p>
        </w:tc>
      </w:tr>
      <w:tr w14:paraId="05E7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44" w:type="pct"/>
            <w:vMerge w:val="restart"/>
            <w:vAlign w:val="center"/>
          </w:tcPr>
          <w:p w14:paraId="03AF73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履职</w:t>
            </w:r>
          </w:p>
          <w:p w14:paraId="7CFC38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效能</w:t>
            </w:r>
          </w:p>
        </w:tc>
        <w:tc>
          <w:tcPr>
            <w:tcW w:w="695" w:type="pct"/>
            <w:vMerge w:val="restart"/>
            <w:vAlign w:val="center"/>
          </w:tcPr>
          <w:p w14:paraId="730129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数量</w:t>
            </w:r>
          </w:p>
          <w:p w14:paraId="0E9BDE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指标</w:t>
            </w:r>
          </w:p>
        </w:tc>
        <w:tc>
          <w:tcPr>
            <w:tcW w:w="2629" w:type="pct"/>
            <w:vAlign w:val="center"/>
          </w:tcPr>
          <w:p w14:paraId="0CA169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kern w:val="0"/>
                <w:sz w:val="20"/>
                <w:szCs w:val="20"/>
              </w:rPr>
            </w:pPr>
            <w:r>
              <w:rPr>
                <w:rFonts w:hint="eastAsia" w:eastAsia="仿宋_GB2312"/>
                <w:kern w:val="0"/>
                <w:sz w:val="22"/>
                <w:lang w:bidi="ar"/>
              </w:rPr>
              <w:t>完成年度食品安全监督抽检批次</w:t>
            </w:r>
          </w:p>
        </w:tc>
        <w:tc>
          <w:tcPr>
            <w:tcW w:w="829" w:type="pct"/>
            <w:vAlign w:val="center"/>
          </w:tcPr>
          <w:p w14:paraId="276918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kern w:val="0"/>
                <w:sz w:val="20"/>
                <w:szCs w:val="20"/>
                <w:lang w:bidi="ar"/>
              </w:rPr>
            </w:pPr>
            <w:r>
              <w:rPr>
                <w:rFonts w:hint="eastAsia" w:eastAsia="仿宋_GB2312"/>
                <w:kern w:val="0"/>
                <w:sz w:val="22"/>
                <w:lang w:bidi="ar"/>
              </w:rPr>
              <w:t>≥1016批次</w:t>
            </w:r>
          </w:p>
        </w:tc>
      </w:tr>
      <w:tr w14:paraId="405D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44" w:type="pct"/>
            <w:vMerge w:val="continue"/>
            <w:vAlign w:val="center"/>
          </w:tcPr>
          <w:p w14:paraId="2AA76C3E">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95" w:type="pct"/>
            <w:vMerge w:val="continue"/>
            <w:vAlign w:val="center"/>
          </w:tcPr>
          <w:p w14:paraId="73F05AF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2629" w:type="pct"/>
            <w:vAlign w:val="center"/>
          </w:tcPr>
          <w:p w14:paraId="66DEAA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eastAsia="仿宋_GB2312"/>
                <w:kern w:val="0"/>
                <w:sz w:val="22"/>
                <w:lang w:bidi="ar"/>
              </w:rPr>
            </w:pPr>
            <w:r>
              <w:rPr>
                <w:rFonts w:hint="eastAsia" w:eastAsia="仿宋_GB2312"/>
                <w:kern w:val="0"/>
                <w:sz w:val="22"/>
                <w:lang w:bidi="ar"/>
              </w:rPr>
              <w:t>知识产权商标注册数量</w:t>
            </w:r>
          </w:p>
        </w:tc>
        <w:tc>
          <w:tcPr>
            <w:tcW w:w="829" w:type="pct"/>
            <w:vAlign w:val="center"/>
          </w:tcPr>
          <w:p w14:paraId="074A16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w:t>
            </w:r>
            <w:r>
              <w:rPr>
                <w:rFonts w:hint="default" w:eastAsia="仿宋_GB2312"/>
                <w:kern w:val="0"/>
                <w:sz w:val="22"/>
                <w:lang w:bidi="ar"/>
              </w:rPr>
              <w:t>1</w:t>
            </w:r>
            <w:r>
              <w:rPr>
                <w:rFonts w:hint="eastAsia" w:eastAsia="仿宋_GB2312"/>
                <w:kern w:val="0"/>
                <w:sz w:val="22"/>
                <w:lang w:bidi="ar"/>
              </w:rPr>
              <w:t>9389</w:t>
            </w:r>
            <w:r>
              <w:rPr>
                <w:rFonts w:hint="default" w:eastAsia="仿宋_GB2312"/>
                <w:kern w:val="0"/>
                <w:sz w:val="22"/>
                <w:lang w:bidi="ar"/>
              </w:rPr>
              <w:t>个</w:t>
            </w:r>
          </w:p>
        </w:tc>
      </w:tr>
      <w:tr w14:paraId="1107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44" w:type="pct"/>
            <w:vMerge w:val="continue"/>
            <w:vAlign w:val="center"/>
          </w:tcPr>
          <w:p w14:paraId="6FC8A6D6">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95" w:type="pct"/>
            <w:vMerge w:val="restart"/>
            <w:vAlign w:val="center"/>
          </w:tcPr>
          <w:p w14:paraId="7FB546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质量</w:t>
            </w:r>
          </w:p>
          <w:p w14:paraId="6854A4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default" w:eastAsia="仿宋_GB2312"/>
                <w:kern w:val="0"/>
                <w:sz w:val="22"/>
                <w:lang w:bidi="ar"/>
              </w:rPr>
              <w:t>指标</w:t>
            </w:r>
          </w:p>
        </w:tc>
        <w:tc>
          <w:tcPr>
            <w:tcW w:w="2629" w:type="pct"/>
            <w:vAlign w:val="center"/>
          </w:tcPr>
          <w:p w14:paraId="1248AB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eastAsia="仿宋_GB2312"/>
                <w:kern w:val="0"/>
                <w:sz w:val="22"/>
                <w:lang w:bidi="ar"/>
              </w:rPr>
            </w:pPr>
            <w:r>
              <w:rPr>
                <w:rFonts w:hint="eastAsia" w:eastAsia="仿宋_GB2312"/>
                <w:kern w:val="0"/>
                <w:sz w:val="22"/>
                <w:lang w:bidi="ar"/>
              </w:rPr>
              <w:t>特种设备定期检验率</w:t>
            </w:r>
          </w:p>
        </w:tc>
        <w:tc>
          <w:tcPr>
            <w:tcW w:w="829" w:type="pct"/>
            <w:vAlign w:val="center"/>
          </w:tcPr>
          <w:p w14:paraId="08E695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≥95%</w:t>
            </w:r>
          </w:p>
        </w:tc>
      </w:tr>
      <w:tr w14:paraId="5F62F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44" w:type="pct"/>
            <w:vMerge w:val="continue"/>
            <w:vAlign w:val="center"/>
          </w:tcPr>
          <w:p w14:paraId="75802B56">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95" w:type="pct"/>
            <w:vMerge w:val="continue"/>
            <w:vAlign w:val="center"/>
          </w:tcPr>
          <w:p w14:paraId="510B694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kern w:val="0"/>
                <w:sz w:val="20"/>
                <w:szCs w:val="20"/>
                <w:lang w:bidi="ar"/>
              </w:rPr>
            </w:pPr>
          </w:p>
        </w:tc>
        <w:tc>
          <w:tcPr>
            <w:tcW w:w="2629" w:type="pct"/>
            <w:vAlign w:val="center"/>
          </w:tcPr>
          <w:p w14:paraId="3DD24C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eastAsia="仿宋_GB2312"/>
                <w:kern w:val="0"/>
                <w:sz w:val="22"/>
                <w:lang w:bidi="ar"/>
              </w:rPr>
            </w:pPr>
            <w:r>
              <w:rPr>
                <w:rFonts w:hint="eastAsia" w:eastAsia="仿宋_GB2312"/>
                <w:kern w:val="0"/>
                <w:sz w:val="22"/>
                <w:lang w:bidi="ar"/>
              </w:rPr>
              <w:t>食品安全抽检应公布信息公布率</w:t>
            </w:r>
          </w:p>
        </w:tc>
        <w:tc>
          <w:tcPr>
            <w:tcW w:w="829" w:type="pct"/>
            <w:vAlign w:val="center"/>
          </w:tcPr>
          <w:p w14:paraId="47D206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=100%</w:t>
            </w:r>
          </w:p>
        </w:tc>
      </w:tr>
      <w:tr w14:paraId="03655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44" w:type="pct"/>
            <w:vMerge w:val="continue"/>
            <w:vAlign w:val="center"/>
          </w:tcPr>
          <w:p w14:paraId="73A74FF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95" w:type="pct"/>
            <w:vMerge w:val="continue"/>
            <w:vAlign w:val="center"/>
          </w:tcPr>
          <w:p w14:paraId="74B4775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kern w:val="0"/>
                <w:sz w:val="20"/>
                <w:szCs w:val="20"/>
                <w:lang w:bidi="ar"/>
              </w:rPr>
            </w:pPr>
          </w:p>
        </w:tc>
        <w:tc>
          <w:tcPr>
            <w:tcW w:w="2629" w:type="pct"/>
            <w:vAlign w:val="center"/>
          </w:tcPr>
          <w:p w14:paraId="4A5374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eastAsia="仿宋_GB2312"/>
                <w:kern w:val="0"/>
                <w:sz w:val="22"/>
                <w:lang w:bidi="ar"/>
              </w:rPr>
            </w:pPr>
            <w:r>
              <w:rPr>
                <w:rFonts w:hint="eastAsia" w:eastAsia="仿宋_GB2312"/>
                <w:kern w:val="0"/>
                <w:sz w:val="22"/>
                <w:lang w:bidi="ar"/>
              </w:rPr>
              <w:t>消费者投诉举报办结率</w:t>
            </w:r>
          </w:p>
        </w:tc>
        <w:tc>
          <w:tcPr>
            <w:tcW w:w="829" w:type="pct"/>
            <w:vAlign w:val="center"/>
          </w:tcPr>
          <w:p w14:paraId="7EA7B8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=100%</w:t>
            </w:r>
          </w:p>
        </w:tc>
      </w:tr>
      <w:tr w14:paraId="36C8B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44" w:type="pct"/>
            <w:vMerge w:val="continue"/>
            <w:vAlign w:val="center"/>
          </w:tcPr>
          <w:p w14:paraId="6209F6A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95" w:type="pct"/>
            <w:vMerge w:val="continue"/>
            <w:vAlign w:val="center"/>
          </w:tcPr>
          <w:p w14:paraId="3347E35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kern w:val="0"/>
                <w:sz w:val="20"/>
                <w:szCs w:val="20"/>
                <w:lang w:bidi="ar"/>
              </w:rPr>
            </w:pPr>
          </w:p>
        </w:tc>
        <w:tc>
          <w:tcPr>
            <w:tcW w:w="2629" w:type="pct"/>
            <w:vAlign w:val="center"/>
          </w:tcPr>
          <w:p w14:paraId="67E890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eastAsia="仿宋_GB2312"/>
                <w:kern w:val="0"/>
                <w:sz w:val="22"/>
                <w:lang w:bidi="ar"/>
              </w:rPr>
            </w:pPr>
            <w:r>
              <w:rPr>
                <w:rFonts w:hint="eastAsia" w:eastAsia="仿宋_GB2312"/>
                <w:kern w:val="0"/>
                <w:sz w:val="22"/>
                <w:lang w:bidi="ar"/>
              </w:rPr>
              <w:t>特种设备注册登记率</w:t>
            </w:r>
          </w:p>
        </w:tc>
        <w:tc>
          <w:tcPr>
            <w:tcW w:w="829" w:type="pct"/>
            <w:vAlign w:val="center"/>
          </w:tcPr>
          <w:p w14:paraId="5FF436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≥99%</w:t>
            </w:r>
          </w:p>
        </w:tc>
      </w:tr>
      <w:tr w14:paraId="4AC95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44" w:type="pct"/>
            <w:vMerge w:val="continue"/>
            <w:vAlign w:val="center"/>
          </w:tcPr>
          <w:p w14:paraId="4E15CCC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95" w:type="pct"/>
            <w:vMerge w:val="continue"/>
            <w:vAlign w:val="center"/>
          </w:tcPr>
          <w:p w14:paraId="355D3A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kern w:val="0"/>
                <w:sz w:val="20"/>
                <w:szCs w:val="20"/>
                <w:lang w:bidi="ar"/>
              </w:rPr>
            </w:pPr>
          </w:p>
        </w:tc>
        <w:tc>
          <w:tcPr>
            <w:tcW w:w="2629" w:type="pct"/>
            <w:vAlign w:val="center"/>
          </w:tcPr>
          <w:p w14:paraId="548F46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eastAsia="仿宋_GB2312"/>
                <w:kern w:val="0"/>
                <w:sz w:val="22"/>
                <w:lang w:bidi="ar"/>
              </w:rPr>
            </w:pPr>
            <w:r>
              <w:rPr>
                <w:rFonts w:hint="eastAsia" w:eastAsia="仿宋_GB2312"/>
                <w:kern w:val="0"/>
                <w:sz w:val="22"/>
                <w:lang w:bidi="ar"/>
              </w:rPr>
              <w:t>联合开展315活动落实率</w:t>
            </w:r>
          </w:p>
        </w:tc>
        <w:tc>
          <w:tcPr>
            <w:tcW w:w="829" w:type="pct"/>
            <w:vAlign w:val="center"/>
          </w:tcPr>
          <w:p w14:paraId="17A25C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=100%</w:t>
            </w:r>
          </w:p>
        </w:tc>
      </w:tr>
      <w:tr w14:paraId="11682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44" w:type="pct"/>
            <w:vMerge w:val="continue"/>
            <w:vAlign w:val="center"/>
          </w:tcPr>
          <w:p w14:paraId="28B0FB9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695" w:type="pct"/>
            <w:vMerge w:val="continue"/>
            <w:vAlign w:val="center"/>
          </w:tcPr>
          <w:p w14:paraId="28B033A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bCs/>
                <w:kern w:val="0"/>
                <w:sz w:val="22"/>
              </w:rPr>
            </w:pPr>
          </w:p>
        </w:tc>
        <w:tc>
          <w:tcPr>
            <w:tcW w:w="2629" w:type="pct"/>
            <w:vAlign w:val="center"/>
          </w:tcPr>
          <w:p w14:paraId="0ABB8F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eastAsia="仿宋_GB2312"/>
                <w:kern w:val="0"/>
                <w:sz w:val="22"/>
                <w:lang w:bidi="ar"/>
              </w:rPr>
            </w:pPr>
            <w:r>
              <w:rPr>
                <w:rFonts w:hint="eastAsia" w:eastAsia="仿宋_GB2312"/>
                <w:kern w:val="0"/>
                <w:sz w:val="22"/>
                <w:lang w:bidi="ar"/>
              </w:rPr>
              <w:t>药械化抽样任务完成率</w:t>
            </w:r>
          </w:p>
        </w:tc>
        <w:tc>
          <w:tcPr>
            <w:tcW w:w="829" w:type="pct"/>
            <w:vAlign w:val="center"/>
          </w:tcPr>
          <w:p w14:paraId="586AB9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eastAsia="仿宋_GB2312"/>
                <w:kern w:val="0"/>
                <w:sz w:val="22"/>
                <w:lang w:bidi="ar"/>
              </w:rPr>
            </w:pPr>
            <w:r>
              <w:rPr>
                <w:rFonts w:hint="eastAsia" w:eastAsia="仿宋_GB2312"/>
                <w:kern w:val="0"/>
                <w:sz w:val="22"/>
                <w:lang w:bidi="ar"/>
              </w:rPr>
              <w:t>=100%</w:t>
            </w:r>
          </w:p>
        </w:tc>
      </w:tr>
    </w:tbl>
    <w:p w14:paraId="648870D9">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36" w:name="_Toc7914"/>
      <w:r>
        <w:rPr>
          <w:rFonts w:ascii="Times New Roman" w:hAnsi="Times New Roman" w:cs="Times New Roman"/>
        </w:rPr>
        <w:t>（六）</w:t>
      </w:r>
      <w:r>
        <w:rPr>
          <w:rFonts w:ascii="Times New Roman" w:hAnsi="Times New Roman" w:cs="Times New Roman"/>
        </w:rPr>
        <w:fldChar w:fldCharType="begin"/>
      </w:r>
      <w:r>
        <w:rPr>
          <w:rFonts w:ascii="Times New Roman" w:hAnsi="Times New Roman" w:cs="Times New Roman"/>
        </w:rPr>
        <w:instrText xml:space="preserve"> HYPERLINK \l "_Toc434746188" </w:instrText>
      </w:r>
      <w:r>
        <w:rPr>
          <w:rFonts w:ascii="Times New Roman" w:hAnsi="Times New Roman" w:cs="Times New Roman"/>
        </w:rPr>
        <w:fldChar w:fldCharType="separate"/>
      </w:r>
      <w:r>
        <w:rPr>
          <w:rFonts w:ascii="Times New Roman" w:hAnsi="Times New Roman" w:cs="Times New Roman"/>
        </w:rPr>
        <w:t>绩效自评情况及结论</w:t>
      </w:r>
      <w:r>
        <w:rPr>
          <w:rFonts w:ascii="Times New Roman" w:hAnsi="Times New Roman" w:cs="Times New Roman"/>
        </w:rPr>
        <w:fldChar w:fldCharType="end"/>
      </w:r>
      <w:bookmarkEnd w:id="35"/>
      <w:bookmarkEnd w:id="36"/>
    </w:p>
    <w:p w14:paraId="615E2526">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1.绩效自评概述</w:t>
      </w:r>
    </w:p>
    <w:p w14:paraId="73C4075B">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喀什市市场监督管理局按照喀什地区财政局要求在2026年4月对2025年度部门（单位）整体支出情况开展了绩效自评工作，并撰写了《部门（单位）整体支出绩效评价报告》和《部门（单位）整体支出绩效目标自评表》，上述资料已提供。</w:t>
      </w:r>
    </w:p>
    <w:p w14:paraId="425B251F">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2.绩效自评结论</w:t>
      </w:r>
    </w:p>
    <w:p w14:paraId="3DABE1D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jc w:val="both"/>
        <w:textAlignment w:val="auto"/>
        <w:rPr>
          <w:rFonts w:hint="eastAsia" w:eastAsia="仿宋_GB2312"/>
          <w:bCs/>
          <w:kern w:val="0"/>
          <w:sz w:val="32"/>
          <w:szCs w:val="32"/>
          <w:lang w:bidi="ar"/>
        </w:rPr>
      </w:pPr>
      <w:r>
        <w:rPr>
          <w:rFonts w:hint="eastAsia" w:eastAsia="仿宋_GB2312"/>
          <w:bCs/>
          <w:kern w:val="0"/>
          <w:sz w:val="32"/>
          <w:szCs w:val="32"/>
          <w:lang w:bidi="ar"/>
        </w:rPr>
        <w:t>根据喀什市市场监督管理局提交的《部门（单位）整体支出绩效评价报告》显示，喀什市市场监督管理局年度绩效目标实际完成情况：</w:t>
      </w:r>
      <w:r>
        <w:rPr>
          <w:rFonts w:hint="eastAsia" w:eastAsia="仿宋_GB2312"/>
          <w:bCs/>
          <w:kern w:val="0"/>
          <w:sz w:val="32"/>
          <w:szCs w:val="32"/>
          <w:lang w:val="en-US" w:eastAsia="zh-CN" w:bidi="ar"/>
        </w:rPr>
        <w:t>一</w:t>
      </w:r>
      <w:r>
        <w:rPr>
          <w:rFonts w:hint="eastAsia" w:eastAsia="仿宋_GB2312"/>
          <w:bCs/>
          <w:kern w:val="0"/>
          <w:sz w:val="32"/>
          <w:szCs w:val="32"/>
          <w:lang w:bidi="ar"/>
        </w:rPr>
        <w:t>是强监管，保安全，助力高质量发展，开展食品安全监督抽检1016批次，抽检信息公布率达100%，药械化抽样任务完成率达到100%，完成特种设备定检率达到99.56%，特种设备注册登记率达到99.19%，全年不发生重特大特种设备安全事故；</w:t>
      </w:r>
      <w:r>
        <w:rPr>
          <w:rFonts w:hint="eastAsia" w:eastAsia="仿宋_GB2312"/>
          <w:bCs/>
          <w:kern w:val="0"/>
          <w:sz w:val="32"/>
          <w:szCs w:val="32"/>
          <w:lang w:val="en-US" w:eastAsia="zh-CN" w:bidi="ar"/>
        </w:rPr>
        <w:t>二</w:t>
      </w:r>
      <w:r>
        <w:rPr>
          <w:rFonts w:hint="eastAsia" w:eastAsia="仿宋_GB2312"/>
          <w:bCs/>
          <w:kern w:val="0"/>
          <w:sz w:val="32"/>
          <w:szCs w:val="32"/>
          <w:lang w:bidi="ar"/>
        </w:rPr>
        <w:t>是加强服务引导，推进质量提升，做好知识产权促进与保护工作，完成知识产权强区三年行动方案各类指标性工作，年底前商标有效注册量达到21514件；</w:t>
      </w:r>
      <w:r>
        <w:rPr>
          <w:rFonts w:hint="eastAsia" w:eastAsia="仿宋_GB2312"/>
          <w:bCs/>
          <w:kern w:val="0"/>
          <w:sz w:val="32"/>
          <w:szCs w:val="32"/>
          <w:lang w:val="en-US" w:eastAsia="zh-CN" w:bidi="ar"/>
        </w:rPr>
        <w:t>三</w:t>
      </w:r>
      <w:r>
        <w:rPr>
          <w:rFonts w:hint="eastAsia" w:eastAsia="仿宋_GB2312"/>
          <w:bCs/>
          <w:kern w:val="0"/>
          <w:sz w:val="32"/>
          <w:szCs w:val="32"/>
          <w:lang w:bidi="ar"/>
        </w:rPr>
        <w:t>是加强消费者权益保护举措，构建和谐消费环境，做好12315投诉举报平台受理化解和12345转办处理工作，办结率达96.52%；</w:t>
      </w:r>
      <w:r>
        <w:rPr>
          <w:rFonts w:hint="eastAsia" w:eastAsia="仿宋_GB2312"/>
          <w:bCs/>
          <w:kern w:val="0"/>
          <w:sz w:val="32"/>
          <w:szCs w:val="32"/>
          <w:lang w:val="en-US" w:eastAsia="zh-CN" w:bidi="ar"/>
        </w:rPr>
        <w:t>四</w:t>
      </w:r>
      <w:r>
        <w:rPr>
          <w:rFonts w:hint="eastAsia" w:eastAsia="仿宋_GB2312"/>
          <w:bCs/>
          <w:kern w:val="0"/>
          <w:sz w:val="32"/>
          <w:szCs w:val="32"/>
          <w:lang w:bidi="ar"/>
        </w:rPr>
        <w:t>是维护市场秩序，优化市场环境，推动市场价格监管工作，开展涉企收费专项检查，加强民生领域广告监管；</w:t>
      </w:r>
      <w:r>
        <w:rPr>
          <w:rFonts w:hint="eastAsia" w:eastAsia="仿宋_GB2312"/>
          <w:bCs/>
          <w:kern w:val="0"/>
          <w:sz w:val="32"/>
          <w:szCs w:val="32"/>
          <w:lang w:val="en-US" w:eastAsia="zh-CN" w:bidi="ar"/>
        </w:rPr>
        <w:t>五</w:t>
      </w:r>
      <w:r>
        <w:rPr>
          <w:rFonts w:hint="eastAsia" w:eastAsia="仿宋_GB2312"/>
          <w:bCs/>
          <w:kern w:val="0"/>
          <w:sz w:val="32"/>
          <w:szCs w:val="32"/>
          <w:lang w:bidi="ar"/>
        </w:rPr>
        <w:t>是强化法治建设，优化法治化营商环境，落实“谁执法谁普法”责任制，开展</w:t>
      </w:r>
      <w:r>
        <w:rPr>
          <w:rFonts w:hint="eastAsia" w:eastAsia="仿宋_GB2312"/>
          <w:bCs/>
          <w:kern w:val="0"/>
          <w:sz w:val="32"/>
          <w:szCs w:val="32"/>
          <w:lang w:eastAsia="zh-CN" w:bidi="ar"/>
        </w:rPr>
        <w:t>“3·15”消费者权益日</w:t>
      </w:r>
      <w:r>
        <w:rPr>
          <w:rFonts w:hint="eastAsia" w:eastAsia="仿宋_GB2312"/>
          <w:bCs/>
          <w:kern w:val="0"/>
          <w:sz w:val="32"/>
          <w:szCs w:val="32"/>
          <w:lang w:bidi="ar"/>
        </w:rPr>
        <w:t>、</w:t>
      </w:r>
      <w:r>
        <w:rPr>
          <w:rFonts w:hint="eastAsia" w:eastAsia="仿宋_GB2312"/>
          <w:bCs/>
          <w:kern w:val="0"/>
          <w:sz w:val="32"/>
          <w:szCs w:val="32"/>
          <w:lang w:eastAsia="zh-CN" w:bidi="ar"/>
        </w:rPr>
        <w:t>“</w:t>
      </w:r>
      <w:r>
        <w:rPr>
          <w:rFonts w:hint="eastAsia" w:eastAsia="仿宋_GB2312"/>
          <w:bCs/>
          <w:kern w:val="0"/>
          <w:sz w:val="32"/>
          <w:szCs w:val="32"/>
          <w:lang w:bidi="ar"/>
        </w:rPr>
        <w:t>4·15</w:t>
      </w:r>
      <w:r>
        <w:rPr>
          <w:rFonts w:hint="eastAsia" w:eastAsia="仿宋_GB2312"/>
          <w:bCs/>
          <w:kern w:val="0"/>
          <w:sz w:val="32"/>
          <w:szCs w:val="32"/>
          <w:lang w:eastAsia="zh-CN" w:bidi="ar"/>
        </w:rPr>
        <w:t>”</w:t>
      </w:r>
      <w:r>
        <w:rPr>
          <w:rFonts w:hint="eastAsia" w:eastAsia="仿宋_GB2312"/>
          <w:bCs/>
          <w:kern w:val="0"/>
          <w:sz w:val="32"/>
          <w:szCs w:val="32"/>
          <w:lang w:bidi="ar"/>
        </w:rPr>
        <w:t>全民国家安全教育日、</w:t>
      </w:r>
      <w:r>
        <w:rPr>
          <w:rFonts w:hint="eastAsia" w:eastAsia="仿宋_GB2312"/>
          <w:bCs/>
          <w:kern w:val="0"/>
          <w:sz w:val="32"/>
          <w:szCs w:val="32"/>
          <w:lang w:eastAsia="zh-CN" w:bidi="ar"/>
        </w:rPr>
        <w:t>“</w:t>
      </w:r>
      <w:r>
        <w:rPr>
          <w:rFonts w:hint="eastAsia" w:eastAsia="仿宋_GB2312"/>
          <w:bCs/>
          <w:kern w:val="0"/>
          <w:sz w:val="32"/>
          <w:szCs w:val="32"/>
          <w:lang w:bidi="ar"/>
        </w:rPr>
        <w:t>4·26</w:t>
      </w:r>
      <w:r>
        <w:rPr>
          <w:rFonts w:hint="eastAsia" w:eastAsia="仿宋_GB2312"/>
          <w:bCs/>
          <w:kern w:val="0"/>
          <w:sz w:val="32"/>
          <w:szCs w:val="32"/>
          <w:lang w:eastAsia="zh-CN" w:bidi="ar"/>
        </w:rPr>
        <w:t>”</w:t>
      </w:r>
      <w:r>
        <w:rPr>
          <w:rFonts w:hint="eastAsia" w:eastAsia="仿宋_GB2312"/>
          <w:bCs/>
          <w:kern w:val="0"/>
          <w:sz w:val="32"/>
          <w:szCs w:val="32"/>
          <w:lang w:bidi="ar"/>
        </w:rPr>
        <w:t>世界知识产权日、</w:t>
      </w:r>
      <w:r>
        <w:rPr>
          <w:rFonts w:hint="eastAsia" w:eastAsia="仿宋_GB2312"/>
          <w:bCs/>
          <w:kern w:val="0"/>
          <w:sz w:val="32"/>
          <w:szCs w:val="32"/>
          <w:lang w:eastAsia="zh-CN" w:bidi="ar"/>
        </w:rPr>
        <w:t>“</w:t>
      </w:r>
      <w:r>
        <w:rPr>
          <w:rFonts w:hint="eastAsia" w:eastAsia="仿宋_GB2312"/>
          <w:bCs/>
          <w:kern w:val="0"/>
          <w:sz w:val="32"/>
          <w:szCs w:val="32"/>
          <w:lang w:bidi="ar"/>
        </w:rPr>
        <w:t>5·20</w:t>
      </w:r>
      <w:r>
        <w:rPr>
          <w:rFonts w:hint="eastAsia" w:eastAsia="仿宋_GB2312"/>
          <w:bCs/>
          <w:kern w:val="0"/>
          <w:sz w:val="32"/>
          <w:szCs w:val="32"/>
          <w:lang w:eastAsia="zh-CN" w:bidi="ar"/>
        </w:rPr>
        <w:t>”</w:t>
      </w:r>
      <w:r>
        <w:rPr>
          <w:rFonts w:hint="eastAsia" w:eastAsia="仿宋_GB2312"/>
          <w:bCs/>
          <w:kern w:val="0"/>
          <w:sz w:val="32"/>
          <w:szCs w:val="32"/>
          <w:lang w:bidi="ar"/>
        </w:rPr>
        <w:t>世界计量日、</w:t>
      </w:r>
      <w:r>
        <w:rPr>
          <w:rFonts w:hint="eastAsia" w:eastAsia="仿宋_GB2312"/>
          <w:bCs/>
          <w:kern w:val="0"/>
          <w:sz w:val="32"/>
          <w:szCs w:val="32"/>
          <w:lang w:eastAsia="zh-CN" w:bidi="ar"/>
        </w:rPr>
        <w:t>“</w:t>
      </w:r>
      <w:r>
        <w:rPr>
          <w:rFonts w:hint="eastAsia" w:eastAsia="仿宋_GB2312"/>
          <w:bCs/>
          <w:kern w:val="0"/>
          <w:sz w:val="32"/>
          <w:szCs w:val="32"/>
          <w:lang w:bidi="ar"/>
        </w:rPr>
        <w:t>5</w:t>
      </w:r>
      <w:r>
        <w:rPr>
          <w:rFonts w:hint="eastAsia" w:eastAsia="仿宋_GB2312"/>
          <w:bCs/>
          <w:kern w:val="0"/>
          <w:sz w:val="32"/>
          <w:szCs w:val="32"/>
          <w:lang w:val="en-US" w:eastAsia="zh-CN" w:bidi="ar"/>
        </w:rPr>
        <w:t>·</w:t>
      </w:r>
      <w:r>
        <w:rPr>
          <w:rFonts w:hint="eastAsia" w:eastAsia="仿宋_GB2312"/>
          <w:bCs/>
          <w:kern w:val="0"/>
          <w:sz w:val="32"/>
          <w:szCs w:val="32"/>
          <w:lang w:bidi="ar"/>
        </w:rPr>
        <w:t>25</w:t>
      </w:r>
      <w:r>
        <w:rPr>
          <w:rFonts w:hint="eastAsia" w:eastAsia="仿宋_GB2312"/>
          <w:bCs/>
          <w:kern w:val="0"/>
          <w:sz w:val="32"/>
          <w:szCs w:val="32"/>
          <w:lang w:eastAsia="zh-CN" w:bidi="ar"/>
        </w:rPr>
        <w:t>”</w:t>
      </w:r>
      <w:r>
        <w:rPr>
          <w:rFonts w:hint="eastAsia" w:eastAsia="仿宋_GB2312"/>
          <w:bCs/>
          <w:kern w:val="0"/>
          <w:sz w:val="32"/>
          <w:szCs w:val="32"/>
          <w:lang w:bidi="ar"/>
        </w:rPr>
        <w:t>爱肤日、</w:t>
      </w:r>
      <w:r>
        <w:rPr>
          <w:rFonts w:hint="eastAsia" w:eastAsia="仿宋_GB2312"/>
          <w:bCs/>
          <w:kern w:val="0"/>
          <w:sz w:val="32"/>
          <w:szCs w:val="32"/>
          <w:lang w:eastAsia="zh-CN" w:bidi="ar"/>
        </w:rPr>
        <w:t>“12·4”国家宪法日</w:t>
      </w:r>
      <w:r>
        <w:rPr>
          <w:rFonts w:hint="eastAsia" w:eastAsia="仿宋_GB2312"/>
          <w:bCs/>
          <w:kern w:val="0"/>
          <w:sz w:val="32"/>
          <w:szCs w:val="32"/>
          <w:lang w:bidi="ar"/>
        </w:rPr>
        <w:t>、世界标准日、世界认可日、食品安全周、质量月、诚信宣传月、反有组织犯罪法宣传等重要节点的12项主题宣传活动，普法宣传效果明显。</w:t>
      </w:r>
    </w:p>
    <w:p w14:paraId="0604BFB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存在的问题主要包括：一是目标值设定不够科学合理，未充分结合投诉举报处理的实际办结周期、业务办理规律等实际情况统筹考量，导致未完全达成预设绩效目标；二是部分工作人员绩效工作意识薄弱，未能深刻认识到绩效目标设定对业务开展的导向、约束作用，对绩效编制工作重视程度不足，存在重业务推进、轻绩效谋划的问题；三是跨科室协作审批工作缺乏标准化、规范化的时限管理要求，各环节审批、流转节奏无统一标准，协作衔接效率偏低，直接导致消费者投诉举报整体平均办结时长超出规定办结期限，业务办理时效未达标。</w:t>
      </w:r>
    </w:p>
    <w:p w14:paraId="7F3AAC0F">
      <w:pPr>
        <w:pStyle w:val="91"/>
        <w:widowControl w:val="0"/>
        <w:spacing w:before="0" w:after="0"/>
        <w:ind w:left="0" w:firstLine="640" w:firstLineChars="200"/>
        <w:jc w:val="both"/>
        <w:rPr>
          <w:rFonts w:hint="default" w:ascii="Times New Roman" w:hAnsi="Times New Roman"/>
        </w:rPr>
      </w:pPr>
      <w:bookmarkStart w:id="37" w:name="_Toc9838"/>
      <w:bookmarkStart w:id="38" w:name="_Toc15555"/>
      <w:r>
        <w:rPr>
          <w:rFonts w:ascii="Times New Roman" w:hAnsi="Times New Roman"/>
        </w:rPr>
        <w:t>二、绩效评价组织情况</w:t>
      </w:r>
      <w:bookmarkEnd w:id="37"/>
      <w:bookmarkEnd w:id="38"/>
    </w:p>
    <w:p w14:paraId="08E7B596">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39" w:name="_Toc8719"/>
      <w:bookmarkStart w:id="40" w:name="_Toc26312"/>
      <w:r>
        <w:rPr>
          <w:rFonts w:ascii="Times New Roman" w:hAnsi="Times New Roman" w:cs="Times New Roman"/>
        </w:rPr>
        <w:t>（一）绩效评价目的</w:t>
      </w:r>
      <w:bookmarkEnd w:id="39"/>
      <w:bookmarkEnd w:id="40"/>
    </w:p>
    <w:p w14:paraId="3C2DF1F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通过对喀什市市场监督管理局2025年度部门（单位）整体支出开展绩效评价，以预算资金管理为主线，统筹考虑资产和业务活动，围绕部门职责和发展规划，从部门决策、部门管理、部门绩效等方面，衡量喀什市市场监督管理局部门整体及核心业务实施效果。通过本次部门整体支出绩效评价工作，进一步提高部门资金支出效果和预算管理水平，提高财政资金使用效益和配置效率，改变预算资金分配的固化格局，为摸清喀什市市场监督管理局的财政资金运行情况提供一定的思路；进一步促进部门及时纠正履职过程中存在的问题，不断提高部门单位管理规范化、精细化水平；形成部门整体支出绩效评价报告，为提高部门履职能力提供决策资料和参考依据。同时，也为喀什市财政局以后年度预算安排提供参考意见，切实提高财政资源配置效率和使用效益。</w:t>
      </w:r>
    </w:p>
    <w:p w14:paraId="49A86C98">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41" w:name="_Toc25348"/>
      <w:bookmarkStart w:id="42" w:name="_Toc14585"/>
      <w:r>
        <w:rPr>
          <w:rFonts w:ascii="Times New Roman" w:hAnsi="Times New Roman" w:cs="Times New Roman"/>
        </w:rPr>
        <w:t>（二）绩效评价对象、评价范围</w:t>
      </w:r>
      <w:bookmarkEnd w:id="41"/>
      <w:r>
        <w:rPr>
          <w:rFonts w:ascii="Times New Roman" w:hAnsi="Times New Roman" w:cs="Times New Roman"/>
        </w:rPr>
        <w:t>和评价时段</w:t>
      </w:r>
      <w:bookmarkEnd w:id="42"/>
    </w:p>
    <w:p w14:paraId="5D5AD13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本次评价对象为喀什市市场监督管理局2025年度部门（单位）整体支出。具体评价范围主要围绕以下六个方面：部门整体支出决策情况、资金管理和使用情况、相关管理制度的健全性及执行情况、部门履职效能、年度重点工作任务完成情况、实现的产出情况以及其他相关内容。评价时段为2025年1月1日至2025年12月31日。</w:t>
      </w:r>
    </w:p>
    <w:p w14:paraId="00192E8F">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43" w:name="_Toc213"/>
      <w:bookmarkStart w:id="44" w:name="_Toc11018"/>
      <w:r>
        <w:rPr>
          <w:rFonts w:ascii="Times New Roman" w:hAnsi="Times New Roman" w:cs="Times New Roman"/>
        </w:rPr>
        <w:t>（三）绩效评价原则</w:t>
      </w:r>
      <w:bookmarkEnd w:id="43"/>
      <w:bookmarkEnd w:id="44"/>
    </w:p>
    <w:p w14:paraId="611BD5ED">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1.科学规范、客观、真实原则</w:t>
      </w:r>
    </w:p>
    <w:p w14:paraId="03EAC4D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严格执行财政部门规定的程序，以部门整体支出实际情况为主，选用操作性较强的评价方法进行独立、客观、公正的评价，标准统一、依据充分。</w:t>
      </w:r>
    </w:p>
    <w:p w14:paraId="608EF247">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2.经济性、效率性、效益性原则</w:t>
      </w:r>
    </w:p>
    <w:p w14:paraId="66F17D2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即把财政支出行为及其过程的实际情况，通过对其经济性、效率性、效益性的比较和评价分析，判断部门整体支出的行为过程和执行的业绩、效果优劣。</w:t>
      </w:r>
    </w:p>
    <w:p w14:paraId="595A7E68">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3.定量分析和定性分析相结合的原则</w:t>
      </w:r>
    </w:p>
    <w:p w14:paraId="7FB03BB0">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定量分析建立在部门整体支出决策和资金执行后的产出上，主要通过对部门整体履职效能、规划计划实施、年度重点项目产出量化指标的统计分析进行评价。定性分析主要是根据绩效评价材料及有关信息数据，结合专家评审意见，以更全面、合理、准确地反映部门履职实现的经济、社会效益实现情况。</w:t>
      </w:r>
    </w:p>
    <w:p w14:paraId="26EEBBF6">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45" w:name="_Toc17765"/>
      <w:bookmarkStart w:id="46" w:name="_Toc23029"/>
      <w:r>
        <w:rPr>
          <w:rFonts w:ascii="Times New Roman" w:hAnsi="Times New Roman" w:cs="Times New Roman"/>
        </w:rPr>
        <w:t>（四）绩效评价依据</w:t>
      </w:r>
      <w:bookmarkEnd w:id="45"/>
      <w:bookmarkEnd w:id="46"/>
    </w:p>
    <w:p w14:paraId="2FAD8AE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1.《中华人民共和国预算法》（2018年修正）；</w:t>
      </w:r>
    </w:p>
    <w:p w14:paraId="2FB7C000">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2.《中共中央 国务院关于全面实施预算绩效管理的意见》（中发〔2018〕34号）；</w:t>
      </w:r>
    </w:p>
    <w:p w14:paraId="374D9D49">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3.《项目支出绩效评价管理办法》（财预〔2020〕10号）；</w:t>
      </w:r>
    </w:p>
    <w:p w14:paraId="3797D8D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4.《财政部关于印发〈第三方机构预算绩效评价业务监督管理暂行办法〉的通知》（财监〔2021〕4号）；</w:t>
      </w:r>
    </w:p>
    <w:p w14:paraId="576618A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5.《自治区党委自治区人民政府关于全面实施预算绩效管理的实施意见》（新党发〔2018〕30号）；</w:t>
      </w:r>
    </w:p>
    <w:p w14:paraId="02CC9E2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6.《自治区全面实施预算绩效管理的工作方案》（新财预〔2018〕158号）；</w:t>
      </w:r>
    </w:p>
    <w:p w14:paraId="7EDB1B3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7.《自治区本级部门预算绩效目标管理暂行办法》（新财预〔2018〕21号）；</w:t>
      </w:r>
    </w:p>
    <w:p w14:paraId="36AF4AB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8.《关于进一步加强和规范第三方机构参与预算绩效管理的通知》（新财预〔2021〕49号）；</w:t>
      </w:r>
    </w:p>
    <w:p w14:paraId="1CF3A219">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bidi="ar"/>
        </w:rPr>
      </w:pPr>
      <w:r>
        <w:rPr>
          <w:rFonts w:hint="eastAsia" w:ascii="Times New Roman" w:hAnsi="Times New Roman" w:eastAsia="仿宋_GB2312" w:cs="Times New Roman"/>
          <w:bCs/>
          <w:kern w:val="0"/>
          <w:sz w:val="32"/>
          <w:szCs w:val="32"/>
          <w:lang w:val="en-US" w:eastAsia="zh-CN" w:bidi="ar"/>
        </w:rPr>
        <w:t>9.</w:t>
      </w:r>
      <w:r>
        <w:rPr>
          <w:rFonts w:hint="eastAsia" w:ascii="Times New Roman" w:hAnsi="Times New Roman" w:eastAsia="仿宋_GB2312" w:cs="Times New Roman"/>
          <w:bCs/>
          <w:kern w:val="0"/>
          <w:sz w:val="32"/>
          <w:szCs w:val="32"/>
          <w:lang w:bidi="ar"/>
        </w:rPr>
        <w:t>喀什市</w:t>
      </w:r>
      <w:r>
        <w:rPr>
          <w:rFonts w:hint="eastAsia" w:ascii="Times New Roman" w:hAnsi="Times New Roman" w:eastAsia="仿宋_GB2312" w:cs="Times New Roman"/>
          <w:bCs/>
          <w:kern w:val="0"/>
          <w:sz w:val="32"/>
          <w:szCs w:val="32"/>
          <w:lang w:val="en-US" w:eastAsia="zh-CN" w:bidi="ar"/>
        </w:rPr>
        <w:t>市场监督管理局</w:t>
      </w:r>
      <w:r>
        <w:rPr>
          <w:rFonts w:hint="eastAsia" w:ascii="Times New Roman" w:hAnsi="Times New Roman" w:eastAsia="仿宋_GB2312" w:cs="Times New Roman"/>
          <w:bCs/>
          <w:kern w:val="0"/>
          <w:sz w:val="32"/>
          <w:szCs w:val="32"/>
          <w:lang w:bidi="ar"/>
        </w:rPr>
        <w:t>2025年度部门预算批复文件及决算报表；</w:t>
      </w:r>
    </w:p>
    <w:p w14:paraId="4CBEA67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val="en-US" w:eastAsia="zh-CN" w:bidi="ar"/>
        </w:rPr>
      </w:pPr>
      <w:r>
        <w:rPr>
          <w:rFonts w:hint="eastAsia" w:ascii="Times New Roman" w:hAnsi="Times New Roman" w:eastAsia="仿宋_GB2312" w:cs="Times New Roman"/>
          <w:bCs/>
          <w:kern w:val="0"/>
          <w:sz w:val="32"/>
          <w:szCs w:val="32"/>
          <w:lang w:val="en-US" w:eastAsia="zh-CN" w:bidi="ar"/>
        </w:rPr>
        <w:t>10.喀什市市场监督管理局2025年度工作总结及相关业务资料；</w:t>
      </w:r>
    </w:p>
    <w:p w14:paraId="75860B9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val="en-US" w:eastAsia="zh-CN" w:bidi="ar"/>
        </w:rPr>
      </w:pPr>
      <w:r>
        <w:rPr>
          <w:rFonts w:hint="eastAsia" w:ascii="Times New Roman" w:hAnsi="Times New Roman" w:eastAsia="仿宋_GB2312" w:cs="Times New Roman"/>
          <w:bCs/>
          <w:kern w:val="0"/>
          <w:sz w:val="32"/>
          <w:szCs w:val="32"/>
          <w:lang w:val="en-US" w:eastAsia="zh-CN" w:bidi="ar"/>
        </w:rPr>
        <w:t>11.喀什市市场监督管理局各类内部控制管理制度；</w:t>
      </w:r>
    </w:p>
    <w:p w14:paraId="26F11D6B">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val="en-US" w:eastAsia="zh-CN" w:bidi="ar"/>
        </w:rPr>
      </w:pPr>
      <w:r>
        <w:rPr>
          <w:rFonts w:hint="eastAsia" w:ascii="Times New Roman" w:hAnsi="Times New Roman" w:eastAsia="仿宋_GB2312" w:cs="Times New Roman"/>
          <w:bCs/>
          <w:kern w:val="0"/>
          <w:sz w:val="32"/>
          <w:szCs w:val="32"/>
          <w:lang w:val="en-US" w:eastAsia="zh-CN" w:bidi="ar"/>
        </w:rPr>
        <w:t>12.其他相关法律法规和制度规定。</w:t>
      </w:r>
    </w:p>
    <w:p w14:paraId="308D8FAD">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47" w:name="_Toc301"/>
      <w:bookmarkStart w:id="48" w:name="_Toc23804"/>
      <w:r>
        <w:rPr>
          <w:rFonts w:ascii="Times New Roman" w:hAnsi="Times New Roman" w:cs="Times New Roman"/>
        </w:rPr>
        <w:t>（五）绩效评价指标体系及标准</w:t>
      </w:r>
      <w:bookmarkEnd w:id="47"/>
      <w:bookmarkEnd w:id="48"/>
    </w:p>
    <w:p w14:paraId="41CD9DD0">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1.评价指标体系设计思路</w:t>
      </w:r>
    </w:p>
    <w:p w14:paraId="082C16B9">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本次部门（单位）整体支出绩效评价指标的确定遵循以下要求：与评价对象密切相关，全面反映部门决策、部门管理和部门绩效；重点关注年度重点工作完成情况、年度部门考核情况等具有代表性、能直接反映职责履行和产出的核心指标，精简实用；指标内涵明确、具体、可衡量，数据及佐证资料可采集、可获得；同类部门（单位）绩效评价指标和标准应具有一致性，便于评价结果相互比较。</w:t>
      </w:r>
    </w:p>
    <w:p w14:paraId="1E7068B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经综合考虑定量指标与定性指标、共性指标与个性指标、投入指标与产出指标的平衡，最终将绩效评价指标体系分为“部门决策、部门管理、部门绩效”3个一级指标，权重分别为：15%、35%、50%。（详见附件1）</w:t>
      </w:r>
    </w:p>
    <w:p w14:paraId="596ED09B">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2.评价标准</w:t>
      </w:r>
    </w:p>
    <w:p w14:paraId="0B45C21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被评价部门单位的实际情况，本次绩效评价主要采用计划标准、行业标准和历史标准对绩效指标完成情况进行比较。其中，计划标准以预先制定的目标、计划、预算、定额等作为评价标准，对比分析项目产出、效益的完成情况；行业标准以国家及业内普遍认可机构公布、公开市场发行的行业指标数据为评价标准，对比分析项目产出、效益的完成情况；历史标准以历史数据为参照考察该项目效益完成情况。对于定量指标，通过公式计算、数据统计等方式予以量化，通过准确衡量，并设定目标值的考核标准。对于定性指标，通过文献查阅、问卷调查及访谈方式，采集相关数据，运用等级描述法，设置分级标准，体现该指标认可程度的差异。</w:t>
      </w:r>
    </w:p>
    <w:p w14:paraId="0E34E3C0">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49" w:name="_Toc31055"/>
      <w:bookmarkStart w:id="50" w:name="_Toc21711"/>
      <w:r>
        <w:rPr>
          <w:rFonts w:ascii="Times New Roman" w:hAnsi="Times New Roman" w:cs="Times New Roman"/>
        </w:rPr>
        <w:t>（六）绩效评价方法</w:t>
      </w:r>
      <w:bookmarkEnd w:id="49"/>
      <w:bookmarkEnd w:id="50"/>
    </w:p>
    <w:p w14:paraId="1E11F0FA">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绩效评价方法的选用，坚持定量优先、简便有效的原则。为保障本次部门整体支出绩效评价工作的顺利开展，结合待评价部门单位实际情况，本次主要运用比较法、因素分析法、公众评判法共三种方法进行评价，具体评价方法应用如下：</w:t>
      </w:r>
    </w:p>
    <w:p w14:paraId="31567173">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在三级指标分析环节：总体采用比较法，同时辅以公众评判法。在三级定量指标分析环节，主要对比三级指标预期指标值和截至评价基准日（2025年12月31日）的完成情况，综合分析绩效目标实现程度；在三级定性指标分析环节，主要采用比较法和因素分析法（针对年度部门预算编制完整合理性、工作计划的合理明确性等指标）以及公众评判法等方法评价部门整体履职效果是否达到预期效益。</w:t>
      </w:r>
    </w:p>
    <w:p w14:paraId="5C4B1F5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在三级指标评分阐述环节：主要采用因素分析法，对影响绩效目标实现、预期指标值完成、项目具体实施效果的各项内外因素进行分析判断，确定三级指标得分情况。内部因素包括：人员配备、组织建设、制度保障及执行情况等，外部因素包括：影响政策或项目实施的外部条件发生重大变化、自然不可抗力等。</w:t>
      </w:r>
    </w:p>
    <w:p w14:paraId="48FD5EC3">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51" w:name="_Toc574"/>
      <w:bookmarkStart w:id="52" w:name="_Toc3708"/>
      <w:r>
        <w:rPr>
          <w:rFonts w:ascii="Times New Roman" w:hAnsi="Times New Roman" w:cs="Times New Roman"/>
        </w:rPr>
        <w:t>（七）抽样调查情况</w:t>
      </w:r>
      <w:bookmarkEnd w:id="51"/>
      <w:bookmarkEnd w:id="52"/>
    </w:p>
    <w:p w14:paraId="3B292DB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为了提高绩效评价工作效率、确保核查对象的代表性、强化报告的专业性，本次抽样调查遵循代表性、独立性和方便性原则，由绩效评价小组根据项目属性、实施情况、资金规模确定需要现场抽样核查的项目数及资金量。其中，对部门基本支出财务资料进行了全面抽查，对项目支出涉及的11个已经实施项目的预算绩效管理资料和指标完成情况印证资料进行抽查，项目抽样率为100%。</w:t>
      </w:r>
    </w:p>
    <w:p w14:paraId="35CC8FC4">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53" w:name="_Toc21098"/>
      <w:bookmarkStart w:id="54" w:name="_Toc30764"/>
      <w:r>
        <w:rPr>
          <w:rFonts w:ascii="Times New Roman" w:hAnsi="Times New Roman" w:cs="Times New Roman"/>
        </w:rPr>
        <w:t>（八）绩效评价工作过程</w:t>
      </w:r>
      <w:bookmarkEnd w:id="53"/>
      <w:bookmarkEnd w:id="54"/>
    </w:p>
    <w:p w14:paraId="03B41F75">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bookmarkStart w:id="55" w:name="_Toc9139"/>
      <w:r>
        <w:rPr>
          <w:rFonts w:eastAsia="仿宋_GB2312"/>
          <w:b/>
          <w:kern w:val="0"/>
          <w:sz w:val="32"/>
          <w:szCs w:val="32"/>
          <w:lang w:bidi="ar"/>
        </w:rPr>
        <w:t>1.前期准备</w:t>
      </w:r>
      <w:bookmarkEnd w:id="55"/>
    </w:p>
    <w:p w14:paraId="30278965">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新疆高博有限责任会计师事务所为绩效评价工作方面的专业第三方机构，受喀什市财政局委托实施重点项目（部门单位）绩效评价工作。根据文件及制度要求，新疆高博有限责任会计师事务所成立了由主评人担任评价组长的工作小组，按照绩效评价流程及程序开展工作。具体成员及职责分工如下：</w:t>
      </w:r>
    </w:p>
    <w:p w14:paraId="77CEC2E0">
      <w:pPr>
        <w:pStyle w:val="88"/>
        <w:ind w:firstLine="482"/>
        <w:jc w:val="center"/>
        <w:rPr>
          <w:b/>
          <w:bCs/>
          <w:sz w:val="24"/>
          <w:szCs w:val="24"/>
        </w:rPr>
      </w:pPr>
      <w:r>
        <w:rPr>
          <w:rFonts w:hint="eastAsia"/>
          <w:b/>
          <w:bCs/>
          <w:sz w:val="24"/>
          <w:szCs w:val="24"/>
        </w:rPr>
        <w:t xml:space="preserve">表2-1 </w:t>
      </w:r>
      <w:r>
        <w:rPr>
          <w:b/>
          <w:bCs/>
          <w:sz w:val="24"/>
          <w:szCs w:val="24"/>
        </w:rPr>
        <w:t>评价组成员表</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876"/>
        <w:gridCol w:w="1316"/>
        <w:gridCol w:w="6212"/>
      </w:tblGrid>
      <w:tr w14:paraId="4785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blHeader/>
        </w:trPr>
        <w:tc>
          <w:tcPr>
            <w:tcW w:w="358" w:type="pct"/>
            <w:shd w:val="clear" w:color="auto" w:fill="D7D7D7"/>
            <w:noWrap/>
            <w:vAlign w:val="center"/>
          </w:tcPr>
          <w:p w14:paraId="52170DC0">
            <w:pPr>
              <w:keepNext w:val="0"/>
              <w:keepLines w:val="0"/>
              <w:widowControl/>
              <w:suppressLineNumbers w:val="0"/>
              <w:spacing w:before="0" w:beforeAutospacing="0" w:after="0" w:afterAutospacing="0"/>
              <w:ind w:left="0" w:right="0"/>
              <w:jc w:val="center"/>
              <w:rPr>
                <w:rFonts w:hint="default" w:eastAsia="仿宋_GB2312"/>
                <w:kern w:val="0"/>
                <w:sz w:val="22"/>
                <w:lang w:bidi="ar"/>
              </w:rPr>
            </w:pPr>
            <w:r>
              <w:rPr>
                <w:rFonts w:hint="default" w:eastAsia="仿宋_GB2312"/>
                <w:kern w:val="0"/>
                <w:sz w:val="22"/>
                <w:lang w:bidi="ar"/>
              </w:rPr>
              <w:t>序号</w:t>
            </w:r>
          </w:p>
        </w:tc>
        <w:tc>
          <w:tcPr>
            <w:tcW w:w="478" w:type="pct"/>
            <w:shd w:val="clear" w:color="auto" w:fill="D7D7D7"/>
            <w:noWrap/>
            <w:vAlign w:val="center"/>
          </w:tcPr>
          <w:p w14:paraId="59775AB0">
            <w:pPr>
              <w:keepNext w:val="0"/>
              <w:keepLines w:val="0"/>
              <w:widowControl/>
              <w:suppressLineNumbers w:val="0"/>
              <w:spacing w:before="0" w:beforeAutospacing="0" w:after="0" w:afterAutospacing="0"/>
              <w:ind w:left="0" w:right="0"/>
              <w:jc w:val="center"/>
              <w:rPr>
                <w:rFonts w:hint="default" w:eastAsia="仿宋_GB2312"/>
                <w:kern w:val="0"/>
                <w:sz w:val="22"/>
                <w:lang w:bidi="ar"/>
              </w:rPr>
            </w:pPr>
            <w:r>
              <w:rPr>
                <w:rFonts w:hint="default" w:eastAsia="仿宋_GB2312"/>
                <w:kern w:val="0"/>
                <w:sz w:val="22"/>
                <w:lang w:bidi="ar"/>
              </w:rPr>
              <w:t>姓名</w:t>
            </w:r>
          </w:p>
        </w:tc>
        <w:tc>
          <w:tcPr>
            <w:tcW w:w="718" w:type="pct"/>
            <w:shd w:val="clear" w:color="auto" w:fill="D7D7D7"/>
            <w:noWrap/>
            <w:vAlign w:val="center"/>
          </w:tcPr>
          <w:p w14:paraId="52DEE6E8">
            <w:pPr>
              <w:keepNext w:val="0"/>
              <w:keepLines w:val="0"/>
              <w:widowControl/>
              <w:suppressLineNumbers w:val="0"/>
              <w:spacing w:before="0" w:beforeAutospacing="0" w:after="0" w:afterAutospacing="0"/>
              <w:ind w:left="0" w:right="0"/>
              <w:jc w:val="center"/>
              <w:rPr>
                <w:rFonts w:hint="default" w:eastAsia="仿宋_GB2312"/>
                <w:kern w:val="0"/>
                <w:sz w:val="22"/>
                <w:lang w:bidi="ar"/>
              </w:rPr>
            </w:pPr>
            <w:r>
              <w:rPr>
                <w:rFonts w:hint="default" w:eastAsia="仿宋_GB2312"/>
                <w:kern w:val="0"/>
                <w:sz w:val="22"/>
                <w:lang w:bidi="ar"/>
              </w:rPr>
              <w:t>工作职责</w:t>
            </w:r>
          </w:p>
        </w:tc>
        <w:tc>
          <w:tcPr>
            <w:tcW w:w="3447" w:type="pct"/>
            <w:shd w:val="clear" w:color="auto" w:fill="D7D7D7"/>
            <w:noWrap/>
            <w:vAlign w:val="center"/>
          </w:tcPr>
          <w:p w14:paraId="4C4D2B5F">
            <w:pPr>
              <w:keepNext w:val="0"/>
              <w:keepLines w:val="0"/>
              <w:widowControl/>
              <w:suppressLineNumbers w:val="0"/>
              <w:spacing w:before="0" w:beforeAutospacing="0" w:after="0" w:afterAutospacing="0"/>
              <w:ind w:left="0" w:right="0"/>
              <w:jc w:val="center"/>
              <w:rPr>
                <w:rFonts w:hint="default" w:eastAsia="仿宋_GB2312"/>
                <w:kern w:val="0"/>
                <w:sz w:val="22"/>
                <w:lang w:bidi="ar"/>
              </w:rPr>
            </w:pPr>
            <w:r>
              <w:rPr>
                <w:rFonts w:hint="default" w:eastAsia="仿宋_GB2312"/>
                <w:kern w:val="0"/>
                <w:sz w:val="22"/>
                <w:lang w:bidi="ar"/>
              </w:rPr>
              <w:t>分工内容</w:t>
            </w:r>
          </w:p>
        </w:tc>
      </w:tr>
      <w:tr w14:paraId="010DD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blHeader/>
        </w:trPr>
        <w:tc>
          <w:tcPr>
            <w:tcW w:w="358" w:type="pct"/>
            <w:noWrap/>
            <w:vAlign w:val="center"/>
          </w:tcPr>
          <w:p w14:paraId="6F5FF14E">
            <w:pPr>
              <w:keepNext w:val="0"/>
              <w:keepLines w:val="0"/>
              <w:widowControl/>
              <w:suppressLineNumbers w:val="0"/>
              <w:spacing w:before="0" w:beforeAutospacing="0" w:after="0" w:afterAutospacing="0"/>
              <w:ind w:left="0" w:right="0"/>
              <w:jc w:val="center"/>
              <w:rPr>
                <w:rFonts w:hint="default" w:eastAsia="仿宋_GB2312"/>
                <w:kern w:val="0"/>
                <w:sz w:val="22"/>
                <w:lang w:bidi="ar"/>
              </w:rPr>
            </w:pPr>
            <w:r>
              <w:rPr>
                <w:rFonts w:hint="default" w:eastAsia="仿宋_GB2312"/>
                <w:kern w:val="0"/>
                <w:sz w:val="22"/>
                <w:lang w:bidi="ar"/>
              </w:rPr>
              <w:t>1</w:t>
            </w:r>
          </w:p>
        </w:tc>
        <w:tc>
          <w:tcPr>
            <w:tcW w:w="478" w:type="pct"/>
            <w:noWrap/>
            <w:vAlign w:val="center"/>
          </w:tcPr>
          <w:p w14:paraId="4EB92E2D">
            <w:pPr>
              <w:keepNext w:val="0"/>
              <w:keepLines w:val="0"/>
              <w:widowControl/>
              <w:suppressLineNumbers w:val="0"/>
              <w:spacing w:before="0" w:beforeAutospacing="0" w:after="0" w:afterAutospacing="0"/>
              <w:ind w:left="0" w:right="0"/>
              <w:jc w:val="center"/>
              <w:rPr>
                <w:rFonts w:hint="default" w:eastAsia="仿宋_GB2312"/>
                <w:kern w:val="0"/>
                <w:sz w:val="22"/>
                <w:lang w:bidi="ar"/>
              </w:rPr>
            </w:pPr>
            <w:r>
              <w:rPr>
                <w:rFonts w:hint="eastAsia" w:eastAsia="仿宋_GB2312"/>
                <w:kern w:val="0"/>
                <w:sz w:val="22"/>
                <w:lang w:bidi="ar"/>
              </w:rPr>
              <w:t>杨柳</w:t>
            </w:r>
          </w:p>
        </w:tc>
        <w:tc>
          <w:tcPr>
            <w:tcW w:w="718" w:type="pct"/>
            <w:vAlign w:val="center"/>
          </w:tcPr>
          <w:p w14:paraId="312D6378">
            <w:pPr>
              <w:keepNext w:val="0"/>
              <w:keepLines w:val="0"/>
              <w:widowControl/>
              <w:suppressLineNumbers w:val="0"/>
              <w:spacing w:before="0" w:beforeAutospacing="0" w:after="0" w:afterAutospacing="0"/>
              <w:ind w:left="0" w:right="0"/>
              <w:jc w:val="center"/>
              <w:rPr>
                <w:rFonts w:hint="default" w:eastAsia="仿宋_GB2312"/>
                <w:kern w:val="0"/>
                <w:sz w:val="22"/>
                <w:lang w:bidi="ar"/>
              </w:rPr>
            </w:pPr>
            <w:r>
              <w:rPr>
                <w:rFonts w:hint="default" w:eastAsia="仿宋_GB2312"/>
                <w:kern w:val="0"/>
                <w:sz w:val="22"/>
                <w:lang w:bidi="ar"/>
              </w:rPr>
              <w:t>质控人</w:t>
            </w:r>
          </w:p>
        </w:tc>
        <w:tc>
          <w:tcPr>
            <w:tcW w:w="3447" w:type="pct"/>
            <w:vAlign w:val="center"/>
          </w:tcPr>
          <w:p w14:paraId="354DB462">
            <w:pPr>
              <w:keepNext w:val="0"/>
              <w:keepLines w:val="0"/>
              <w:widowControl/>
              <w:suppressLineNumbers w:val="0"/>
              <w:spacing w:before="0" w:beforeAutospacing="0" w:after="0" w:afterAutospacing="0"/>
              <w:ind w:left="0" w:right="0"/>
              <w:jc w:val="left"/>
              <w:rPr>
                <w:rFonts w:hint="eastAsia" w:eastAsia="仿宋_GB2312"/>
                <w:kern w:val="0"/>
                <w:sz w:val="22"/>
                <w:lang w:eastAsia="zh-CN" w:bidi="ar"/>
              </w:rPr>
            </w:pPr>
            <w:r>
              <w:rPr>
                <w:rFonts w:hint="default" w:eastAsia="仿宋_GB2312"/>
                <w:kern w:val="0"/>
                <w:sz w:val="22"/>
                <w:lang w:bidi="ar"/>
              </w:rPr>
              <w:t>负责对整体检查工作进行全面技术把关和指导报告质量内部质量总体把控，对整体评价结论进行最终复核</w:t>
            </w:r>
            <w:r>
              <w:rPr>
                <w:rFonts w:hint="eastAsia" w:eastAsia="仿宋_GB2312"/>
                <w:kern w:val="0"/>
                <w:sz w:val="22"/>
                <w:lang w:eastAsia="zh-CN" w:bidi="ar"/>
              </w:rPr>
              <w:t>。</w:t>
            </w:r>
          </w:p>
        </w:tc>
      </w:tr>
      <w:tr w14:paraId="0A634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blHeader/>
        </w:trPr>
        <w:tc>
          <w:tcPr>
            <w:tcW w:w="358" w:type="pct"/>
            <w:noWrap/>
            <w:vAlign w:val="center"/>
          </w:tcPr>
          <w:p w14:paraId="0B5E3C20">
            <w:pPr>
              <w:keepNext w:val="0"/>
              <w:keepLines w:val="0"/>
              <w:widowControl/>
              <w:suppressLineNumbers w:val="0"/>
              <w:spacing w:before="0" w:beforeAutospacing="0" w:after="0" w:afterAutospacing="0"/>
              <w:ind w:left="0" w:right="0"/>
              <w:jc w:val="center"/>
              <w:rPr>
                <w:rFonts w:hint="default" w:eastAsia="仿宋_GB2312"/>
                <w:kern w:val="0"/>
                <w:sz w:val="22"/>
                <w:lang w:bidi="ar"/>
              </w:rPr>
            </w:pPr>
            <w:r>
              <w:rPr>
                <w:rFonts w:hint="default" w:eastAsia="仿宋_GB2312"/>
                <w:kern w:val="0"/>
                <w:sz w:val="22"/>
                <w:lang w:bidi="ar"/>
              </w:rPr>
              <w:t>2</w:t>
            </w:r>
          </w:p>
        </w:tc>
        <w:tc>
          <w:tcPr>
            <w:tcW w:w="478" w:type="pct"/>
            <w:noWrap/>
            <w:vAlign w:val="center"/>
          </w:tcPr>
          <w:p w14:paraId="393560AF">
            <w:pPr>
              <w:keepNext w:val="0"/>
              <w:keepLines w:val="0"/>
              <w:widowControl/>
              <w:suppressLineNumbers w:val="0"/>
              <w:spacing w:before="0" w:beforeAutospacing="0" w:after="0" w:afterAutospacing="0"/>
              <w:ind w:left="0" w:right="0"/>
              <w:jc w:val="center"/>
              <w:rPr>
                <w:rFonts w:hint="default" w:eastAsia="仿宋_GB2312"/>
                <w:sz w:val="22"/>
              </w:rPr>
            </w:pPr>
            <w:r>
              <w:rPr>
                <w:rFonts w:hint="eastAsia" w:eastAsia="仿宋_GB2312"/>
                <w:sz w:val="22"/>
              </w:rPr>
              <w:t>张红霞</w:t>
            </w:r>
          </w:p>
        </w:tc>
        <w:tc>
          <w:tcPr>
            <w:tcW w:w="718" w:type="pct"/>
            <w:noWrap/>
            <w:vAlign w:val="center"/>
          </w:tcPr>
          <w:p w14:paraId="4FCADC5F">
            <w:pPr>
              <w:keepNext w:val="0"/>
              <w:keepLines w:val="0"/>
              <w:widowControl/>
              <w:suppressLineNumbers w:val="0"/>
              <w:spacing w:before="0" w:beforeAutospacing="0" w:after="0" w:afterAutospacing="0"/>
              <w:ind w:left="0" w:right="0"/>
              <w:jc w:val="center"/>
              <w:rPr>
                <w:rFonts w:hint="default" w:eastAsia="仿宋_GB2312"/>
                <w:kern w:val="0"/>
                <w:sz w:val="22"/>
                <w:lang w:bidi="ar"/>
              </w:rPr>
            </w:pPr>
            <w:r>
              <w:rPr>
                <w:rFonts w:hint="default" w:eastAsia="仿宋_GB2312"/>
                <w:kern w:val="0"/>
                <w:sz w:val="22"/>
                <w:lang w:bidi="ar"/>
              </w:rPr>
              <w:t>主评人</w:t>
            </w:r>
          </w:p>
        </w:tc>
        <w:tc>
          <w:tcPr>
            <w:tcW w:w="3447" w:type="pct"/>
            <w:vAlign w:val="center"/>
          </w:tcPr>
          <w:p w14:paraId="347512E9">
            <w:pPr>
              <w:keepNext w:val="0"/>
              <w:keepLines w:val="0"/>
              <w:widowControl/>
              <w:suppressLineNumbers w:val="0"/>
              <w:spacing w:before="0" w:beforeAutospacing="0" w:after="0" w:afterAutospacing="0"/>
              <w:ind w:left="0" w:right="0"/>
              <w:jc w:val="left"/>
              <w:rPr>
                <w:rFonts w:hint="default" w:eastAsia="仿宋_GB2312"/>
                <w:sz w:val="22"/>
              </w:rPr>
            </w:pPr>
            <w:r>
              <w:rPr>
                <w:rFonts w:hint="default" w:eastAsia="仿宋_GB2312"/>
                <w:sz w:val="22"/>
              </w:rPr>
              <w:t>负责</w:t>
            </w:r>
            <w:r>
              <w:rPr>
                <w:rFonts w:hint="eastAsia" w:eastAsia="仿宋_GB2312"/>
                <w:sz w:val="22"/>
              </w:rPr>
              <w:t>部门整体</w:t>
            </w:r>
            <w:r>
              <w:rPr>
                <w:rFonts w:hint="default" w:eastAsia="仿宋_GB2312"/>
                <w:sz w:val="22"/>
              </w:rPr>
              <w:t>评价方案、</w:t>
            </w:r>
            <w:r>
              <w:rPr>
                <w:rFonts w:hint="eastAsia" w:eastAsia="仿宋_GB2312"/>
                <w:sz w:val="22"/>
              </w:rPr>
              <w:t>评价</w:t>
            </w:r>
            <w:r>
              <w:rPr>
                <w:rFonts w:hint="default" w:eastAsia="仿宋_GB2312"/>
                <w:sz w:val="22"/>
              </w:rPr>
              <w:t>报告等重点工作内容的质量控制，技术指导。</w:t>
            </w:r>
          </w:p>
        </w:tc>
      </w:tr>
      <w:tr w14:paraId="0ED5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blHeader/>
        </w:trPr>
        <w:tc>
          <w:tcPr>
            <w:tcW w:w="358" w:type="pct"/>
            <w:noWrap/>
            <w:vAlign w:val="center"/>
          </w:tcPr>
          <w:p w14:paraId="1E5F4160">
            <w:pPr>
              <w:keepNext w:val="0"/>
              <w:keepLines w:val="0"/>
              <w:widowControl/>
              <w:suppressLineNumbers w:val="0"/>
              <w:spacing w:before="0" w:beforeAutospacing="0" w:after="0" w:afterAutospacing="0"/>
              <w:ind w:left="0" w:right="0"/>
              <w:jc w:val="center"/>
              <w:rPr>
                <w:rFonts w:hint="eastAsia" w:eastAsia="仿宋_GB2312"/>
                <w:kern w:val="0"/>
                <w:sz w:val="22"/>
                <w:lang w:val="en-US" w:eastAsia="zh-CN" w:bidi="ar"/>
              </w:rPr>
            </w:pPr>
            <w:r>
              <w:rPr>
                <w:rFonts w:hint="eastAsia" w:eastAsia="仿宋_GB2312"/>
                <w:kern w:val="0"/>
                <w:sz w:val="22"/>
                <w:lang w:val="en-US" w:eastAsia="zh-CN" w:bidi="ar"/>
              </w:rPr>
              <w:t>3</w:t>
            </w:r>
          </w:p>
        </w:tc>
        <w:tc>
          <w:tcPr>
            <w:tcW w:w="478" w:type="pct"/>
            <w:noWrap/>
            <w:vAlign w:val="center"/>
          </w:tcPr>
          <w:p w14:paraId="475BD42B">
            <w:pPr>
              <w:keepNext w:val="0"/>
              <w:keepLines w:val="0"/>
              <w:widowControl/>
              <w:suppressLineNumbers w:val="0"/>
              <w:spacing w:before="0" w:beforeAutospacing="0" w:after="0" w:afterAutospacing="0"/>
              <w:ind w:left="0" w:right="0"/>
              <w:jc w:val="center"/>
              <w:rPr>
                <w:rFonts w:hint="default" w:eastAsia="仿宋_GB2312"/>
                <w:kern w:val="0"/>
                <w:sz w:val="22"/>
                <w:lang w:bidi="ar"/>
              </w:rPr>
            </w:pPr>
            <w:r>
              <w:rPr>
                <w:rFonts w:hint="eastAsia" w:eastAsia="仿宋_GB2312"/>
                <w:kern w:val="0"/>
                <w:sz w:val="22"/>
                <w:lang w:bidi="ar"/>
              </w:rPr>
              <w:t>廉柳俊</w:t>
            </w:r>
          </w:p>
        </w:tc>
        <w:tc>
          <w:tcPr>
            <w:tcW w:w="718" w:type="pct"/>
            <w:noWrap/>
            <w:vAlign w:val="center"/>
          </w:tcPr>
          <w:p w14:paraId="28E75CB9">
            <w:pPr>
              <w:keepNext w:val="0"/>
              <w:keepLines w:val="0"/>
              <w:widowControl/>
              <w:suppressLineNumbers w:val="0"/>
              <w:spacing w:before="0" w:beforeAutospacing="0" w:after="0" w:afterAutospacing="0"/>
              <w:ind w:left="0" w:right="0"/>
              <w:jc w:val="center"/>
              <w:rPr>
                <w:rFonts w:hint="default" w:eastAsia="仿宋_GB2312"/>
                <w:kern w:val="0"/>
                <w:sz w:val="22"/>
                <w:lang w:val="en-US" w:eastAsia="zh-CN" w:bidi="ar"/>
              </w:rPr>
            </w:pPr>
            <w:r>
              <w:rPr>
                <w:rFonts w:hint="eastAsia" w:eastAsia="仿宋_GB2312"/>
                <w:kern w:val="0"/>
                <w:sz w:val="22"/>
                <w:lang w:val="en-US" w:eastAsia="zh-CN" w:bidi="ar"/>
              </w:rPr>
              <w:t>现场负责人</w:t>
            </w:r>
          </w:p>
        </w:tc>
        <w:tc>
          <w:tcPr>
            <w:tcW w:w="3447" w:type="pct"/>
            <w:vAlign w:val="center"/>
          </w:tcPr>
          <w:p w14:paraId="4EDCFCA6">
            <w:pPr>
              <w:keepNext w:val="0"/>
              <w:keepLines w:val="0"/>
              <w:widowControl/>
              <w:suppressLineNumbers w:val="0"/>
              <w:spacing w:before="0" w:beforeAutospacing="0" w:after="0" w:afterAutospacing="0"/>
              <w:ind w:left="0" w:right="0"/>
              <w:jc w:val="left"/>
              <w:rPr>
                <w:rFonts w:hint="default" w:eastAsia="仿宋_GB2312"/>
                <w:kern w:val="0"/>
                <w:sz w:val="22"/>
                <w:lang w:bidi="ar"/>
              </w:rPr>
            </w:pPr>
            <w:r>
              <w:rPr>
                <w:rFonts w:hint="eastAsia" w:eastAsia="仿宋_GB2312"/>
                <w:kern w:val="0"/>
                <w:sz w:val="22"/>
                <w:lang w:val="en-US" w:eastAsia="zh-CN" w:bidi="ar"/>
              </w:rPr>
              <w:t>负责对项目实施统筹、资料收集，整理及数据分析、撰写工作方案及评价报告并对评价报告进行负责。</w:t>
            </w:r>
          </w:p>
        </w:tc>
      </w:tr>
      <w:tr w14:paraId="1D45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blHeader/>
        </w:trPr>
        <w:tc>
          <w:tcPr>
            <w:tcW w:w="358" w:type="pct"/>
            <w:noWrap/>
            <w:vAlign w:val="center"/>
          </w:tcPr>
          <w:p w14:paraId="26CB6CCC">
            <w:pPr>
              <w:keepNext w:val="0"/>
              <w:keepLines w:val="0"/>
              <w:widowControl/>
              <w:suppressLineNumbers w:val="0"/>
              <w:spacing w:before="0" w:beforeAutospacing="0" w:after="0" w:afterAutospacing="0"/>
              <w:ind w:left="0" w:right="0"/>
              <w:jc w:val="center"/>
              <w:rPr>
                <w:rFonts w:hint="default" w:eastAsia="仿宋_GB2312"/>
                <w:kern w:val="0"/>
                <w:sz w:val="22"/>
                <w:lang w:val="en-US" w:eastAsia="zh-CN" w:bidi="ar"/>
              </w:rPr>
            </w:pPr>
            <w:r>
              <w:rPr>
                <w:rFonts w:hint="eastAsia" w:eastAsia="仿宋_GB2312"/>
                <w:kern w:val="0"/>
                <w:sz w:val="22"/>
                <w:lang w:val="en-US" w:eastAsia="zh-CN" w:bidi="ar"/>
              </w:rPr>
              <w:t>4</w:t>
            </w:r>
          </w:p>
        </w:tc>
        <w:tc>
          <w:tcPr>
            <w:tcW w:w="478" w:type="pct"/>
            <w:noWrap/>
            <w:vAlign w:val="center"/>
          </w:tcPr>
          <w:p w14:paraId="65199058">
            <w:pPr>
              <w:keepNext w:val="0"/>
              <w:keepLines w:val="0"/>
              <w:widowControl/>
              <w:suppressLineNumbers w:val="0"/>
              <w:spacing w:before="0" w:beforeAutospacing="0" w:after="0" w:afterAutospacing="0"/>
              <w:ind w:left="0" w:right="0"/>
              <w:jc w:val="center"/>
              <w:rPr>
                <w:rFonts w:hint="default" w:eastAsia="仿宋_GB2312"/>
                <w:kern w:val="0"/>
                <w:sz w:val="22"/>
                <w:lang w:bidi="ar"/>
              </w:rPr>
            </w:pPr>
            <w:r>
              <w:rPr>
                <w:rFonts w:hint="eastAsia" w:eastAsia="仿宋_GB2312"/>
                <w:kern w:val="0"/>
                <w:sz w:val="22"/>
                <w:lang w:bidi="ar"/>
              </w:rPr>
              <w:t>马祥琴</w:t>
            </w:r>
          </w:p>
        </w:tc>
        <w:tc>
          <w:tcPr>
            <w:tcW w:w="718" w:type="pct"/>
            <w:noWrap/>
            <w:vAlign w:val="center"/>
          </w:tcPr>
          <w:p w14:paraId="20C36FB0">
            <w:pPr>
              <w:keepNext w:val="0"/>
              <w:keepLines w:val="0"/>
              <w:widowControl/>
              <w:suppressLineNumbers w:val="0"/>
              <w:spacing w:before="0" w:beforeAutospacing="0" w:after="0" w:afterAutospacing="0"/>
              <w:ind w:left="0" w:right="0"/>
              <w:jc w:val="center"/>
              <w:rPr>
                <w:rFonts w:hint="default" w:eastAsia="仿宋_GB2312"/>
                <w:kern w:val="0"/>
                <w:sz w:val="22"/>
                <w:lang w:bidi="ar"/>
              </w:rPr>
            </w:pPr>
            <w:r>
              <w:rPr>
                <w:rFonts w:hint="default" w:eastAsia="仿宋_GB2312"/>
                <w:kern w:val="0"/>
                <w:sz w:val="22"/>
                <w:lang w:bidi="ar"/>
              </w:rPr>
              <w:t>评价组成员</w:t>
            </w:r>
          </w:p>
        </w:tc>
        <w:tc>
          <w:tcPr>
            <w:tcW w:w="3447" w:type="pct"/>
            <w:vAlign w:val="center"/>
          </w:tcPr>
          <w:p w14:paraId="04A0861D">
            <w:pPr>
              <w:keepNext w:val="0"/>
              <w:keepLines w:val="0"/>
              <w:widowControl/>
              <w:suppressLineNumbers w:val="0"/>
              <w:spacing w:before="0" w:beforeAutospacing="0" w:after="0" w:afterAutospacing="0"/>
              <w:ind w:left="0" w:right="0"/>
              <w:jc w:val="left"/>
              <w:rPr>
                <w:rFonts w:hint="eastAsia" w:eastAsia="仿宋_GB2312"/>
                <w:kern w:val="0"/>
                <w:sz w:val="22"/>
                <w:lang w:eastAsia="zh-CN" w:bidi="ar"/>
              </w:rPr>
            </w:pPr>
            <w:r>
              <w:rPr>
                <w:rFonts w:hint="default" w:eastAsia="仿宋_GB2312"/>
                <w:kern w:val="0"/>
                <w:sz w:val="22"/>
                <w:lang w:bidi="ar"/>
              </w:rPr>
              <w:t>负责资料搜集、整理及数据分析等，并协助撰写工作方案及评价报告等</w:t>
            </w:r>
            <w:r>
              <w:rPr>
                <w:rFonts w:hint="eastAsia" w:eastAsia="仿宋_GB2312"/>
                <w:kern w:val="0"/>
                <w:sz w:val="22"/>
                <w:lang w:eastAsia="zh-CN" w:bidi="ar"/>
              </w:rPr>
              <w:t>。</w:t>
            </w:r>
          </w:p>
        </w:tc>
      </w:tr>
      <w:tr w14:paraId="7F0E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blHeader/>
        </w:trPr>
        <w:tc>
          <w:tcPr>
            <w:tcW w:w="358" w:type="pct"/>
            <w:noWrap/>
            <w:vAlign w:val="center"/>
          </w:tcPr>
          <w:p w14:paraId="14D02FDB">
            <w:pPr>
              <w:keepNext w:val="0"/>
              <w:keepLines w:val="0"/>
              <w:widowControl/>
              <w:suppressLineNumbers w:val="0"/>
              <w:spacing w:before="0" w:beforeAutospacing="0" w:after="0" w:afterAutospacing="0"/>
              <w:ind w:left="0" w:right="0"/>
              <w:jc w:val="center"/>
              <w:rPr>
                <w:rFonts w:hint="eastAsia" w:eastAsia="仿宋_GB2312"/>
                <w:kern w:val="0"/>
                <w:sz w:val="22"/>
                <w:lang w:val="en-US" w:eastAsia="zh-CN" w:bidi="ar"/>
              </w:rPr>
            </w:pPr>
            <w:r>
              <w:rPr>
                <w:rFonts w:hint="eastAsia" w:eastAsia="仿宋_GB2312"/>
                <w:kern w:val="0"/>
                <w:sz w:val="22"/>
                <w:lang w:val="en-US" w:eastAsia="zh-CN" w:bidi="ar"/>
              </w:rPr>
              <w:t>5</w:t>
            </w:r>
          </w:p>
        </w:tc>
        <w:tc>
          <w:tcPr>
            <w:tcW w:w="478" w:type="pct"/>
            <w:noWrap/>
            <w:vAlign w:val="center"/>
          </w:tcPr>
          <w:p w14:paraId="11C89172">
            <w:pPr>
              <w:keepNext w:val="0"/>
              <w:keepLines w:val="0"/>
              <w:widowControl/>
              <w:suppressLineNumbers w:val="0"/>
              <w:spacing w:before="0" w:beforeAutospacing="0" w:after="0" w:afterAutospacing="0"/>
              <w:ind w:left="0" w:right="0"/>
              <w:jc w:val="center"/>
              <w:rPr>
                <w:rFonts w:hint="default" w:eastAsia="仿宋_GB2312"/>
                <w:sz w:val="22"/>
              </w:rPr>
            </w:pPr>
            <w:r>
              <w:rPr>
                <w:rFonts w:hint="eastAsia" w:eastAsia="仿宋_GB2312"/>
                <w:sz w:val="22"/>
              </w:rPr>
              <w:t>李子航</w:t>
            </w:r>
          </w:p>
        </w:tc>
        <w:tc>
          <w:tcPr>
            <w:tcW w:w="718" w:type="pct"/>
            <w:noWrap/>
            <w:vAlign w:val="center"/>
          </w:tcPr>
          <w:p w14:paraId="56806E52">
            <w:pPr>
              <w:keepNext w:val="0"/>
              <w:keepLines w:val="0"/>
              <w:widowControl/>
              <w:suppressLineNumbers w:val="0"/>
              <w:spacing w:before="0" w:beforeAutospacing="0" w:after="0" w:afterAutospacing="0"/>
              <w:ind w:left="0" w:right="0"/>
              <w:jc w:val="center"/>
              <w:rPr>
                <w:rFonts w:hint="default" w:eastAsia="仿宋_GB2312"/>
                <w:kern w:val="0"/>
                <w:sz w:val="22"/>
                <w:lang w:bidi="ar"/>
              </w:rPr>
            </w:pPr>
            <w:r>
              <w:rPr>
                <w:rFonts w:hint="default" w:eastAsia="仿宋_GB2312"/>
                <w:kern w:val="0"/>
                <w:sz w:val="22"/>
                <w:lang w:bidi="ar"/>
              </w:rPr>
              <w:t>评价组成员</w:t>
            </w:r>
          </w:p>
        </w:tc>
        <w:tc>
          <w:tcPr>
            <w:tcW w:w="3447" w:type="pct"/>
            <w:vAlign w:val="center"/>
          </w:tcPr>
          <w:p w14:paraId="18152A91">
            <w:pPr>
              <w:keepNext w:val="0"/>
              <w:keepLines w:val="0"/>
              <w:widowControl/>
              <w:suppressLineNumbers w:val="0"/>
              <w:spacing w:before="0" w:beforeAutospacing="0" w:after="0" w:afterAutospacing="0"/>
              <w:ind w:left="0" w:right="0"/>
              <w:jc w:val="left"/>
              <w:rPr>
                <w:rFonts w:hint="default" w:eastAsia="仿宋_GB2312"/>
                <w:kern w:val="0"/>
                <w:sz w:val="22"/>
                <w:lang w:bidi="ar"/>
              </w:rPr>
            </w:pPr>
            <w:r>
              <w:rPr>
                <w:rFonts w:hint="default" w:eastAsia="仿宋_GB2312"/>
                <w:kern w:val="0"/>
                <w:sz w:val="22"/>
                <w:lang w:bidi="ar"/>
              </w:rPr>
              <w:t>负责资料搜集、整理及数据分析等，并协助撰写工作方案及评价报告等</w:t>
            </w:r>
            <w:r>
              <w:rPr>
                <w:rFonts w:hint="eastAsia" w:eastAsia="仿宋_GB2312"/>
                <w:kern w:val="0"/>
                <w:sz w:val="22"/>
                <w:lang w:bidi="ar"/>
              </w:rPr>
              <w:t>。</w:t>
            </w:r>
          </w:p>
        </w:tc>
      </w:tr>
    </w:tbl>
    <w:p w14:paraId="709A049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本次项目评价期间自2026年7月1日至2026年8月10日，具体安排为：</w:t>
      </w:r>
    </w:p>
    <w:p w14:paraId="5FAE51A5">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绩效评价准备阶段：2026年7月1日至2026年7月10日，组成绩效评价工作小组（质控人：杨柳；主评人：张红霞；组员：廉柳俊、马祥琴、李子航），研究制定绩效评价工作方案（包括出具绩效评价指标体系、整理完善资料清单、编制重点项目绩效评价实施方案等），征求喀什市财政局的意见，将确定的绩效评价工作方案和资料清单委托财政局发放项目主管部门单位，主管部门单位根据资料清单收集项目资料。</w:t>
      </w:r>
    </w:p>
    <w:p w14:paraId="3D7F037A">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绩效评价实施阶段：2026年7月11日至2026年7月31日，绩效评价工作小组参照实施方案，具体组织实施项目绩效评价工作。通过实地走访、座谈交流等方式了解项目实际情况并收集相关资料。</w:t>
      </w:r>
    </w:p>
    <w:p w14:paraId="4CB545AC">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汇总评价报告阶段：2026年8月1日至2026年8月10日，绩效评价工作小组根据项目实际情况，编制绩效评价报告初稿，并进行内部三审复核（绩效评价报告复核人员：三审</w:t>
      </w:r>
      <w:r>
        <w:rPr>
          <w:rFonts w:hint="eastAsia" w:eastAsia="仿宋_GB2312"/>
          <w:bCs/>
          <w:kern w:val="0"/>
          <w:sz w:val="32"/>
          <w:szCs w:val="32"/>
          <w:lang w:val="en-US" w:eastAsia="zh-CN" w:bidi="ar"/>
        </w:rPr>
        <w:t>杨柳</w:t>
      </w:r>
      <w:r>
        <w:rPr>
          <w:rFonts w:hint="eastAsia" w:eastAsia="仿宋_GB2312"/>
          <w:bCs/>
          <w:kern w:val="0"/>
          <w:sz w:val="32"/>
          <w:szCs w:val="32"/>
          <w:lang w:bidi="ar"/>
        </w:rPr>
        <w:t>、二审</w:t>
      </w:r>
      <w:r>
        <w:rPr>
          <w:rFonts w:hint="eastAsia" w:eastAsia="仿宋_GB2312"/>
          <w:bCs/>
          <w:kern w:val="0"/>
          <w:sz w:val="32"/>
          <w:szCs w:val="32"/>
          <w:lang w:val="en-US" w:eastAsia="zh-CN" w:bidi="ar"/>
        </w:rPr>
        <w:t>张红霞</w:t>
      </w:r>
      <w:r>
        <w:rPr>
          <w:rFonts w:hint="eastAsia" w:eastAsia="仿宋_GB2312"/>
          <w:bCs/>
          <w:kern w:val="0"/>
          <w:sz w:val="32"/>
          <w:szCs w:val="32"/>
          <w:lang w:bidi="ar"/>
        </w:rPr>
        <w:t>、一审廉柳俊）；复核通过后征求项目单位、财政局绩效评价科意见建议。</w:t>
      </w:r>
    </w:p>
    <w:p w14:paraId="6DF8A59C">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ascii="Times New Roman" w:hAnsi="Times New Roman" w:eastAsia="仿宋_GB2312" w:cs="Times New Roman"/>
          <w:bCs/>
          <w:kern w:val="0"/>
          <w:sz w:val="32"/>
          <w:szCs w:val="32"/>
          <w:lang w:val="en-US" w:eastAsia="zh-CN" w:bidi="ar"/>
        </w:rPr>
      </w:pPr>
      <w:r>
        <w:rPr>
          <w:rFonts w:hint="eastAsia" w:ascii="Times New Roman" w:hAnsi="Times New Roman" w:eastAsia="仿宋_GB2312" w:cs="Times New Roman"/>
          <w:bCs/>
          <w:kern w:val="0"/>
          <w:sz w:val="32"/>
          <w:szCs w:val="32"/>
          <w:lang w:val="en-US" w:eastAsia="zh-CN" w:bidi="ar"/>
        </w:rPr>
        <w:t>报告修改完善及征求意见阶段：2026年8月11日至2026年8月15日，评价小组根据项目单位反馈意见逐项修改完善，形成报告征求意见稿，征求喀什市财政局及被评价部门单位意见建议，最终形成正式绩效评价报告。</w:t>
      </w:r>
    </w:p>
    <w:p w14:paraId="3DD7C6CE">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2.组织实施</w:t>
      </w:r>
    </w:p>
    <w:p w14:paraId="19F2B34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评价小组通过与喀什市市场监督管理局沟通，了解部门基本情况，收集相关基础资料，并进行整理分析，编制部门绩效评价资料清单，对部门资金使用进行分析和绩效检查，并根据评价需求实地进行调研考察，严格按照绩效评价指标体系进行评价，总结各地经验做法和存在的问题。</w:t>
      </w:r>
    </w:p>
    <w:p w14:paraId="0ED3F6CC">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bookmarkStart w:id="56" w:name="_Toc14996"/>
      <w:r>
        <w:rPr>
          <w:rFonts w:eastAsia="仿宋_GB2312"/>
          <w:b/>
          <w:kern w:val="0"/>
          <w:sz w:val="32"/>
          <w:szCs w:val="32"/>
          <w:lang w:bidi="ar"/>
        </w:rPr>
        <w:t>3.综合分析评价</w:t>
      </w:r>
      <w:bookmarkEnd w:id="56"/>
    </w:p>
    <w:p w14:paraId="74AFA156">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一是根据所收集的资料，结合现场勘查等有关情况，整理出绩效评价所需要的基本资料和数据。二是按照确定的评价指标、评价标准和评价方法，对评价对象的绩效情况进行全面的定量定性分析和综合评价，量化评分，形成评价初步结论。</w:t>
      </w:r>
    </w:p>
    <w:p w14:paraId="10CD470C">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hint="eastAsia" w:eastAsia="仿宋_GB2312"/>
          <w:b/>
          <w:kern w:val="0"/>
          <w:sz w:val="32"/>
          <w:szCs w:val="32"/>
          <w:lang w:bidi="ar"/>
        </w:rPr>
        <w:t>4.报告撰写</w:t>
      </w:r>
    </w:p>
    <w:p w14:paraId="2E2B52EE">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一是根据本次绩效评价开展情况和初步评价结果，形成绩效评价报告初稿。二是征求喀什市市场监督管理局及喀什市财政局意见，并结合反馈意见形成正式报告。</w:t>
      </w:r>
    </w:p>
    <w:p w14:paraId="4F193772">
      <w:pPr>
        <w:pStyle w:val="91"/>
        <w:widowControl w:val="0"/>
        <w:spacing w:before="0" w:after="0"/>
        <w:ind w:left="0" w:firstLine="640" w:firstLineChars="200"/>
        <w:jc w:val="both"/>
        <w:rPr>
          <w:rFonts w:hint="default" w:ascii="Times New Roman" w:hAnsi="Times New Roman"/>
        </w:rPr>
      </w:pPr>
      <w:bookmarkStart w:id="57" w:name="_Toc9448"/>
      <w:bookmarkStart w:id="58" w:name="_Toc18356"/>
      <w:r>
        <w:rPr>
          <w:rFonts w:ascii="Times New Roman" w:hAnsi="Times New Roman"/>
        </w:rPr>
        <w:t>三、绩效评价综合情况及结论</w:t>
      </w:r>
      <w:bookmarkEnd w:id="57"/>
      <w:bookmarkEnd w:id="58"/>
    </w:p>
    <w:p w14:paraId="1570F918">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59" w:name="_Toc10443"/>
      <w:bookmarkStart w:id="60" w:name="_Toc28943"/>
      <w:r>
        <w:rPr>
          <w:rFonts w:ascii="Times New Roman" w:hAnsi="Times New Roman" w:cs="Times New Roman"/>
        </w:rPr>
        <w:t>（一）绩效评价综合结论</w:t>
      </w:r>
      <w:bookmarkEnd w:id="59"/>
      <w:bookmarkEnd w:id="60"/>
    </w:p>
    <w:p w14:paraId="2A10B7AE">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绩效评价小组根据喀什市市场监督管理局实际情况，基于2025年度部门整体运行资料收集、整理、汇总和分析，并就关键数据与部门单位财务及相关项目负责人进行了充分沟通核实，形成关键数据汇总，得出的结论是：根据喀什市市场监督管理局提交的《部门（单位）整体支出绩效评价报告》显示，喀什市市场监督管理局2025年度绩效目标实际完成情况：</w:t>
      </w:r>
      <w:r>
        <w:rPr>
          <w:rFonts w:hint="eastAsia" w:eastAsia="仿宋_GB2312"/>
          <w:bCs/>
          <w:kern w:val="0"/>
          <w:sz w:val="32"/>
          <w:szCs w:val="32"/>
          <w:lang w:val="en-US" w:eastAsia="zh-CN" w:bidi="ar"/>
        </w:rPr>
        <w:t>一</w:t>
      </w:r>
      <w:r>
        <w:rPr>
          <w:rFonts w:hint="eastAsia" w:eastAsia="仿宋_GB2312"/>
          <w:bCs/>
          <w:kern w:val="0"/>
          <w:sz w:val="32"/>
          <w:szCs w:val="32"/>
          <w:lang w:bidi="ar"/>
        </w:rPr>
        <w:t>是强监管，保安全，助力高质量发展，开展食品安全监督抽检1016批次，抽检信息公布率达100%，药械化抽样任务完成率达到100%，完成特种设备定检率达到99.56%，特种设备注册登记率达到99.19%，全年不发生重特大特种设备安全事故；</w:t>
      </w:r>
      <w:r>
        <w:rPr>
          <w:rFonts w:hint="eastAsia" w:eastAsia="仿宋_GB2312"/>
          <w:bCs/>
          <w:kern w:val="0"/>
          <w:sz w:val="32"/>
          <w:szCs w:val="32"/>
          <w:lang w:val="en-US" w:eastAsia="zh-CN" w:bidi="ar"/>
        </w:rPr>
        <w:t>二</w:t>
      </w:r>
      <w:r>
        <w:rPr>
          <w:rFonts w:hint="eastAsia" w:eastAsia="仿宋_GB2312"/>
          <w:bCs/>
          <w:kern w:val="0"/>
          <w:sz w:val="32"/>
          <w:szCs w:val="32"/>
          <w:lang w:bidi="ar"/>
        </w:rPr>
        <w:t>是加强服务引导，推进质量提升，做好知识产权促进与保护工作，完成知识产权强区三年行动方案各类指标性工作，年底前商标有效注册量达到21514件；</w:t>
      </w:r>
      <w:r>
        <w:rPr>
          <w:rFonts w:hint="eastAsia" w:eastAsia="仿宋_GB2312"/>
          <w:bCs/>
          <w:kern w:val="0"/>
          <w:sz w:val="32"/>
          <w:szCs w:val="32"/>
          <w:lang w:val="en-US" w:eastAsia="zh-CN" w:bidi="ar"/>
        </w:rPr>
        <w:t>三</w:t>
      </w:r>
      <w:r>
        <w:rPr>
          <w:rFonts w:hint="eastAsia" w:eastAsia="仿宋_GB2312"/>
          <w:bCs/>
          <w:kern w:val="0"/>
          <w:sz w:val="32"/>
          <w:szCs w:val="32"/>
          <w:lang w:bidi="ar"/>
        </w:rPr>
        <w:t>是加强消费者权益保护举措，构建和谐消费环境，做好12315投诉举报平台受理化解和12345转办处理工作，办结率达96.52%；</w:t>
      </w:r>
      <w:r>
        <w:rPr>
          <w:rFonts w:hint="eastAsia" w:eastAsia="仿宋_GB2312"/>
          <w:bCs/>
          <w:kern w:val="0"/>
          <w:sz w:val="32"/>
          <w:szCs w:val="32"/>
          <w:lang w:val="en-US" w:eastAsia="zh-CN" w:bidi="ar"/>
        </w:rPr>
        <w:t>四</w:t>
      </w:r>
      <w:r>
        <w:rPr>
          <w:rFonts w:hint="eastAsia" w:eastAsia="仿宋_GB2312"/>
          <w:bCs/>
          <w:kern w:val="0"/>
          <w:sz w:val="32"/>
          <w:szCs w:val="32"/>
          <w:lang w:bidi="ar"/>
        </w:rPr>
        <w:t>是维护市场秩序，优化市场环境，推动市场价格监管工作，开展涉企收费专项检查，加强民生领域广告监管；</w:t>
      </w:r>
      <w:r>
        <w:rPr>
          <w:rFonts w:hint="eastAsia" w:eastAsia="仿宋_GB2312"/>
          <w:bCs/>
          <w:kern w:val="0"/>
          <w:sz w:val="32"/>
          <w:szCs w:val="32"/>
          <w:lang w:val="en-US" w:eastAsia="zh-CN" w:bidi="ar"/>
        </w:rPr>
        <w:t>五</w:t>
      </w:r>
      <w:r>
        <w:rPr>
          <w:rFonts w:hint="eastAsia" w:eastAsia="仿宋_GB2312"/>
          <w:bCs/>
          <w:kern w:val="0"/>
          <w:sz w:val="32"/>
          <w:szCs w:val="32"/>
          <w:lang w:bidi="ar"/>
        </w:rPr>
        <w:t>是强化法治建设，优化法治化营商环境，落实“谁执法谁普法”责任制，开展</w:t>
      </w:r>
      <w:r>
        <w:rPr>
          <w:rFonts w:hint="eastAsia" w:eastAsia="仿宋_GB2312"/>
          <w:bCs/>
          <w:kern w:val="0"/>
          <w:sz w:val="32"/>
          <w:szCs w:val="32"/>
          <w:lang w:eastAsia="zh-CN" w:bidi="ar"/>
        </w:rPr>
        <w:t>“3·15”消费者权益日</w:t>
      </w:r>
      <w:r>
        <w:rPr>
          <w:rFonts w:hint="eastAsia" w:eastAsia="仿宋_GB2312"/>
          <w:bCs/>
          <w:kern w:val="0"/>
          <w:sz w:val="32"/>
          <w:szCs w:val="32"/>
          <w:lang w:bidi="ar"/>
        </w:rPr>
        <w:t>、</w:t>
      </w:r>
      <w:r>
        <w:rPr>
          <w:rFonts w:hint="eastAsia" w:eastAsia="仿宋_GB2312"/>
          <w:bCs/>
          <w:kern w:val="0"/>
          <w:sz w:val="32"/>
          <w:szCs w:val="32"/>
          <w:lang w:eastAsia="zh-CN" w:bidi="ar"/>
        </w:rPr>
        <w:t>“4·15”全民国家安全教育日</w:t>
      </w:r>
      <w:r>
        <w:rPr>
          <w:rFonts w:hint="eastAsia" w:eastAsia="仿宋_GB2312"/>
          <w:bCs/>
          <w:kern w:val="0"/>
          <w:sz w:val="32"/>
          <w:szCs w:val="32"/>
          <w:lang w:bidi="ar"/>
        </w:rPr>
        <w:t>、</w:t>
      </w:r>
      <w:r>
        <w:rPr>
          <w:rFonts w:hint="eastAsia" w:eastAsia="仿宋_GB2312"/>
          <w:bCs/>
          <w:kern w:val="0"/>
          <w:sz w:val="32"/>
          <w:szCs w:val="32"/>
          <w:lang w:eastAsia="zh-CN" w:bidi="ar"/>
        </w:rPr>
        <w:t>“</w:t>
      </w:r>
      <w:r>
        <w:rPr>
          <w:rFonts w:hint="eastAsia" w:eastAsia="仿宋_GB2312"/>
          <w:bCs/>
          <w:kern w:val="0"/>
          <w:sz w:val="32"/>
          <w:szCs w:val="32"/>
          <w:lang w:bidi="ar"/>
        </w:rPr>
        <w:t>4</w:t>
      </w:r>
      <w:r>
        <w:rPr>
          <w:rFonts w:hint="eastAsia" w:eastAsia="仿宋_GB2312"/>
          <w:bCs/>
          <w:kern w:val="0"/>
          <w:sz w:val="32"/>
          <w:szCs w:val="32"/>
          <w:lang w:eastAsia="zh-CN" w:bidi="ar"/>
        </w:rPr>
        <w:t>·</w:t>
      </w:r>
      <w:r>
        <w:rPr>
          <w:rFonts w:hint="eastAsia" w:eastAsia="仿宋_GB2312"/>
          <w:bCs/>
          <w:kern w:val="0"/>
          <w:sz w:val="32"/>
          <w:szCs w:val="32"/>
          <w:lang w:bidi="ar"/>
        </w:rPr>
        <w:t>26</w:t>
      </w:r>
      <w:r>
        <w:rPr>
          <w:rFonts w:hint="eastAsia" w:eastAsia="仿宋_GB2312"/>
          <w:bCs/>
          <w:kern w:val="0"/>
          <w:sz w:val="32"/>
          <w:szCs w:val="32"/>
          <w:lang w:eastAsia="zh-CN" w:bidi="ar"/>
        </w:rPr>
        <w:t>”</w:t>
      </w:r>
      <w:r>
        <w:rPr>
          <w:rFonts w:hint="eastAsia" w:eastAsia="仿宋_GB2312"/>
          <w:bCs/>
          <w:kern w:val="0"/>
          <w:sz w:val="32"/>
          <w:szCs w:val="32"/>
          <w:lang w:bidi="ar"/>
        </w:rPr>
        <w:t>世界知识产权日、</w:t>
      </w:r>
      <w:r>
        <w:rPr>
          <w:rFonts w:hint="eastAsia" w:eastAsia="仿宋_GB2312"/>
          <w:bCs/>
          <w:kern w:val="0"/>
          <w:sz w:val="32"/>
          <w:szCs w:val="32"/>
          <w:lang w:eastAsia="zh-CN" w:bidi="ar"/>
        </w:rPr>
        <w:t>“</w:t>
      </w:r>
      <w:r>
        <w:rPr>
          <w:rFonts w:hint="eastAsia" w:eastAsia="仿宋_GB2312"/>
          <w:bCs/>
          <w:kern w:val="0"/>
          <w:sz w:val="32"/>
          <w:szCs w:val="32"/>
          <w:lang w:bidi="ar"/>
        </w:rPr>
        <w:t>5</w:t>
      </w:r>
      <w:r>
        <w:rPr>
          <w:rFonts w:hint="eastAsia" w:eastAsia="仿宋_GB2312"/>
          <w:bCs/>
          <w:kern w:val="0"/>
          <w:sz w:val="32"/>
          <w:szCs w:val="32"/>
          <w:lang w:eastAsia="zh-CN" w:bidi="ar"/>
        </w:rPr>
        <w:t>·</w:t>
      </w:r>
      <w:r>
        <w:rPr>
          <w:rFonts w:hint="eastAsia" w:eastAsia="仿宋_GB2312"/>
          <w:bCs/>
          <w:kern w:val="0"/>
          <w:sz w:val="32"/>
          <w:szCs w:val="32"/>
          <w:lang w:bidi="ar"/>
        </w:rPr>
        <w:t>20</w:t>
      </w:r>
      <w:r>
        <w:rPr>
          <w:rFonts w:hint="eastAsia" w:eastAsia="仿宋_GB2312"/>
          <w:bCs/>
          <w:kern w:val="0"/>
          <w:sz w:val="32"/>
          <w:szCs w:val="32"/>
          <w:lang w:eastAsia="zh-CN" w:bidi="ar"/>
        </w:rPr>
        <w:t>”</w:t>
      </w:r>
      <w:r>
        <w:rPr>
          <w:rFonts w:hint="eastAsia" w:eastAsia="仿宋_GB2312"/>
          <w:bCs/>
          <w:kern w:val="0"/>
          <w:sz w:val="32"/>
          <w:szCs w:val="32"/>
          <w:lang w:bidi="ar"/>
        </w:rPr>
        <w:t>世界计量日、</w:t>
      </w:r>
      <w:r>
        <w:rPr>
          <w:rFonts w:hint="eastAsia" w:eastAsia="仿宋_GB2312"/>
          <w:bCs/>
          <w:kern w:val="0"/>
          <w:sz w:val="32"/>
          <w:szCs w:val="32"/>
          <w:lang w:eastAsia="zh-CN" w:bidi="ar"/>
        </w:rPr>
        <w:t>“</w:t>
      </w:r>
      <w:r>
        <w:rPr>
          <w:rFonts w:hint="eastAsia" w:eastAsia="仿宋_GB2312"/>
          <w:bCs/>
          <w:kern w:val="0"/>
          <w:sz w:val="32"/>
          <w:szCs w:val="32"/>
          <w:lang w:bidi="ar"/>
        </w:rPr>
        <w:t>5</w:t>
      </w:r>
      <w:r>
        <w:rPr>
          <w:rFonts w:hint="eastAsia" w:eastAsia="仿宋_GB2312"/>
          <w:bCs/>
          <w:kern w:val="0"/>
          <w:sz w:val="32"/>
          <w:szCs w:val="32"/>
          <w:lang w:eastAsia="zh-CN" w:bidi="ar"/>
        </w:rPr>
        <w:t>·</w:t>
      </w:r>
      <w:r>
        <w:rPr>
          <w:rFonts w:hint="eastAsia" w:eastAsia="仿宋_GB2312"/>
          <w:bCs/>
          <w:kern w:val="0"/>
          <w:sz w:val="32"/>
          <w:szCs w:val="32"/>
          <w:lang w:bidi="ar"/>
        </w:rPr>
        <w:t>25</w:t>
      </w:r>
      <w:r>
        <w:rPr>
          <w:rFonts w:hint="eastAsia" w:eastAsia="仿宋_GB2312"/>
          <w:bCs/>
          <w:kern w:val="0"/>
          <w:sz w:val="32"/>
          <w:szCs w:val="32"/>
          <w:lang w:eastAsia="zh-CN" w:bidi="ar"/>
        </w:rPr>
        <w:t>”</w:t>
      </w:r>
      <w:r>
        <w:rPr>
          <w:rFonts w:hint="eastAsia" w:eastAsia="仿宋_GB2312"/>
          <w:bCs/>
          <w:kern w:val="0"/>
          <w:sz w:val="32"/>
          <w:szCs w:val="32"/>
          <w:lang w:bidi="ar"/>
        </w:rPr>
        <w:t>爱肤日、</w:t>
      </w:r>
      <w:r>
        <w:rPr>
          <w:rFonts w:hint="eastAsia" w:eastAsia="仿宋_GB2312"/>
          <w:bCs/>
          <w:kern w:val="0"/>
          <w:sz w:val="32"/>
          <w:szCs w:val="32"/>
          <w:lang w:eastAsia="zh-CN" w:bidi="ar"/>
        </w:rPr>
        <w:t>“12·4”国家宪法日</w:t>
      </w:r>
      <w:r>
        <w:rPr>
          <w:rFonts w:hint="eastAsia" w:eastAsia="仿宋_GB2312"/>
          <w:bCs/>
          <w:kern w:val="0"/>
          <w:sz w:val="32"/>
          <w:szCs w:val="32"/>
          <w:lang w:bidi="ar"/>
        </w:rPr>
        <w:t>、世界标准日、世界认可日、食品安全周、质量月、诚信宣传月、反有组织犯罪法宣传等重要节点的12项主题宣传活动，普法宣传效果明显。</w:t>
      </w:r>
    </w:p>
    <w:p w14:paraId="5E635D4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通过对喀什市市场监督管理局整体支出绩效进行评价，得分为96.83分，整体运行状况为“优”，但总体运行情况仍有一定的提升空间。存在的问题有：项目支出预算调整率偏大、消费者投诉举报办结率未达标等。具体评价指标权重及评分结果如下：</w:t>
      </w:r>
    </w:p>
    <w:p w14:paraId="24FD9F05">
      <w:pPr>
        <w:pStyle w:val="72"/>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Times New Roman"/>
          <w:b/>
          <w:bCs/>
          <w:sz w:val="24"/>
          <w:szCs w:val="24"/>
        </w:rPr>
      </w:pPr>
      <w:r>
        <w:rPr>
          <w:rFonts w:hint="eastAsia" w:ascii="Times New Roman"/>
          <w:b/>
          <w:bCs/>
          <w:sz w:val="24"/>
          <w:szCs w:val="24"/>
        </w:rPr>
        <w:t xml:space="preserve">表3-1 </w:t>
      </w:r>
      <w:r>
        <w:rPr>
          <w:rFonts w:ascii="Times New Roman"/>
          <w:b/>
          <w:bCs/>
          <w:sz w:val="24"/>
          <w:szCs w:val="24"/>
        </w:rPr>
        <w:t>喀什</w:t>
      </w:r>
      <w:r>
        <w:rPr>
          <w:rFonts w:hint="eastAsia" w:ascii="Times New Roman"/>
          <w:b/>
          <w:bCs/>
          <w:sz w:val="24"/>
          <w:szCs w:val="24"/>
        </w:rPr>
        <w:t>市市场监督管理局</w:t>
      </w:r>
      <w:r>
        <w:rPr>
          <w:rFonts w:ascii="Times New Roman"/>
          <w:b/>
          <w:bCs/>
          <w:sz w:val="24"/>
          <w:szCs w:val="24"/>
        </w:rPr>
        <w:t>年度部门（单位）整体支出绩效评价指标</w:t>
      </w:r>
    </w:p>
    <w:p w14:paraId="30CA47D4">
      <w:pPr>
        <w:pStyle w:val="72"/>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Times New Roman"/>
          <w:b/>
          <w:bCs/>
          <w:sz w:val="24"/>
          <w:szCs w:val="24"/>
        </w:rPr>
      </w:pPr>
      <w:r>
        <w:rPr>
          <w:rFonts w:ascii="Times New Roman"/>
          <w:b/>
          <w:bCs/>
          <w:sz w:val="24"/>
          <w:szCs w:val="24"/>
        </w:rPr>
        <w:t>得分情况汇总表</w:t>
      </w:r>
    </w:p>
    <w:tbl>
      <w:tblPr>
        <w:tblStyle w:val="2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7"/>
        <w:gridCol w:w="1828"/>
        <w:gridCol w:w="1828"/>
        <w:gridCol w:w="2583"/>
      </w:tblGrid>
      <w:tr w14:paraId="27E2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blHeader/>
          <w:jc w:val="center"/>
        </w:trPr>
        <w:tc>
          <w:tcPr>
            <w:tcW w:w="1555" w:type="pct"/>
            <w:shd w:val="clear" w:color="auto" w:fill="D7D7D7"/>
            <w:noWrap/>
            <w:vAlign w:val="center"/>
          </w:tcPr>
          <w:p w14:paraId="5B324E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评价指标</w:t>
            </w:r>
          </w:p>
        </w:tc>
        <w:tc>
          <w:tcPr>
            <w:tcW w:w="1009" w:type="pct"/>
            <w:shd w:val="clear" w:color="auto" w:fill="D7D7D7"/>
            <w:noWrap/>
            <w:vAlign w:val="center"/>
          </w:tcPr>
          <w:p w14:paraId="340057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权重</w:t>
            </w:r>
          </w:p>
        </w:tc>
        <w:tc>
          <w:tcPr>
            <w:tcW w:w="1009" w:type="pct"/>
            <w:shd w:val="clear" w:color="auto" w:fill="D7D7D7"/>
            <w:noWrap/>
            <w:vAlign w:val="center"/>
          </w:tcPr>
          <w:p w14:paraId="0C1D32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得分</w:t>
            </w:r>
          </w:p>
        </w:tc>
        <w:tc>
          <w:tcPr>
            <w:tcW w:w="1426" w:type="pct"/>
            <w:shd w:val="clear" w:color="auto" w:fill="D7D7D7"/>
            <w:noWrap/>
            <w:vAlign w:val="center"/>
          </w:tcPr>
          <w:p w14:paraId="5727AB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得分率</w:t>
            </w:r>
          </w:p>
        </w:tc>
      </w:tr>
      <w:tr w14:paraId="7F94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555" w:type="pct"/>
            <w:noWrap/>
            <w:vAlign w:val="center"/>
          </w:tcPr>
          <w:p w14:paraId="359DE9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kern w:val="0"/>
                <w:sz w:val="22"/>
              </w:rPr>
            </w:pPr>
            <w:r>
              <w:rPr>
                <w:rFonts w:hint="default" w:eastAsia="仿宋_GB2312"/>
                <w:kern w:val="0"/>
                <w:sz w:val="22"/>
              </w:rPr>
              <w:t>部门决策</w:t>
            </w:r>
          </w:p>
        </w:tc>
        <w:tc>
          <w:tcPr>
            <w:tcW w:w="1009" w:type="pct"/>
            <w:noWrap/>
            <w:vAlign w:val="center"/>
          </w:tcPr>
          <w:p w14:paraId="061BD6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15</w:t>
            </w:r>
            <w:r>
              <w:rPr>
                <w:rFonts w:hint="eastAsia" w:eastAsia="仿宋_GB2312"/>
                <w:bCs/>
                <w:kern w:val="0"/>
                <w:sz w:val="22"/>
              </w:rPr>
              <w:t>.00</w:t>
            </w:r>
          </w:p>
        </w:tc>
        <w:tc>
          <w:tcPr>
            <w:tcW w:w="1009" w:type="pct"/>
            <w:noWrap/>
            <w:vAlign w:val="center"/>
          </w:tcPr>
          <w:p w14:paraId="75033E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15.00</w:t>
            </w:r>
          </w:p>
        </w:tc>
        <w:tc>
          <w:tcPr>
            <w:tcW w:w="1426" w:type="pct"/>
            <w:noWrap/>
            <w:vAlign w:val="center"/>
          </w:tcPr>
          <w:p w14:paraId="187946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100.00</w:t>
            </w:r>
            <w:r>
              <w:rPr>
                <w:rFonts w:hint="default" w:eastAsia="仿宋_GB2312"/>
                <w:bCs/>
                <w:kern w:val="0"/>
                <w:sz w:val="22"/>
              </w:rPr>
              <w:t>%</w:t>
            </w:r>
          </w:p>
        </w:tc>
      </w:tr>
      <w:tr w14:paraId="2A06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555" w:type="pct"/>
            <w:noWrap/>
            <w:vAlign w:val="center"/>
          </w:tcPr>
          <w:p w14:paraId="700461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kern w:val="0"/>
                <w:sz w:val="22"/>
              </w:rPr>
            </w:pPr>
            <w:r>
              <w:rPr>
                <w:rFonts w:hint="default" w:eastAsia="仿宋_GB2312"/>
                <w:kern w:val="0"/>
                <w:sz w:val="22"/>
              </w:rPr>
              <w:t>部门管理</w:t>
            </w:r>
          </w:p>
        </w:tc>
        <w:tc>
          <w:tcPr>
            <w:tcW w:w="1009" w:type="pct"/>
            <w:noWrap/>
            <w:vAlign w:val="center"/>
          </w:tcPr>
          <w:p w14:paraId="731AA2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35</w:t>
            </w:r>
            <w:r>
              <w:rPr>
                <w:rFonts w:hint="eastAsia" w:eastAsia="仿宋_GB2312"/>
                <w:bCs/>
                <w:kern w:val="0"/>
                <w:sz w:val="22"/>
              </w:rPr>
              <w:t>.00</w:t>
            </w:r>
          </w:p>
        </w:tc>
        <w:tc>
          <w:tcPr>
            <w:tcW w:w="1009" w:type="pct"/>
            <w:noWrap/>
            <w:vAlign w:val="center"/>
          </w:tcPr>
          <w:p w14:paraId="5FEB78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3</w:t>
            </w:r>
            <w:r>
              <w:rPr>
                <w:rFonts w:hint="eastAsia" w:eastAsia="仿宋_GB2312"/>
                <w:bCs/>
                <w:kern w:val="0"/>
                <w:sz w:val="22"/>
                <w:lang w:val="en-US" w:eastAsia="zh-CN"/>
              </w:rPr>
              <w:t>3</w:t>
            </w:r>
            <w:r>
              <w:rPr>
                <w:rFonts w:hint="eastAsia" w:eastAsia="仿宋_GB2312"/>
                <w:bCs/>
                <w:kern w:val="0"/>
                <w:sz w:val="22"/>
              </w:rPr>
              <w:t>.00</w:t>
            </w:r>
          </w:p>
        </w:tc>
        <w:tc>
          <w:tcPr>
            <w:tcW w:w="1426" w:type="pct"/>
            <w:noWrap/>
            <w:vAlign w:val="center"/>
          </w:tcPr>
          <w:p w14:paraId="677261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9</w:t>
            </w:r>
            <w:r>
              <w:rPr>
                <w:rFonts w:hint="eastAsia" w:eastAsia="仿宋_GB2312"/>
                <w:bCs/>
                <w:kern w:val="0"/>
                <w:sz w:val="22"/>
                <w:lang w:val="en-US" w:eastAsia="zh-CN"/>
              </w:rPr>
              <w:t>4.29</w:t>
            </w:r>
            <w:r>
              <w:rPr>
                <w:rFonts w:hint="default" w:eastAsia="仿宋_GB2312"/>
                <w:bCs/>
                <w:kern w:val="0"/>
                <w:sz w:val="22"/>
              </w:rPr>
              <w:t>%</w:t>
            </w:r>
          </w:p>
        </w:tc>
      </w:tr>
      <w:tr w14:paraId="6E696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555" w:type="pct"/>
            <w:noWrap/>
            <w:vAlign w:val="center"/>
          </w:tcPr>
          <w:p w14:paraId="4B7F14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kern w:val="0"/>
                <w:sz w:val="22"/>
              </w:rPr>
            </w:pPr>
            <w:r>
              <w:rPr>
                <w:rFonts w:hint="default" w:eastAsia="仿宋_GB2312"/>
                <w:kern w:val="0"/>
                <w:sz w:val="22"/>
              </w:rPr>
              <w:t>部门</w:t>
            </w:r>
            <w:r>
              <w:rPr>
                <w:rFonts w:hint="eastAsia" w:eastAsia="仿宋_GB2312"/>
                <w:kern w:val="0"/>
                <w:sz w:val="22"/>
              </w:rPr>
              <w:t>绩效</w:t>
            </w:r>
          </w:p>
        </w:tc>
        <w:tc>
          <w:tcPr>
            <w:tcW w:w="1009" w:type="pct"/>
            <w:noWrap/>
            <w:vAlign w:val="center"/>
          </w:tcPr>
          <w:p w14:paraId="655004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5</w:t>
            </w:r>
            <w:r>
              <w:rPr>
                <w:rFonts w:hint="default" w:eastAsia="仿宋_GB2312"/>
                <w:bCs/>
                <w:kern w:val="0"/>
                <w:sz w:val="22"/>
              </w:rPr>
              <w:t>0</w:t>
            </w:r>
            <w:r>
              <w:rPr>
                <w:rFonts w:hint="eastAsia" w:eastAsia="仿宋_GB2312"/>
                <w:bCs/>
                <w:kern w:val="0"/>
                <w:sz w:val="22"/>
              </w:rPr>
              <w:t>.00</w:t>
            </w:r>
          </w:p>
        </w:tc>
        <w:tc>
          <w:tcPr>
            <w:tcW w:w="1009" w:type="pct"/>
            <w:noWrap/>
            <w:vAlign w:val="center"/>
          </w:tcPr>
          <w:p w14:paraId="49BC29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48.83</w:t>
            </w:r>
          </w:p>
        </w:tc>
        <w:tc>
          <w:tcPr>
            <w:tcW w:w="1426" w:type="pct"/>
            <w:noWrap/>
            <w:vAlign w:val="center"/>
          </w:tcPr>
          <w:p w14:paraId="52A065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97.66</w:t>
            </w:r>
            <w:r>
              <w:rPr>
                <w:rFonts w:hint="default" w:eastAsia="仿宋_GB2312"/>
                <w:bCs/>
                <w:kern w:val="0"/>
                <w:sz w:val="22"/>
              </w:rPr>
              <w:t>%</w:t>
            </w:r>
          </w:p>
        </w:tc>
      </w:tr>
      <w:tr w14:paraId="0849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555" w:type="pct"/>
            <w:noWrap/>
            <w:vAlign w:val="center"/>
          </w:tcPr>
          <w:p w14:paraId="5BB1D4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kern w:val="0"/>
                <w:sz w:val="22"/>
              </w:rPr>
            </w:pPr>
            <w:r>
              <w:rPr>
                <w:rFonts w:hint="default" w:eastAsia="仿宋_GB2312"/>
                <w:kern w:val="0"/>
                <w:sz w:val="22"/>
              </w:rPr>
              <w:t>合计</w:t>
            </w:r>
          </w:p>
        </w:tc>
        <w:tc>
          <w:tcPr>
            <w:tcW w:w="1009" w:type="pct"/>
            <w:noWrap/>
            <w:vAlign w:val="center"/>
          </w:tcPr>
          <w:p w14:paraId="5025E3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100</w:t>
            </w:r>
          </w:p>
        </w:tc>
        <w:tc>
          <w:tcPr>
            <w:tcW w:w="1009" w:type="pct"/>
            <w:noWrap/>
            <w:vAlign w:val="center"/>
          </w:tcPr>
          <w:p w14:paraId="589633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9</w:t>
            </w:r>
            <w:r>
              <w:rPr>
                <w:rFonts w:hint="eastAsia" w:eastAsia="仿宋_GB2312"/>
                <w:bCs/>
                <w:kern w:val="0"/>
                <w:sz w:val="22"/>
                <w:lang w:val="en-US" w:eastAsia="zh-CN"/>
              </w:rPr>
              <w:t>6</w:t>
            </w:r>
            <w:r>
              <w:rPr>
                <w:rFonts w:hint="eastAsia" w:eastAsia="仿宋_GB2312"/>
                <w:bCs/>
                <w:kern w:val="0"/>
                <w:sz w:val="22"/>
              </w:rPr>
              <w:t>.83</w:t>
            </w:r>
          </w:p>
        </w:tc>
        <w:tc>
          <w:tcPr>
            <w:tcW w:w="1426" w:type="pct"/>
            <w:noWrap/>
            <w:vAlign w:val="center"/>
          </w:tcPr>
          <w:p w14:paraId="155566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9</w:t>
            </w:r>
            <w:r>
              <w:rPr>
                <w:rFonts w:hint="eastAsia" w:eastAsia="仿宋_GB2312"/>
                <w:bCs/>
                <w:kern w:val="0"/>
                <w:sz w:val="22"/>
                <w:lang w:val="en-US" w:eastAsia="zh-CN"/>
              </w:rPr>
              <w:t>6</w:t>
            </w:r>
            <w:r>
              <w:rPr>
                <w:rFonts w:hint="eastAsia" w:eastAsia="仿宋_GB2312"/>
                <w:bCs/>
                <w:kern w:val="0"/>
                <w:sz w:val="22"/>
              </w:rPr>
              <w:t>.83</w:t>
            </w:r>
            <w:r>
              <w:rPr>
                <w:rFonts w:hint="default" w:eastAsia="仿宋_GB2312"/>
                <w:bCs/>
                <w:kern w:val="0"/>
                <w:sz w:val="22"/>
              </w:rPr>
              <w:t>%</w:t>
            </w:r>
          </w:p>
        </w:tc>
      </w:tr>
    </w:tbl>
    <w:p w14:paraId="7501092B">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61" w:name="_Toc30226"/>
      <w:bookmarkStart w:id="62" w:name="_Toc23480"/>
      <w:r>
        <w:rPr>
          <w:rFonts w:ascii="Times New Roman" w:hAnsi="Times New Roman" w:cs="Times New Roman"/>
        </w:rPr>
        <w:t>（二）绩效目标实现情况</w:t>
      </w:r>
      <w:bookmarkEnd w:id="61"/>
      <w:bookmarkEnd w:id="62"/>
    </w:p>
    <w:p w14:paraId="43C99C60">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评价小组根据项目实际情况，对部门整体支出绩效目标表中预期绩效目标、绩效指标以及预期指标值进行评价打分。具体评分指标情况如下：</w:t>
      </w:r>
    </w:p>
    <w:p w14:paraId="2880DC21">
      <w:pPr>
        <w:pStyle w:val="13"/>
        <w:keepNext w:val="0"/>
        <w:keepLines w:val="0"/>
        <w:pageBreakBefore w:val="0"/>
        <w:widowControl w:val="0"/>
        <w:kinsoku/>
        <w:wordWrap/>
        <w:overflowPunct/>
        <w:topLinePunct w:val="0"/>
        <w:autoSpaceDE/>
        <w:autoSpaceDN/>
        <w:bidi w:val="0"/>
        <w:adjustRightInd/>
        <w:snapToGrid/>
        <w:spacing w:after="0" w:line="560" w:lineRule="exact"/>
        <w:ind w:firstLine="482" w:firstLineChars="200"/>
        <w:contextualSpacing/>
        <w:jc w:val="center"/>
        <w:textAlignment w:val="auto"/>
        <w:rPr>
          <w:rFonts w:eastAsia="仿宋_GB2312"/>
          <w:b/>
          <w:kern w:val="0"/>
          <w:sz w:val="24"/>
          <w:szCs w:val="24"/>
          <w:lang w:bidi="ar"/>
        </w:rPr>
      </w:pPr>
      <w:r>
        <w:rPr>
          <w:rFonts w:hint="eastAsia" w:eastAsia="仿宋_GB2312"/>
          <w:b/>
          <w:kern w:val="0"/>
          <w:sz w:val="24"/>
          <w:szCs w:val="24"/>
          <w:lang w:bidi="ar"/>
        </w:rPr>
        <w:t xml:space="preserve">表3-2 </w:t>
      </w:r>
      <w:r>
        <w:rPr>
          <w:rFonts w:eastAsia="仿宋_GB2312"/>
          <w:b/>
          <w:kern w:val="0"/>
          <w:sz w:val="24"/>
          <w:szCs w:val="24"/>
          <w:lang w:bidi="ar"/>
        </w:rPr>
        <w:t>评价指标目标表</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9"/>
        <w:gridCol w:w="1239"/>
        <w:gridCol w:w="3728"/>
        <w:gridCol w:w="1549"/>
        <w:gridCol w:w="1301"/>
      </w:tblGrid>
      <w:tr w14:paraId="563FA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blHeader/>
        </w:trPr>
        <w:tc>
          <w:tcPr>
            <w:tcW w:w="684" w:type="pct"/>
            <w:shd w:val="clear" w:color="auto" w:fill="D7D7D7"/>
            <w:noWrap/>
            <w:vAlign w:val="center"/>
          </w:tcPr>
          <w:p w14:paraId="72899B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一级指标</w:t>
            </w:r>
          </w:p>
        </w:tc>
        <w:tc>
          <w:tcPr>
            <w:tcW w:w="684" w:type="pct"/>
            <w:shd w:val="clear" w:color="auto" w:fill="D7D7D7"/>
            <w:noWrap/>
            <w:vAlign w:val="center"/>
          </w:tcPr>
          <w:p w14:paraId="242DE1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二级指标</w:t>
            </w:r>
          </w:p>
        </w:tc>
        <w:tc>
          <w:tcPr>
            <w:tcW w:w="2058" w:type="pct"/>
            <w:shd w:val="clear" w:color="auto" w:fill="D7D7D7"/>
            <w:noWrap/>
            <w:vAlign w:val="center"/>
          </w:tcPr>
          <w:p w14:paraId="0F411D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三级指标</w:t>
            </w:r>
          </w:p>
        </w:tc>
        <w:tc>
          <w:tcPr>
            <w:tcW w:w="855" w:type="pct"/>
            <w:shd w:val="clear" w:color="auto" w:fill="D7D7D7"/>
            <w:noWrap/>
            <w:vAlign w:val="center"/>
          </w:tcPr>
          <w:p w14:paraId="500976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年度目标值</w:t>
            </w:r>
          </w:p>
        </w:tc>
        <w:tc>
          <w:tcPr>
            <w:tcW w:w="718" w:type="pct"/>
            <w:shd w:val="clear" w:color="auto" w:fill="D7D7D7"/>
            <w:noWrap/>
            <w:vAlign w:val="center"/>
          </w:tcPr>
          <w:p w14:paraId="16264C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完成情况</w:t>
            </w:r>
          </w:p>
        </w:tc>
      </w:tr>
      <w:tr w14:paraId="48F8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restart"/>
            <w:noWrap/>
            <w:vAlign w:val="center"/>
          </w:tcPr>
          <w:p w14:paraId="632B19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r>
              <w:rPr>
                <w:rFonts w:hint="default" w:eastAsia="仿宋_GB2312"/>
                <w:bCs/>
                <w:kern w:val="0"/>
                <w:sz w:val="22"/>
              </w:rPr>
              <w:t>产出指标</w:t>
            </w:r>
          </w:p>
        </w:tc>
        <w:tc>
          <w:tcPr>
            <w:tcW w:w="684" w:type="pct"/>
            <w:vMerge w:val="restart"/>
            <w:noWrap/>
            <w:vAlign w:val="center"/>
          </w:tcPr>
          <w:p w14:paraId="0785FC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r>
              <w:rPr>
                <w:rFonts w:hint="default" w:eastAsia="仿宋_GB2312"/>
                <w:bCs/>
                <w:kern w:val="0"/>
                <w:sz w:val="22"/>
              </w:rPr>
              <w:t>数量指标</w:t>
            </w:r>
          </w:p>
        </w:tc>
        <w:tc>
          <w:tcPr>
            <w:tcW w:w="2058" w:type="pct"/>
            <w:noWrap/>
            <w:vAlign w:val="center"/>
          </w:tcPr>
          <w:p w14:paraId="3A302E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kern w:val="0"/>
                <w:sz w:val="22"/>
                <w:lang w:bidi="ar"/>
              </w:rPr>
            </w:pPr>
            <w:r>
              <w:rPr>
                <w:rFonts w:hint="eastAsia" w:eastAsia="仿宋_GB2312"/>
                <w:kern w:val="0"/>
                <w:sz w:val="22"/>
                <w:lang w:bidi="ar"/>
              </w:rPr>
              <w:t>完成年度食品安全监督抽检批次</w:t>
            </w:r>
          </w:p>
        </w:tc>
        <w:tc>
          <w:tcPr>
            <w:tcW w:w="855" w:type="pct"/>
            <w:noWrap/>
            <w:vAlign w:val="center"/>
          </w:tcPr>
          <w:p w14:paraId="656DB6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kern w:val="0"/>
                <w:sz w:val="22"/>
                <w:lang w:bidi="ar"/>
              </w:rPr>
            </w:pPr>
            <w:r>
              <w:rPr>
                <w:rFonts w:hint="eastAsia" w:eastAsia="仿宋_GB2312"/>
                <w:kern w:val="0"/>
                <w:sz w:val="22"/>
                <w:lang w:bidi="ar"/>
              </w:rPr>
              <w:t>≥1016批次</w:t>
            </w:r>
          </w:p>
        </w:tc>
        <w:tc>
          <w:tcPr>
            <w:tcW w:w="718" w:type="pct"/>
            <w:noWrap/>
            <w:vAlign w:val="center"/>
          </w:tcPr>
          <w:p w14:paraId="3D0A23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kern w:val="0"/>
                <w:sz w:val="22"/>
                <w:lang w:bidi="ar"/>
              </w:rPr>
            </w:pPr>
            <w:r>
              <w:rPr>
                <w:rFonts w:hint="eastAsia" w:eastAsia="仿宋_GB2312"/>
                <w:kern w:val="0"/>
                <w:sz w:val="22"/>
                <w:lang w:val="en-US" w:eastAsia="zh-CN" w:bidi="ar"/>
              </w:rPr>
              <w:t>=</w:t>
            </w:r>
            <w:r>
              <w:rPr>
                <w:rFonts w:hint="eastAsia" w:eastAsia="仿宋_GB2312"/>
                <w:kern w:val="0"/>
                <w:sz w:val="22"/>
                <w:lang w:bidi="ar"/>
              </w:rPr>
              <w:t>1016批次</w:t>
            </w:r>
          </w:p>
        </w:tc>
      </w:tr>
      <w:tr w14:paraId="4EFC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vAlign w:val="center"/>
          </w:tcPr>
          <w:p w14:paraId="116D95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p>
        </w:tc>
        <w:tc>
          <w:tcPr>
            <w:tcW w:w="684" w:type="pct"/>
            <w:vMerge w:val="continue"/>
            <w:vAlign w:val="center"/>
          </w:tcPr>
          <w:p w14:paraId="340B8F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p>
        </w:tc>
        <w:tc>
          <w:tcPr>
            <w:tcW w:w="2058" w:type="pct"/>
            <w:noWrap/>
            <w:vAlign w:val="center"/>
          </w:tcPr>
          <w:p w14:paraId="3A8F23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kern w:val="0"/>
                <w:sz w:val="22"/>
                <w:lang w:bidi="ar"/>
              </w:rPr>
            </w:pPr>
            <w:r>
              <w:rPr>
                <w:rFonts w:hint="eastAsia" w:eastAsia="仿宋_GB2312"/>
                <w:kern w:val="0"/>
                <w:sz w:val="22"/>
                <w:lang w:bidi="ar"/>
              </w:rPr>
              <w:t>知识产权商标注册数量</w:t>
            </w:r>
          </w:p>
        </w:tc>
        <w:tc>
          <w:tcPr>
            <w:tcW w:w="855" w:type="pct"/>
            <w:noWrap/>
            <w:vAlign w:val="center"/>
          </w:tcPr>
          <w:p w14:paraId="205411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kern w:val="0"/>
                <w:sz w:val="22"/>
                <w:lang w:bidi="ar"/>
              </w:rPr>
            </w:pPr>
            <w:r>
              <w:rPr>
                <w:rFonts w:hint="eastAsia" w:eastAsia="仿宋_GB2312"/>
                <w:kern w:val="0"/>
                <w:sz w:val="22"/>
                <w:lang w:bidi="ar"/>
              </w:rPr>
              <w:t>≥</w:t>
            </w:r>
            <w:r>
              <w:rPr>
                <w:rFonts w:hint="default" w:eastAsia="仿宋_GB2312"/>
                <w:kern w:val="0"/>
                <w:sz w:val="22"/>
                <w:lang w:bidi="ar"/>
              </w:rPr>
              <w:t>1</w:t>
            </w:r>
            <w:r>
              <w:rPr>
                <w:rFonts w:hint="eastAsia" w:eastAsia="仿宋_GB2312"/>
                <w:kern w:val="0"/>
                <w:sz w:val="22"/>
                <w:lang w:bidi="ar"/>
              </w:rPr>
              <w:t>9389</w:t>
            </w:r>
            <w:r>
              <w:rPr>
                <w:rFonts w:hint="default" w:eastAsia="仿宋_GB2312"/>
                <w:kern w:val="0"/>
                <w:sz w:val="22"/>
                <w:lang w:bidi="ar"/>
              </w:rPr>
              <w:t>个</w:t>
            </w:r>
          </w:p>
        </w:tc>
        <w:tc>
          <w:tcPr>
            <w:tcW w:w="718" w:type="pct"/>
            <w:noWrap/>
            <w:vAlign w:val="center"/>
          </w:tcPr>
          <w:p w14:paraId="54229D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kern w:val="0"/>
                <w:sz w:val="22"/>
                <w:lang w:bidi="ar"/>
              </w:rPr>
            </w:pPr>
            <w:r>
              <w:rPr>
                <w:rFonts w:hint="eastAsia" w:eastAsia="仿宋_GB2312"/>
                <w:kern w:val="0"/>
                <w:sz w:val="22"/>
                <w:lang w:val="en-US" w:eastAsia="zh-CN" w:bidi="ar"/>
              </w:rPr>
              <w:t>=</w:t>
            </w:r>
            <w:r>
              <w:rPr>
                <w:rFonts w:hint="eastAsia" w:eastAsia="仿宋_GB2312"/>
                <w:kern w:val="0"/>
                <w:sz w:val="22"/>
                <w:lang w:bidi="ar"/>
              </w:rPr>
              <w:t>21514</w:t>
            </w:r>
            <w:r>
              <w:rPr>
                <w:rFonts w:hint="default" w:eastAsia="仿宋_GB2312"/>
                <w:kern w:val="0"/>
                <w:sz w:val="22"/>
                <w:lang w:bidi="ar"/>
              </w:rPr>
              <w:t>个</w:t>
            </w:r>
          </w:p>
        </w:tc>
      </w:tr>
      <w:tr w14:paraId="7CFA5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noWrap/>
            <w:vAlign w:val="center"/>
          </w:tcPr>
          <w:p w14:paraId="3765C7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p>
        </w:tc>
        <w:tc>
          <w:tcPr>
            <w:tcW w:w="684" w:type="pct"/>
            <w:vMerge w:val="restart"/>
            <w:noWrap/>
            <w:vAlign w:val="center"/>
          </w:tcPr>
          <w:p w14:paraId="5698B5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r>
              <w:rPr>
                <w:rFonts w:hint="default" w:eastAsia="仿宋_GB2312"/>
                <w:bCs/>
                <w:kern w:val="0"/>
                <w:sz w:val="22"/>
              </w:rPr>
              <w:t>质量指标</w:t>
            </w:r>
          </w:p>
        </w:tc>
        <w:tc>
          <w:tcPr>
            <w:tcW w:w="2058" w:type="pct"/>
            <w:noWrap/>
            <w:vAlign w:val="center"/>
          </w:tcPr>
          <w:p w14:paraId="3B6536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r>
              <w:rPr>
                <w:rFonts w:hint="eastAsia" w:eastAsia="仿宋_GB2312"/>
                <w:bCs/>
                <w:kern w:val="0"/>
                <w:sz w:val="22"/>
              </w:rPr>
              <w:t>特种设备定期检验率</w:t>
            </w:r>
          </w:p>
        </w:tc>
        <w:tc>
          <w:tcPr>
            <w:tcW w:w="855" w:type="pct"/>
            <w:noWrap/>
            <w:vAlign w:val="center"/>
          </w:tcPr>
          <w:p w14:paraId="34D8EF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w:t>
            </w:r>
            <w:r>
              <w:rPr>
                <w:rFonts w:hint="default" w:eastAsia="仿宋_GB2312"/>
                <w:bCs/>
                <w:kern w:val="0"/>
                <w:sz w:val="22"/>
              </w:rPr>
              <w:t>9</w:t>
            </w:r>
            <w:r>
              <w:rPr>
                <w:rFonts w:hint="eastAsia" w:eastAsia="仿宋_GB2312"/>
                <w:bCs/>
                <w:kern w:val="0"/>
                <w:sz w:val="22"/>
              </w:rPr>
              <w:t>5</w:t>
            </w:r>
            <w:r>
              <w:rPr>
                <w:rFonts w:hint="default" w:eastAsia="仿宋_GB2312"/>
                <w:bCs/>
                <w:kern w:val="0"/>
                <w:sz w:val="22"/>
              </w:rPr>
              <w:t>%</w:t>
            </w:r>
          </w:p>
        </w:tc>
        <w:tc>
          <w:tcPr>
            <w:tcW w:w="718" w:type="pct"/>
            <w:noWrap/>
            <w:vAlign w:val="center"/>
          </w:tcPr>
          <w:p w14:paraId="0174E8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default" w:eastAsia="仿宋_GB2312"/>
                <w:bCs/>
                <w:kern w:val="0"/>
                <w:sz w:val="22"/>
              </w:rPr>
              <w:t>99.</w:t>
            </w:r>
            <w:r>
              <w:rPr>
                <w:rFonts w:hint="eastAsia" w:eastAsia="仿宋_GB2312"/>
                <w:bCs/>
                <w:kern w:val="0"/>
                <w:sz w:val="22"/>
              </w:rPr>
              <w:t>56</w:t>
            </w:r>
            <w:r>
              <w:rPr>
                <w:rFonts w:hint="default" w:eastAsia="仿宋_GB2312"/>
                <w:bCs/>
                <w:kern w:val="0"/>
                <w:sz w:val="22"/>
              </w:rPr>
              <w:t>%</w:t>
            </w:r>
          </w:p>
        </w:tc>
      </w:tr>
      <w:tr w14:paraId="500B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noWrap/>
            <w:vAlign w:val="center"/>
          </w:tcPr>
          <w:p w14:paraId="2BF25D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p>
        </w:tc>
        <w:tc>
          <w:tcPr>
            <w:tcW w:w="684" w:type="pct"/>
            <w:vMerge w:val="continue"/>
            <w:noWrap/>
            <w:vAlign w:val="center"/>
          </w:tcPr>
          <w:p w14:paraId="0C04C3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p>
        </w:tc>
        <w:tc>
          <w:tcPr>
            <w:tcW w:w="2058" w:type="pct"/>
            <w:noWrap/>
            <w:vAlign w:val="center"/>
          </w:tcPr>
          <w:p w14:paraId="2DD8A3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r>
              <w:rPr>
                <w:rFonts w:hint="eastAsia" w:eastAsia="仿宋_GB2312"/>
                <w:bCs/>
                <w:kern w:val="0"/>
                <w:sz w:val="22"/>
              </w:rPr>
              <w:t>食品安全抽检应公布信息公布率</w:t>
            </w:r>
          </w:p>
        </w:tc>
        <w:tc>
          <w:tcPr>
            <w:tcW w:w="855" w:type="pct"/>
            <w:noWrap/>
            <w:vAlign w:val="center"/>
          </w:tcPr>
          <w:p w14:paraId="6AFAEF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=100%</w:t>
            </w:r>
          </w:p>
        </w:tc>
        <w:tc>
          <w:tcPr>
            <w:tcW w:w="718" w:type="pct"/>
            <w:noWrap/>
            <w:vAlign w:val="center"/>
          </w:tcPr>
          <w:p w14:paraId="37CD0A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eastAsia" w:eastAsia="仿宋_GB2312"/>
                <w:bCs/>
                <w:kern w:val="0"/>
                <w:sz w:val="22"/>
              </w:rPr>
              <w:t>100%</w:t>
            </w:r>
          </w:p>
        </w:tc>
      </w:tr>
      <w:tr w14:paraId="21E77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noWrap/>
            <w:vAlign w:val="center"/>
          </w:tcPr>
          <w:p w14:paraId="761188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p>
        </w:tc>
        <w:tc>
          <w:tcPr>
            <w:tcW w:w="684" w:type="pct"/>
            <w:vMerge w:val="continue"/>
            <w:noWrap/>
            <w:vAlign w:val="center"/>
          </w:tcPr>
          <w:p w14:paraId="19C10E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p>
        </w:tc>
        <w:tc>
          <w:tcPr>
            <w:tcW w:w="2058" w:type="pct"/>
            <w:noWrap/>
            <w:vAlign w:val="center"/>
          </w:tcPr>
          <w:p w14:paraId="1E5728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kern w:val="0"/>
                <w:sz w:val="22"/>
                <w:lang w:bidi="ar"/>
              </w:rPr>
            </w:pPr>
            <w:r>
              <w:rPr>
                <w:rFonts w:hint="eastAsia" w:eastAsia="仿宋_GB2312"/>
                <w:kern w:val="0"/>
                <w:sz w:val="22"/>
                <w:lang w:bidi="ar"/>
              </w:rPr>
              <w:t>消费者投诉举报办结率</w:t>
            </w:r>
          </w:p>
        </w:tc>
        <w:tc>
          <w:tcPr>
            <w:tcW w:w="855" w:type="pct"/>
            <w:noWrap/>
            <w:vAlign w:val="center"/>
          </w:tcPr>
          <w:p w14:paraId="10CA35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=100%</w:t>
            </w:r>
          </w:p>
        </w:tc>
        <w:tc>
          <w:tcPr>
            <w:tcW w:w="718" w:type="pct"/>
            <w:noWrap/>
            <w:vAlign w:val="center"/>
          </w:tcPr>
          <w:p w14:paraId="386551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eastAsia" w:eastAsia="仿宋_GB2312"/>
                <w:bCs/>
                <w:kern w:val="0"/>
                <w:sz w:val="22"/>
              </w:rPr>
              <w:t>96.52%</w:t>
            </w:r>
          </w:p>
        </w:tc>
      </w:tr>
      <w:tr w14:paraId="6F07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noWrap/>
            <w:vAlign w:val="center"/>
          </w:tcPr>
          <w:p w14:paraId="48A95F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p>
        </w:tc>
        <w:tc>
          <w:tcPr>
            <w:tcW w:w="684" w:type="pct"/>
            <w:vMerge w:val="continue"/>
            <w:noWrap/>
            <w:vAlign w:val="center"/>
          </w:tcPr>
          <w:p w14:paraId="24C5D4A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p>
        </w:tc>
        <w:tc>
          <w:tcPr>
            <w:tcW w:w="2058" w:type="pct"/>
            <w:noWrap/>
            <w:vAlign w:val="center"/>
          </w:tcPr>
          <w:p w14:paraId="547C54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kern w:val="0"/>
                <w:sz w:val="22"/>
                <w:lang w:bidi="ar"/>
              </w:rPr>
            </w:pPr>
            <w:r>
              <w:rPr>
                <w:rFonts w:hint="eastAsia" w:eastAsia="仿宋_GB2312"/>
                <w:kern w:val="0"/>
                <w:sz w:val="22"/>
                <w:lang w:bidi="ar"/>
              </w:rPr>
              <w:t>特种设备注册登记率</w:t>
            </w:r>
          </w:p>
        </w:tc>
        <w:tc>
          <w:tcPr>
            <w:tcW w:w="855" w:type="pct"/>
            <w:noWrap/>
            <w:vAlign w:val="center"/>
          </w:tcPr>
          <w:p w14:paraId="40BADF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lang w:eastAsia="zh-CN"/>
              </w:rPr>
              <w:t>≥99%</w:t>
            </w:r>
          </w:p>
        </w:tc>
        <w:tc>
          <w:tcPr>
            <w:tcW w:w="718" w:type="pct"/>
            <w:noWrap/>
            <w:vAlign w:val="center"/>
          </w:tcPr>
          <w:p w14:paraId="5C2E15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eastAsia" w:eastAsia="仿宋_GB2312"/>
                <w:bCs/>
                <w:kern w:val="0"/>
                <w:sz w:val="22"/>
              </w:rPr>
              <w:t>99.19%</w:t>
            </w:r>
          </w:p>
        </w:tc>
      </w:tr>
      <w:tr w14:paraId="2704A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noWrap/>
            <w:vAlign w:val="center"/>
          </w:tcPr>
          <w:p w14:paraId="15115D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p>
        </w:tc>
        <w:tc>
          <w:tcPr>
            <w:tcW w:w="684" w:type="pct"/>
            <w:vMerge w:val="continue"/>
            <w:noWrap/>
            <w:vAlign w:val="center"/>
          </w:tcPr>
          <w:p w14:paraId="5637E9D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p>
        </w:tc>
        <w:tc>
          <w:tcPr>
            <w:tcW w:w="2058" w:type="pct"/>
            <w:noWrap/>
            <w:vAlign w:val="center"/>
          </w:tcPr>
          <w:p w14:paraId="3A12BF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kern w:val="0"/>
                <w:sz w:val="22"/>
                <w:lang w:bidi="ar"/>
              </w:rPr>
            </w:pPr>
            <w:r>
              <w:rPr>
                <w:rFonts w:hint="eastAsia" w:eastAsia="仿宋_GB2312"/>
                <w:kern w:val="0"/>
                <w:sz w:val="22"/>
                <w:lang w:bidi="ar"/>
              </w:rPr>
              <w:t>联合开展315活动落实率</w:t>
            </w:r>
          </w:p>
        </w:tc>
        <w:tc>
          <w:tcPr>
            <w:tcW w:w="855" w:type="pct"/>
            <w:noWrap/>
            <w:vAlign w:val="center"/>
          </w:tcPr>
          <w:p w14:paraId="7C4045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=100%</w:t>
            </w:r>
          </w:p>
        </w:tc>
        <w:tc>
          <w:tcPr>
            <w:tcW w:w="718" w:type="pct"/>
            <w:noWrap/>
            <w:vAlign w:val="center"/>
          </w:tcPr>
          <w:p w14:paraId="48ACC4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eastAsia" w:eastAsia="仿宋_GB2312"/>
                <w:bCs/>
                <w:kern w:val="0"/>
                <w:sz w:val="22"/>
              </w:rPr>
              <w:t>100%</w:t>
            </w:r>
          </w:p>
        </w:tc>
      </w:tr>
      <w:tr w14:paraId="29615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684" w:type="pct"/>
            <w:vMerge w:val="continue"/>
            <w:noWrap/>
            <w:vAlign w:val="center"/>
          </w:tcPr>
          <w:p w14:paraId="78346A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p>
        </w:tc>
        <w:tc>
          <w:tcPr>
            <w:tcW w:w="684" w:type="pct"/>
            <w:vMerge w:val="continue"/>
            <w:noWrap/>
            <w:vAlign w:val="center"/>
          </w:tcPr>
          <w:p w14:paraId="0DDC0D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p>
        </w:tc>
        <w:tc>
          <w:tcPr>
            <w:tcW w:w="2058" w:type="pct"/>
            <w:noWrap/>
            <w:vAlign w:val="center"/>
          </w:tcPr>
          <w:p w14:paraId="4E04D7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eastAsia="仿宋_GB2312"/>
                <w:bCs/>
                <w:kern w:val="0"/>
                <w:sz w:val="22"/>
              </w:rPr>
            </w:pPr>
            <w:r>
              <w:rPr>
                <w:rFonts w:hint="eastAsia" w:eastAsia="仿宋_GB2312"/>
                <w:bCs/>
                <w:kern w:val="0"/>
                <w:sz w:val="22"/>
              </w:rPr>
              <w:t>药械化抽样任务完成率</w:t>
            </w:r>
          </w:p>
        </w:tc>
        <w:tc>
          <w:tcPr>
            <w:tcW w:w="855" w:type="pct"/>
            <w:noWrap/>
            <w:vAlign w:val="center"/>
          </w:tcPr>
          <w:p w14:paraId="2ABCB7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=100%</w:t>
            </w:r>
          </w:p>
        </w:tc>
        <w:tc>
          <w:tcPr>
            <w:tcW w:w="718" w:type="pct"/>
            <w:noWrap/>
            <w:vAlign w:val="center"/>
          </w:tcPr>
          <w:p w14:paraId="24DC10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lang w:val="en-US" w:eastAsia="zh-CN"/>
              </w:rPr>
              <w:t>=</w:t>
            </w:r>
            <w:r>
              <w:rPr>
                <w:rFonts w:hint="eastAsia" w:eastAsia="仿宋_GB2312"/>
                <w:bCs/>
                <w:kern w:val="0"/>
                <w:sz w:val="22"/>
              </w:rPr>
              <w:t>100</w:t>
            </w:r>
            <w:r>
              <w:rPr>
                <w:rFonts w:hint="default" w:eastAsia="仿宋_GB2312"/>
                <w:bCs/>
                <w:kern w:val="0"/>
                <w:sz w:val="22"/>
              </w:rPr>
              <w:t>%</w:t>
            </w:r>
          </w:p>
        </w:tc>
      </w:tr>
    </w:tbl>
    <w:p w14:paraId="158C7926">
      <w:pPr>
        <w:pStyle w:val="91"/>
        <w:widowControl w:val="0"/>
        <w:spacing w:before="0" w:after="0"/>
        <w:ind w:left="0" w:firstLine="640" w:firstLineChars="200"/>
        <w:jc w:val="both"/>
        <w:rPr>
          <w:rFonts w:hint="default" w:ascii="Times New Roman" w:hAnsi="Times New Roman"/>
        </w:rPr>
      </w:pPr>
      <w:bookmarkStart w:id="63" w:name="_Toc7127"/>
      <w:bookmarkStart w:id="64" w:name="_Toc24091"/>
      <w:bookmarkStart w:id="65" w:name="_Toc25156"/>
      <w:r>
        <w:rPr>
          <w:rFonts w:ascii="Times New Roman" w:hAnsi="Times New Roman"/>
        </w:rPr>
        <w:t>四、绩效评价情况分析</w:t>
      </w:r>
      <w:bookmarkEnd w:id="63"/>
      <w:bookmarkEnd w:id="64"/>
      <w:bookmarkEnd w:id="65"/>
    </w:p>
    <w:p w14:paraId="49105F73">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66" w:name="_Toc21211"/>
      <w:bookmarkStart w:id="67" w:name="_Toc28809"/>
      <w:r>
        <w:rPr>
          <w:rFonts w:ascii="Times New Roman" w:hAnsi="Times New Roman" w:cs="Times New Roman"/>
        </w:rPr>
        <w:t>（一）部门决策情况（分值15分，得分15分）</w:t>
      </w:r>
      <w:bookmarkEnd w:id="66"/>
      <w:bookmarkEnd w:id="67"/>
    </w:p>
    <w:p w14:paraId="142AA4E8">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eastAsia="仿宋_GB2312"/>
          <w:b/>
          <w:bCs/>
          <w:sz w:val="24"/>
          <w:szCs w:val="24"/>
        </w:rPr>
      </w:pPr>
      <w:r>
        <w:rPr>
          <w:rFonts w:hint="eastAsia" w:eastAsia="仿宋_GB2312"/>
          <w:b/>
          <w:bCs/>
          <w:sz w:val="24"/>
          <w:szCs w:val="24"/>
        </w:rPr>
        <w:t xml:space="preserve">表4-1 </w:t>
      </w:r>
      <w:r>
        <w:rPr>
          <w:rFonts w:eastAsia="仿宋_GB2312"/>
          <w:b/>
          <w:bCs/>
          <w:sz w:val="24"/>
          <w:szCs w:val="24"/>
        </w:rPr>
        <w:t>部门决策指标得分情况</w:t>
      </w:r>
    </w:p>
    <w:tbl>
      <w:tblPr>
        <w:tblStyle w:val="26"/>
        <w:tblW w:w="4998" w:type="pct"/>
        <w:jc w:val="center"/>
        <w:tblLayout w:type="autofit"/>
        <w:tblCellMar>
          <w:top w:w="0" w:type="dxa"/>
          <w:left w:w="108" w:type="dxa"/>
          <w:bottom w:w="0" w:type="dxa"/>
          <w:right w:w="108" w:type="dxa"/>
        </w:tblCellMar>
      </w:tblPr>
      <w:tblGrid>
        <w:gridCol w:w="1266"/>
        <w:gridCol w:w="2901"/>
        <w:gridCol w:w="3387"/>
        <w:gridCol w:w="721"/>
        <w:gridCol w:w="781"/>
      </w:tblGrid>
      <w:tr w14:paraId="4B5D6901">
        <w:tblPrEx>
          <w:tblCellMar>
            <w:top w:w="0" w:type="dxa"/>
            <w:left w:w="108" w:type="dxa"/>
            <w:bottom w:w="0" w:type="dxa"/>
            <w:right w:w="108" w:type="dxa"/>
          </w:tblCellMar>
        </w:tblPrEx>
        <w:trPr>
          <w:trHeight w:val="371" w:hRule="atLeast"/>
          <w:tblHeader/>
          <w:jc w:val="center"/>
        </w:trPr>
        <w:tc>
          <w:tcPr>
            <w:tcW w:w="699" w:type="pct"/>
            <w:tcBorders>
              <w:top w:val="single" w:color="auto" w:sz="4" w:space="0"/>
              <w:left w:val="single" w:color="auto" w:sz="4" w:space="0"/>
              <w:bottom w:val="single" w:color="auto" w:sz="4" w:space="0"/>
              <w:right w:val="single" w:color="auto" w:sz="4" w:space="0"/>
            </w:tcBorders>
            <w:shd w:val="clear" w:color="auto" w:fill="D7D7D7"/>
            <w:vAlign w:val="center"/>
          </w:tcPr>
          <w:p w14:paraId="430521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一级指标</w:t>
            </w:r>
          </w:p>
        </w:tc>
        <w:tc>
          <w:tcPr>
            <w:tcW w:w="1601" w:type="pct"/>
            <w:tcBorders>
              <w:top w:val="single" w:color="auto" w:sz="4" w:space="0"/>
              <w:left w:val="nil"/>
              <w:bottom w:val="single" w:color="auto" w:sz="4" w:space="0"/>
              <w:right w:val="single" w:color="auto" w:sz="4" w:space="0"/>
            </w:tcBorders>
            <w:shd w:val="clear" w:color="auto" w:fill="D7D7D7"/>
            <w:vAlign w:val="center"/>
          </w:tcPr>
          <w:p w14:paraId="36F0DD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二级指标</w:t>
            </w:r>
          </w:p>
        </w:tc>
        <w:tc>
          <w:tcPr>
            <w:tcW w:w="1869" w:type="pct"/>
            <w:tcBorders>
              <w:top w:val="single" w:color="auto" w:sz="4" w:space="0"/>
              <w:left w:val="nil"/>
              <w:bottom w:val="single" w:color="auto" w:sz="4" w:space="0"/>
              <w:right w:val="single" w:color="auto" w:sz="4" w:space="0"/>
            </w:tcBorders>
            <w:shd w:val="clear" w:color="auto" w:fill="D7D7D7"/>
            <w:vAlign w:val="center"/>
          </w:tcPr>
          <w:p w14:paraId="515B07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三级指标</w:t>
            </w:r>
          </w:p>
        </w:tc>
        <w:tc>
          <w:tcPr>
            <w:tcW w:w="398" w:type="pct"/>
            <w:tcBorders>
              <w:top w:val="single" w:color="auto" w:sz="4" w:space="0"/>
              <w:left w:val="nil"/>
              <w:bottom w:val="single" w:color="auto" w:sz="4" w:space="0"/>
              <w:right w:val="single" w:color="auto" w:sz="4" w:space="0"/>
            </w:tcBorders>
            <w:shd w:val="clear" w:color="auto" w:fill="D7D7D7"/>
            <w:vAlign w:val="center"/>
          </w:tcPr>
          <w:p w14:paraId="2C4C72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权重</w:t>
            </w:r>
          </w:p>
        </w:tc>
        <w:tc>
          <w:tcPr>
            <w:tcW w:w="431" w:type="pct"/>
            <w:tcBorders>
              <w:top w:val="single" w:color="auto" w:sz="4" w:space="0"/>
              <w:left w:val="nil"/>
              <w:bottom w:val="single" w:color="auto" w:sz="4" w:space="0"/>
              <w:right w:val="single" w:color="auto" w:sz="4" w:space="0"/>
            </w:tcBorders>
            <w:shd w:val="clear" w:color="auto" w:fill="D7D7D7"/>
            <w:vAlign w:val="center"/>
          </w:tcPr>
          <w:p w14:paraId="0BC623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得分</w:t>
            </w:r>
          </w:p>
        </w:tc>
      </w:tr>
      <w:tr w14:paraId="130342B6">
        <w:tblPrEx>
          <w:tblCellMar>
            <w:top w:w="0" w:type="dxa"/>
            <w:left w:w="108" w:type="dxa"/>
            <w:bottom w:w="0" w:type="dxa"/>
            <w:right w:w="108" w:type="dxa"/>
          </w:tblCellMar>
        </w:tblPrEx>
        <w:trPr>
          <w:trHeight w:val="371" w:hRule="atLeast"/>
          <w:jc w:val="center"/>
        </w:trPr>
        <w:tc>
          <w:tcPr>
            <w:tcW w:w="699" w:type="pct"/>
            <w:vMerge w:val="restart"/>
            <w:tcBorders>
              <w:top w:val="single" w:color="auto" w:sz="4" w:space="0"/>
              <w:left w:val="single" w:color="auto" w:sz="4" w:space="0"/>
              <w:bottom w:val="single" w:color="auto" w:sz="4" w:space="0"/>
              <w:right w:val="single" w:color="auto" w:sz="4" w:space="0"/>
            </w:tcBorders>
            <w:noWrap/>
            <w:vAlign w:val="center"/>
          </w:tcPr>
          <w:p w14:paraId="59923B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部门决策</w:t>
            </w:r>
          </w:p>
          <w:p w14:paraId="5A0B46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（15分）</w:t>
            </w:r>
          </w:p>
        </w:tc>
        <w:tc>
          <w:tcPr>
            <w:tcW w:w="1601" w:type="pct"/>
            <w:vMerge w:val="restart"/>
            <w:tcBorders>
              <w:top w:val="single" w:color="auto" w:sz="4" w:space="0"/>
              <w:left w:val="single" w:color="auto" w:sz="4" w:space="0"/>
              <w:bottom w:val="single" w:color="auto" w:sz="4" w:space="0"/>
              <w:right w:val="single" w:color="auto" w:sz="4" w:space="0"/>
            </w:tcBorders>
            <w:noWrap/>
            <w:vAlign w:val="center"/>
          </w:tcPr>
          <w:p w14:paraId="7DA1A7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职能设置科学合理性</w:t>
            </w:r>
          </w:p>
        </w:tc>
        <w:tc>
          <w:tcPr>
            <w:tcW w:w="1869" w:type="pct"/>
            <w:tcBorders>
              <w:top w:val="single" w:color="auto" w:sz="4" w:space="0"/>
              <w:left w:val="single" w:color="auto" w:sz="4" w:space="0"/>
              <w:bottom w:val="single" w:color="auto" w:sz="4" w:space="0"/>
              <w:right w:val="single" w:color="auto" w:sz="4" w:space="0"/>
            </w:tcBorders>
            <w:noWrap/>
            <w:vAlign w:val="center"/>
          </w:tcPr>
          <w:p w14:paraId="3DAEE2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职能设定明确性</w:t>
            </w:r>
          </w:p>
        </w:tc>
        <w:tc>
          <w:tcPr>
            <w:tcW w:w="398" w:type="pct"/>
            <w:tcBorders>
              <w:top w:val="single" w:color="auto" w:sz="4" w:space="0"/>
              <w:left w:val="single" w:color="auto" w:sz="4" w:space="0"/>
              <w:bottom w:val="single" w:color="auto" w:sz="4" w:space="0"/>
              <w:right w:val="single" w:color="auto" w:sz="4" w:space="0"/>
            </w:tcBorders>
            <w:noWrap/>
            <w:vAlign w:val="center"/>
          </w:tcPr>
          <w:p w14:paraId="7939D4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1</w:t>
            </w:r>
          </w:p>
        </w:tc>
        <w:tc>
          <w:tcPr>
            <w:tcW w:w="431" w:type="pct"/>
            <w:tcBorders>
              <w:top w:val="single" w:color="auto" w:sz="4" w:space="0"/>
              <w:left w:val="single" w:color="auto" w:sz="4" w:space="0"/>
              <w:bottom w:val="single" w:color="auto" w:sz="4" w:space="0"/>
              <w:right w:val="single" w:color="auto" w:sz="4" w:space="0"/>
            </w:tcBorders>
            <w:noWrap/>
            <w:vAlign w:val="center"/>
          </w:tcPr>
          <w:p w14:paraId="3A9220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1.00</w:t>
            </w:r>
          </w:p>
        </w:tc>
      </w:tr>
      <w:tr w14:paraId="5491ED62">
        <w:tblPrEx>
          <w:tblCellMar>
            <w:top w:w="0" w:type="dxa"/>
            <w:left w:w="108" w:type="dxa"/>
            <w:bottom w:w="0" w:type="dxa"/>
            <w:right w:w="108" w:type="dxa"/>
          </w:tblCellMar>
        </w:tblPrEx>
        <w:trPr>
          <w:trHeight w:val="371" w:hRule="atLeast"/>
          <w:jc w:val="center"/>
        </w:trPr>
        <w:tc>
          <w:tcPr>
            <w:tcW w:w="699" w:type="pct"/>
            <w:vMerge w:val="continue"/>
            <w:tcBorders>
              <w:top w:val="single" w:color="auto" w:sz="4" w:space="0"/>
              <w:left w:val="single" w:color="auto" w:sz="4" w:space="0"/>
              <w:bottom w:val="single" w:color="auto" w:sz="4" w:space="0"/>
              <w:right w:val="single" w:color="auto" w:sz="4" w:space="0"/>
            </w:tcBorders>
            <w:vAlign w:val="center"/>
          </w:tcPr>
          <w:p w14:paraId="7F22E8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601" w:type="pct"/>
            <w:vMerge w:val="continue"/>
            <w:tcBorders>
              <w:top w:val="single" w:color="auto" w:sz="4" w:space="0"/>
              <w:left w:val="single" w:color="auto" w:sz="4" w:space="0"/>
              <w:bottom w:val="single" w:color="auto" w:sz="4" w:space="0"/>
              <w:right w:val="single" w:color="auto" w:sz="4" w:space="0"/>
            </w:tcBorders>
            <w:vAlign w:val="center"/>
          </w:tcPr>
          <w:p w14:paraId="794712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869" w:type="pct"/>
            <w:tcBorders>
              <w:top w:val="single" w:color="auto" w:sz="4" w:space="0"/>
              <w:left w:val="single" w:color="auto" w:sz="4" w:space="0"/>
              <w:bottom w:val="single" w:color="auto" w:sz="4" w:space="0"/>
              <w:right w:val="single" w:color="auto" w:sz="4" w:space="0"/>
            </w:tcBorders>
            <w:noWrap/>
            <w:vAlign w:val="center"/>
          </w:tcPr>
          <w:p w14:paraId="36A30D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人员岗位职责明确性</w:t>
            </w:r>
          </w:p>
        </w:tc>
        <w:tc>
          <w:tcPr>
            <w:tcW w:w="398" w:type="pct"/>
            <w:tcBorders>
              <w:top w:val="single" w:color="auto" w:sz="4" w:space="0"/>
              <w:left w:val="single" w:color="auto" w:sz="4" w:space="0"/>
              <w:bottom w:val="single" w:color="auto" w:sz="4" w:space="0"/>
              <w:right w:val="single" w:color="auto" w:sz="4" w:space="0"/>
            </w:tcBorders>
            <w:noWrap/>
            <w:vAlign w:val="center"/>
          </w:tcPr>
          <w:p w14:paraId="283C30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1</w:t>
            </w:r>
          </w:p>
        </w:tc>
        <w:tc>
          <w:tcPr>
            <w:tcW w:w="431" w:type="pct"/>
            <w:tcBorders>
              <w:top w:val="single" w:color="auto" w:sz="4" w:space="0"/>
              <w:left w:val="single" w:color="auto" w:sz="4" w:space="0"/>
              <w:bottom w:val="single" w:color="auto" w:sz="4" w:space="0"/>
              <w:right w:val="single" w:color="auto" w:sz="4" w:space="0"/>
            </w:tcBorders>
            <w:noWrap/>
            <w:vAlign w:val="center"/>
          </w:tcPr>
          <w:p w14:paraId="280EA3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1.00</w:t>
            </w:r>
          </w:p>
        </w:tc>
      </w:tr>
      <w:tr w14:paraId="60406B09">
        <w:tblPrEx>
          <w:tblCellMar>
            <w:top w:w="0" w:type="dxa"/>
            <w:left w:w="108" w:type="dxa"/>
            <w:bottom w:w="0" w:type="dxa"/>
            <w:right w:w="108" w:type="dxa"/>
          </w:tblCellMar>
        </w:tblPrEx>
        <w:trPr>
          <w:trHeight w:val="371" w:hRule="atLeast"/>
          <w:jc w:val="center"/>
        </w:trPr>
        <w:tc>
          <w:tcPr>
            <w:tcW w:w="699" w:type="pct"/>
            <w:vMerge w:val="continue"/>
            <w:tcBorders>
              <w:top w:val="single" w:color="auto" w:sz="4" w:space="0"/>
              <w:left w:val="single" w:color="auto" w:sz="4" w:space="0"/>
              <w:bottom w:val="single" w:color="auto" w:sz="4" w:space="0"/>
              <w:right w:val="single" w:color="auto" w:sz="4" w:space="0"/>
            </w:tcBorders>
            <w:vAlign w:val="center"/>
          </w:tcPr>
          <w:p w14:paraId="7D4CA3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601" w:type="pct"/>
            <w:tcBorders>
              <w:top w:val="single" w:color="auto" w:sz="4" w:space="0"/>
              <w:left w:val="single" w:color="auto" w:sz="4" w:space="0"/>
              <w:bottom w:val="single" w:color="auto" w:sz="4" w:space="0"/>
              <w:right w:val="single" w:color="auto" w:sz="4" w:space="0"/>
            </w:tcBorders>
            <w:noWrap/>
            <w:vAlign w:val="center"/>
          </w:tcPr>
          <w:p w14:paraId="002039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部门中长期规划适应性</w:t>
            </w:r>
          </w:p>
        </w:tc>
        <w:tc>
          <w:tcPr>
            <w:tcW w:w="1869" w:type="pct"/>
            <w:tcBorders>
              <w:top w:val="single" w:color="auto" w:sz="4" w:space="0"/>
              <w:left w:val="single" w:color="auto" w:sz="4" w:space="0"/>
              <w:bottom w:val="single" w:color="auto" w:sz="4" w:space="0"/>
              <w:right w:val="single" w:color="auto" w:sz="4" w:space="0"/>
            </w:tcBorders>
            <w:noWrap/>
            <w:vAlign w:val="center"/>
          </w:tcPr>
          <w:p w14:paraId="6F4311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中长期规划科学合理性</w:t>
            </w:r>
          </w:p>
        </w:tc>
        <w:tc>
          <w:tcPr>
            <w:tcW w:w="398" w:type="pct"/>
            <w:tcBorders>
              <w:top w:val="single" w:color="auto" w:sz="4" w:space="0"/>
              <w:left w:val="single" w:color="auto" w:sz="4" w:space="0"/>
              <w:bottom w:val="single" w:color="auto" w:sz="4" w:space="0"/>
              <w:right w:val="single" w:color="auto" w:sz="4" w:space="0"/>
            </w:tcBorders>
            <w:noWrap/>
            <w:vAlign w:val="center"/>
          </w:tcPr>
          <w:p w14:paraId="7B0201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1</w:t>
            </w:r>
          </w:p>
        </w:tc>
        <w:tc>
          <w:tcPr>
            <w:tcW w:w="431" w:type="pct"/>
            <w:tcBorders>
              <w:top w:val="single" w:color="auto" w:sz="4" w:space="0"/>
              <w:left w:val="single" w:color="auto" w:sz="4" w:space="0"/>
              <w:bottom w:val="single" w:color="auto" w:sz="4" w:space="0"/>
              <w:right w:val="single" w:color="auto" w:sz="4" w:space="0"/>
            </w:tcBorders>
            <w:noWrap/>
            <w:vAlign w:val="center"/>
          </w:tcPr>
          <w:p w14:paraId="17101D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1.0</w:t>
            </w:r>
            <w:r>
              <w:rPr>
                <w:rFonts w:hint="default" w:eastAsia="仿宋_GB2312"/>
                <w:bCs/>
                <w:kern w:val="0"/>
                <w:sz w:val="22"/>
              </w:rPr>
              <w:t>0</w:t>
            </w:r>
          </w:p>
        </w:tc>
      </w:tr>
      <w:tr w14:paraId="65B19569">
        <w:tblPrEx>
          <w:tblCellMar>
            <w:top w:w="0" w:type="dxa"/>
            <w:left w:w="108" w:type="dxa"/>
            <w:bottom w:w="0" w:type="dxa"/>
            <w:right w:w="108" w:type="dxa"/>
          </w:tblCellMar>
        </w:tblPrEx>
        <w:trPr>
          <w:trHeight w:val="371" w:hRule="atLeast"/>
          <w:jc w:val="center"/>
        </w:trPr>
        <w:tc>
          <w:tcPr>
            <w:tcW w:w="699" w:type="pct"/>
            <w:vMerge w:val="continue"/>
            <w:tcBorders>
              <w:top w:val="single" w:color="auto" w:sz="4" w:space="0"/>
              <w:left w:val="single" w:color="auto" w:sz="4" w:space="0"/>
              <w:bottom w:val="single" w:color="auto" w:sz="4" w:space="0"/>
              <w:right w:val="single" w:color="auto" w:sz="4" w:space="0"/>
            </w:tcBorders>
            <w:vAlign w:val="center"/>
          </w:tcPr>
          <w:p w14:paraId="225719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601" w:type="pct"/>
            <w:tcBorders>
              <w:top w:val="single" w:color="auto" w:sz="4" w:space="0"/>
              <w:left w:val="single" w:color="auto" w:sz="4" w:space="0"/>
              <w:bottom w:val="single" w:color="auto" w:sz="4" w:space="0"/>
              <w:right w:val="single" w:color="auto" w:sz="4" w:space="0"/>
            </w:tcBorders>
            <w:noWrap/>
            <w:vAlign w:val="center"/>
          </w:tcPr>
          <w:p w14:paraId="026FA1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年度工作计划科学完整性</w:t>
            </w:r>
          </w:p>
        </w:tc>
        <w:tc>
          <w:tcPr>
            <w:tcW w:w="1869" w:type="pct"/>
            <w:tcBorders>
              <w:top w:val="single" w:color="auto" w:sz="4" w:space="0"/>
              <w:left w:val="single" w:color="auto" w:sz="4" w:space="0"/>
              <w:bottom w:val="single" w:color="auto" w:sz="4" w:space="0"/>
              <w:right w:val="single" w:color="auto" w:sz="4" w:space="0"/>
            </w:tcBorders>
            <w:noWrap/>
            <w:vAlign w:val="center"/>
          </w:tcPr>
          <w:p w14:paraId="0F95BC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工作计划的合理明确性</w:t>
            </w:r>
          </w:p>
        </w:tc>
        <w:tc>
          <w:tcPr>
            <w:tcW w:w="398" w:type="pct"/>
            <w:tcBorders>
              <w:top w:val="single" w:color="auto" w:sz="4" w:space="0"/>
              <w:left w:val="single" w:color="auto" w:sz="4" w:space="0"/>
              <w:bottom w:val="single" w:color="auto" w:sz="4" w:space="0"/>
              <w:right w:val="single" w:color="auto" w:sz="4" w:space="0"/>
            </w:tcBorders>
            <w:noWrap/>
            <w:vAlign w:val="center"/>
          </w:tcPr>
          <w:p w14:paraId="7E6C39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2</w:t>
            </w:r>
          </w:p>
        </w:tc>
        <w:tc>
          <w:tcPr>
            <w:tcW w:w="431" w:type="pct"/>
            <w:tcBorders>
              <w:top w:val="single" w:color="auto" w:sz="4" w:space="0"/>
              <w:left w:val="single" w:color="auto" w:sz="4" w:space="0"/>
              <w:bottom w:val="single" w:color="auto" w:sz="4" w:space="0"/>
              <w:right w:val="single" w:color="auto" w:sz="4" w:space="0"/>
            </w:tcBorders>
            <w:noWrap/>
            <w:vAlign w:val="center"/>
          </w:tcPr>
          <w:p w14:paraId="18E35E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2.00</w:t>
            </w:r>
          </w:p>
        </w:tc>
      </w:tr>
      <w:tr w14:paraId="2FD8D216">
        <w:tblPrEx>
          <w:tblCellMar>
            <w:top w:w="0" w:type="dxa"/>
            <w:left w:w="108" w:type="dxa"/>
            <w:bottom w:w="0" w:type="dxa"/>
            <w:right w:w="108" w:type="dxa"/>
          </w:tblCellMar>
        </w:tblPrEx>
        <w:trPr>
          <w:trHeight w:val="371" w:hRule="atLeast"/>
          <w:jc w:val="center"/>
        </w:trPr>
        <w:tc>
          <w:tcPr>
            <w:tcW w:w="699" w:type="pct"/>
            <w:vMerge w:val="continue"/>
            <w:tcBorders>
              <w:top w:val="single" w:color="auto" w:sz="4" w:space="0"/>
              <w:left w:val="single" w:color="auto" w:sz="4" w:space="0"/>
              <w:bottom w:val="single" w:color="auto" w:sz="4" w:space="0"/>
              <w:right w:val="single" w:color="auto" w:sz="4" w:space="0"/>
            </w:tcBorders>
            <w:vAlign w:val="center"/>
          </w:tcPr>
          <w:p w14:paraId="68BDB7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601" w:type="pct"/>
            <w:vMerge w:val="restart"/>
            <w:tcBorders>
              <w:top w:val="single" w:color="auto" w:sz="4" w:space="0"/>
              <w:left w:val="single" w:color="auto" w:sz="4" w:space="0"/>
              <w:bottom w:val="single" w:color="auto" w:sz="4" w:space="0"/>
              <w:right w:val="single" w:color="auto" w:sz="4" w:space="0"/>
            </w:tcBorders>
            <w:noWrap/>
            <w:vAlign w:val="center"/>
          </w:tcPr>
          <w:p w14:paraId="514711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年度绩效目标明确性</w:t>
            </w:r>
          </w:p>
        </w:tc>
        <w:tc>
          <w:tcPr>
            <w:tcW w:w="1869" w:type="pct"/>
            <w:tcBorders>
              <w:top w:val="single" w:color="auto" w:sz="4" w:space="0"/>
              <w:left w:val="single" w:color="auto" w:sz="4" w:space="0"/>
              <w:bottom w:val="single" w:color="auto" w:sz="4" w:space="0"/>
              <w:right w:val="single" w:color="auto" w:sz="4" w:space="0"/>
            </w:tcBorders>
            <w:noWrap/>
            <w:vAlign w:val="center"/>
          </w:tcPr>
          <w:p w14:paraId="2E78A5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绩效目标合理性</w:t>
            </w:r>
          </w:p>
        </w:tc>
        <w:tc>
          <w:tcPr>
            <w:tcW w:w="398" w:type="pct"/>
            <w:tcBorders>
              <w:top w:val="single" w:color="auto" w:sz="4" w:space="0"/>
              <w:left w:val="single" w:color="auto" w:sz="4" w:space="0"/>
              <w:bottom w:val="single" w:color="auto" w:sz="4" w:space="0"/>
              <w:right w:val="single" w:color="auto" w:sz="4" w:space="0"/>
            </w:tcBorders>
            <w:noWrap/>
            <w:vAlign w:val="center"/>
          </w:tcPr>
          <w:p w14:paraId="656AC1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2</w:t>
            </w:r>
          </w:p>
        </w:tc>
        <w:tc>
          <w:tcPr>
            <w:tcW w:w="431" w:type="pct"/>
            <w:tcBorders>
              <w:top w:val="single" w:color="auto" w:sz="4" w:space="0"/>
              <w:left w:val="single" w:color="auto" w:sz="4" w:space="0"/>
              <w:bottom w:val="single" w:color="auto" w:sz="4" w:space="0"/>
              <w:right w:val="single" w:color="auto" w:sz="4" w:space="0"/>
            </w:tcBorders>
            <w:noWrap/>
            <w:vAlign w:val="center"/>
          </w:tcPr>
          <w:p w14:paraId="4B8106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2.00</w:t>
            </w:r>
          </w:p>
        </w:tc>
      </w:tr>
      <w:tr w14:paraId="36839B0C">
        <w:tblPrEx>
          <w:tblCellMar>
            <w:top w:w="0" w:type="dxa"/>
            <w:left w:w="108" w:type="dxa"/>
            <w:bottom w:w="0" w:type="dxa"/>
            <w:right w:w="108" w:type="dxa"/>
          </w:tblCellMar>
        </w:tblPrEx>
        <w:trPr>
          <w:trHeight w:val="371" w:hRule="atLeast"/>
          <w:jc w:val="center"/>
        </w:trPr>
        <w:tc>
          <w:tcPr>
            <w:tcW w:w="699" w:type="pct"/>
            <w:vMerge w:val="continue"/>
            <w:tcBorders>
              <w:top w:val="single" w:color="auto" w:sz="4" w:space="0"/>
              <w:left w:val="single" w:color="auto" w:sz="4" w:space="0"/>
              <w:bottom w:val="single" w:color="auto" w:sz="4" w:space="0"/>
              <w:right w:val="single" w:color="auto" w:sz="4" w:space="0"/>
            </w:tcBorders>
            <w:vAlign w:val="center"/>
          </w:tcPr>
          <w:p w14:paraId="2C0068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601" w:type="pct"/>
            <w:vMerge w:val="continue"/>
            <w:tcBorders>
              <w:top w:val="single" w:color="auto" w:sz="4" w:space="0"/>
              <w:left w:val="single" w:color="auto" w:sz="4" w:space="0"/>
              <w:bottom w:val="single" w:color="auto" w:sz="4" w:space="0"/>
              <w:right w:val="single" w:color="auto" w:sz="4" w:space="0"/>
            </w:tcBorders>
            <w:vAlign w:val="center"/>
          </w:tcPr>
          <w:p w14:paraId="26C3BC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869" w:type="pct"/>
            <w:tcBorders>
              <w:top w:val="single" w:color="auto" w:sz="4" w:space="0"/>
              <w:left w:val="single" w:color="auto" w:sz="4" w:space="0"/>
              <w:bottom w:val="single" w:color="auto" w:sz="4" w:space="0"/>
              <w:right w:val="single" w:color="auto" w:sz="4" w:space="0"/>
            </w:tcBorders>
            <w:noWrap/>
            <w:vAlign w:val="center"/>
          </w:tcPr>
          <w:p w14:paraId="3E1324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绩效指标明确性</w:t>
            </w:r>
          </w:p>
        </w:tc>
        <w:tc>
          <w:tcPr>
            <w:tcW w:w="398" w:type="pct"/>
            <w:tcBorders>
              <w:top w:val="single" w:color="auto" w:sz="4" w:space="0"/>
              <w:left w:val="single" w:color="auto" w:sz="4" w:space="0"/>
              <w:bottom w:val="single" w:color="auto" w:sz="4" w:space="0"/>
              <w:right w:val="single" w:color="auto" w:sz="4" w:space="0"/>
            </w:tcBorders>
            <w:noWrap/>
            <w:vAlign w:val="center"/>
          </w:tcPr>
          <w:p w14:paraId="7F63AF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3</w:t>
            </w:r>
          </w:p>
        </w:tc>
        <w:tc>
          <w:tcPr>
            <w:tcW w:w="431" w:type="pct"/>
            <w:tcBorders>
              <w:top w:val="single" w:color="auto" w:sz="4" w:space="0"/>
              <w:left w:val="single" w:color="auto" w:sz="4" w:space="0"/>
              <w:bottom w:val="single" w:color="auto" w:sz="4" w:space="0"/>
              <w:right w:val="single" w:color="auto" w:sz="4" w:space="0"/>
            </w:tcBorders>
            <w:noWrap/>
            <w:vAlign w:val="center"/>
          </w:tcPr>
          <w:p w14:paraId="2E6011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3.00</w:t>
            </w:r>
          </w:p>
        </w:tc>
      </w:tr>
      <w:tr w14:paraId="39EC8224">
        <w:tblPrEx>
          <w:tblCellMar>
            <w:top w:w="0" w:type="dxa"/>
            <w:left w:w="108" w:type="dxa"/>
            <w:bottom w:w="0" w:type="dxa"/>
            <w:right w:w="108" w:type="dxa"/>
          </w:tblCellMar>
        </w:tblPrEx>
        <w:trPr>
          <w:trHeight w:val="371" w:hRule="atLeast"/>
          <w:jc w:val="center"/>
        </w:trPr>
        <w:tc>
          <w:tcPr>
            <w:tcW w:w="699" w:type="pct"/>
            <w:vMerge w:val="continue"/>
            <w:tcBorders>
              <w:top w:val="single" w:color="auto" w:sz="4" w:space="0"/>
              <w:left w:val="single" w:color="auto" w:sz="4" w:space="0"/>
              <w:bottom w:val="single" w:color="auto" w:sz="4" w:space="0"/>
              <w:right w:val="single" w:color="auto" w:sz="4" w:space="0"/>
            </w:tcBorders>
            <w:vAlign w:val="center"/>
          </w:tcPr>
          <w:p w14:paraId="71DFF5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601" w:type="pct"/>
            <w:vMerge w:val="restart"/>
            <w:tcBorders>
              <w:top w:val="single" w:color="auto" w:sz="4" w:space="0"/>
              <w:left w:val="single" w:color="auto" w:sz="4" w:space="0"/>
              <w:bottom w:val="single" w:color="auto" w:sz="4" w:space="0"/>
              <w:right w:val="single" w:color="auto" w:sz="4" w:space="0"/>
            </w:tcBorders>
            <w:noWrap/>
            <w:vAlign w:val="center"/>
          </w:tcPr>
          <w:p w14:paraId="37D716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年度部门预算编制合理性</w:t>
            </w:r>
          </w:p>
        </w:tc>
        <w:tc>
          <w:tcPr>
            <w:tcW w:w="1869" w:type="pct"/>
            <w:tcBorders>
              <w:top w:val="single" w:color="auto" w:sz="4" w:space="0"/>
              <w:left w:val="single" w:color="auto" w:sz="4" w:space="0"/>
              <w:bottom w:val="single" w:color="auto" w:sz="4" w:space="0"/>
              <w:right w:val="single" w:color="auto" w:sz="4" w:space="0"/>
            </w:tcBorders>
            <w:noWrap/>
            <w:vAlign w:val="center"/>
          </w:tcPr>
          <w:p w14:paraId="5192F6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年度部门预算编制完整合理性</w:t>
            </w:r>
          </w:p>
        </w:tc>
        <w:tc>
          <w:tcPr>
            <w:tcW w:w="398" w:type="pct"/>
            <w:tcBorders>
              <w:top w:val="single" w:color="auto" w:sz="4" w:space="0"/>
              <w:left w:val="single" w:color="auto" w:sz="4" w:space="0"/>
              <w:bottom w:val="single" w:color="auto" w:sz="4" w:space="0"/>
              <w:right w:val="single" w:color="auto" w:sz="4" w:space="0"/>
            </w:tcBorders>
            <w:noWrap/>
            <w:vAlign w:val="center"/>
          </w:tcPr>
          <w:p w14:paraId="0E0DAE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3</w:t>
            </w:r>
          </w:p>
        </w:tc>
        <w:tc>
          <w:tcPr>
            <w:tcW w:w="431" w:type="pct"/>
            <w:tcBorders>
              <w:top w:val="single" w:color="auto" w:sz="4" w:space="0"/>
              <w:left w:val="single" w:color="auto" w:sz="4" w:space="0"/>
              <w:bottom w:val="single" w:color="auto" w:sz="4" w:space="0"/>
              <w:right w:val="single" w:color="auto" w:sz="4" w:space="0"/>
            </w:tcBorders>
            <w:noWrap/>
            <w:vAlign w:val="center"/>
          </w:tcPr>
          <w:p w14:paraId="3DDBF2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3</w:t>
            </w:r>
            <w:r>
              <w:rPr>
                <w:rFonts w:hint="default" w:eastAsia="仿宋_GB2312"/>
                <w:bCs/>
                <w:kern w:val="0"/>
                <w:sz w:val="22"/>
              </w:rPr>
              <w:t>.00</w:t>
            </w:r>
          </w:p>
        </w:tc>
      </w:tr>
      <w:tr w14:paraId="1EA35D27">
        <w:tblPrEx>
          <w:tblCellMar>
            <w:top w:w="0" w:type="dxa"/>
            <w:left w:w="108" w:type="dxa"/>
            <w:bottom w:w="0" w:type="dxa"/>
            <w:right w:w="108" w:type="dxa"/>
          </w:tblCellMar>
        </w:tblPrEx>
        <w:trPr>
          <w:trHeight w:val="371" w:hRule="atLeast"/>
          <w:jc w:val="center"/>
        </w:trPr>
        <w:tc>
          <w:tcPr>
            <w:tcW w:w="699" w:type="pct"/>
            <w:vMerge w:val="continue"/>
            <w:tcBorders>
              <w:top w:val="single" w:color="auto" w:sz="4" w:space="0"/>
              <w:left w:val="single" w:color="auto" w:sz="4" w:space="0"/>
              <w:bottom w:val="single" w:color="auto" w:sz="4" w:space="0"/>
              <w:right w:val="single" w:color="auto" w:sz="4" w:space="0"/>
            </w:tcBorders>
            <w:vAlign w:val="center"/>
          </w:tcPr>
          <w:p w14:paraId="414982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601" w:type="pct"/>
            <w:vMerge w:val="continue"/>
            <w:tcBorders>
              <w:top w:val="single" w:color="auto" w:sz="4" w:space="0"/>
              <w:left w:val="single" w:color="auto" w:sz="4" w:space="0"/>
              <w:bottom w:val="single" w:color="auto" w:sz="4" w:space="0"/>
              <w:right w:val="single" w:color="auto" w:sz="4" w:space="0"/>
            </w:tcBorders>
            <w:vAlign w:val="center"/>
          </w:tcPr>
          <w:p w14:paraId="3C0F51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869" w:type="pct"/>
            <w:tcBorders>
              <w:top w:val="single" w:color="auto" w:sz="4" w:space="0"/>
              <w:left w:val="single" w:color="auto" w:sz="4" w:space="0"/>
              <w:bottom w:val="single" w:color="auto" w:sz="4" w:space="0"/>
              <w:right w:val="single" w:color="auto" w:sz="4" w:space="0"/>
            </w:tcBorders>
            <w:noWrap/>
            <w:vAlign w:val="center"/>
          </w:tcPr>
          <w:p w14:paraId="32AD73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年度部门预算编制规范性</w:t>
            </w:r>
          </w:p>
        </w:tc>
        <w:tc>
          <w:tcPr>
            <w:tcW w:w="398" w:type="pct"/>
            <w:tcBorders>
              <w:top w:val="single" w:color="auto" w:sz="4" w:space="0"/>
              <w:left w:val="single" w:color="auto" w:sz="4" w:space="0"/>
              <w:bottom w:val="single" w:color="auto" w:sz="4" w:space="0"/>
              <w:right w:val="single" w:color="auto" w:sz="4" w:space="0"/>
            </w:tcBorders>
            <w:noWrap/>
            <w:vAlign w:val="center"/>
          </w:tcPr>
          <w:p w14:paraId="432368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2</w:t>
            </w:r>
          </w:p>
        </w:tc>
        <w:tc>
          <w:tcPr>
            <w:tcW w:w="431" w:type="pct"/>
            <w:tcBorders>
              <w:top w:val="single" w:color="auto" w:sz="4" w:space="0"/>
              <w:left w:val="single" w:color="auto" w:sz="4" w:space="0"/>
              <w:bottom w:val="single" w:color="auto" w:sz="4" w:space="0"/>
              <w:right w:val="single" w:color="auto" w:sz="4" w:space="0"/>
            </w:tcBorders>
            <w:noWrap/>
            <w:vAlign w:val="center"/>
          </w:tcPr>
          <w:p w14:paraId="407D36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2.00</w:t>
            </w:r>
          </w:p>
        </w:tc>
      </w:tr>
      <w:tr w14:paraId="7AE81929">
        <w:tblPrEx>
          <w:tblCellMar>
            <w:top w:w="0" w:type="dxa"/>
            <w:left w:w="108" w:type="dxa"/>
            <w:bottom w:w="0" w:type="dxa"/>
            <w:right w:w="108" w:type="dxa"/>
          </w:tblCellMar>
        </w:tblPrEx>
        <w:trPr>
          <w:trHeight w:val="371" w:hRule="atLeast"/>
          <w:jc w:val="center"/>
        </w:trPr>
        <w:tc>
          <w:tcPr>
            <w:tcW w:w="4169" w:type="pct"/>
            <w:gridSpan w:val="3"/>
            <w:tcBorders>
              <w:top w:val="single" w:color="auto" w:sz="4" w:space="0"/>
              <w:left w:val="single" w:color="auto" w:sz="4" w:space="0"/>
              <w:bottom w:val="single" w:color="auto" w:sz="4" w:space="0"/>
              <w:right w:val="single" w:color="auto" w:sz="4" w:space="0"/>
            </w:tcBorders>
            <w:vAlign w:val="center"/>
          </w:tcPr>
          <w:p w14:paraId="7C395A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ab/>
            </w:r>
            <w:r>
              <w:rPr>
                <w:rFonts w:hint="eastAsia" w:eastAsia="仿宋_GB2312"/>
                <w:bCs/>
                <w:kern w:val="0"/>
                <w:sz w:val="22"/>
              </w:rPr>
              <w:t>合计</w:t>
            </w:r>
          </w:p>
        </w:tc>
        <w:tc>
          <w:tcPr>
            <w:tcW w:w="398" w:type="pct"/>
            <w:tcBorders>
              <w:top w:val="single" w:color="auto" w:sz="4" w:space="0"/>
              <w:left w:val="single" w:color="auto" w:sz="4" w:space="0"/>
              <w:bottom w:val="single" w:color="auto" w:sz="4" w:space="0"/>
              <w:right w:val="single" w:color="auto" w:sz="4" w:space="0"/>
            </w:tcBorders>
            <w:noWrap/>
            <w:vAlign w:val="center"/>
          </w:tcPr>
          <w:p w14:paraId="3F4006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15</w:t>
            </w:r>
          </w:p>
        </w:tc>
        <w:tc>
          <w:tcPr>
            <w:tcW w:w="431" w:type="pct"/>
            <w:tcBorders>
              <w:top w:val="single" w:color="auto" w:sz="4" w:space="0"/>
              <w:left w:val="single" w:color="auto" w:sz="4" w:space="0"/>
              <w:bottom w:val="single" w:color="auto" w:sz="4" w:space="0"/>
              <w:right w:val="single" w:color="auto" w:sz="4" w:space="0"/>
            </w:tcBorders>
            <w:noWrap/>
            <w:vAlign w:val="center"/>
          </w:tcPr>
          <w:p w14:paraId="163E9B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15.00</w:t>
            </w:r>
          </w:p>
        </w:tc>
      </w:tr>
    </w:tbl>
    <w:p w14:paraId="351A32C1">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shd w:val="clear" w:color="auto" w:fill="auto"/>
          <w:lang w:bidi="ar"/>
        </w:rPr>
      </w:pPr>
      <w:r>
        <w:rPr>
          <w:rFonts w:eastAsia="仿宋_GB2312"/>
          <w:b/>
          <w:kern w:val="0"/>
          <w:sz w:val="32"/>
          <w:szCs w:val="32"/>
          <w:shd w:val="clear" w:color="auto" w:fill="auto"/>
          <w:lang w:bidi="ar"/>
        </w:rPr>
        <w:t>1.职能设置科学合理性（分值2分，得分2分）</w:t>
      </w:r>
    </w:p>
    <w:p w14:paraId="4919EF8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（1）职能设定明确性（分值1分，得分1分）</w:t>
      </w:r>
    </w:p>
    <w:p w14:paraId="0305F61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关于印发〈喀什市市场监督管理局职能配置、内设机构和人员编制规定〉的通知》（喀市党办字﹝2019﹞36号），喀什市市场监督管理局主要职责任务：负责市场综合监督管理和知识产权管理，负责市场主体统一登记注册工作，负责市场监管和知识产权综合执法工作，负责反垄断统一执法，负责监督管理市场秩序等。喀什市市场监督管理局内设十五个机构：党政办公室、计划财务股、纪检监察股、政策法规股、行政许可股、打假举报受理指挥中心、市场规范管理股、个体私营经济监督管理股、食品安全监督管理股、药品安全监督管理股、质量计量监督管理股、特种设备监督管理股、知识产权保护与管理股、市场监督稽查大队、派出机构。各个岗位职能设定明确，职能设置与“三定”方案一致，并分解到各部门且职责清晰明了，相应的职责细化落实完整。综上所述，该指标得1分。</w:t>
      </w:r>
    </w:p>
    <w:p w14:paraId="16BE9C1C">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（2）人员岗位职责明确性（分值1分，得分1分）</w:t>
      </w:r>
    </w:p>
    <w:p w14:paraId="2977AA2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喀什市市场监督管理局《科室职责清单及岗位设置》《喀什市市场监督管理局在职人员花名册》及《关于印发〈喀什市市场监督管理局职能配置、内设机构和人员编制规定〉的通知》（喀市党办字﹝2019﹞36号），喀什市市场监督管理局按照各股室职责，将工作任务落实到岗位和人员，形成责任清单，人员岗位职责明确。综上所述，该指标得1分。</w:t>
      </w:r>
    </w:p>
    <w:p w14:paraId="6EC76BB0">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2.部门中长期规划适应性（分值</w:t>
      </w:r>
      <w:r>
        <w:rPr>
          <w:rFonts w:hint="eastAsia" w:eastAsia="仿宋_GB2312"/>
          <w:b/>
          <w:kern w:val="0"/>
          <w:sz w:val="32"/>
          <w:szCs w:val="32"/>
          <w:lang w:bidi="ar"/>
        </w:rPr>
        <w:t>1</w:t>
      </w:r>
      <w:r>
        <w:rPr>
          <w:rFonts w:eastAsia="仿宋_GB2312"/>
          <w:b/>
          <w:kern w:val="0"/>
          <w:sz w:val="32"/>
          <w:szCs w:val="32"/>
          <w:lang w:bidi="ar"/>
        </w:rPr>
        <w:t>分，得分</w:t>
      </w:r>
      <w:r>
        <w:rPr>
          <w:rFonts w:hint="eastAsia" w:eastAsia="仿宋_GB2312"/>
          <w:b/>
          <w:kern w:val="0"/>
          <w:sz w:val="32"/>
          <w:szCs w:val="32"/>
          <w:lang w:bidi="ar"/>
        </w:rPr>
        <w:t>1</w:t>
      </w:r>
      <w:r>
        <w:rPr>
          <w:rFonts w:eastAsia="仿宋_GB2312"/>
          <w:b/>
          <w:kern w:val="0"/>
          <w:sz w:val="32"/>
          <w:szCs w:val="32"/>
          <w:lang w:bidi="ar"/>
        </w:rPr>
        <w:t>分）</w:t>
      </w:r>
    </w:p>
    <w:p w14:paraId="737B30C0">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部门中长期规划科学合理性</w:t>
      </w:r>
    </w:p>
    <w:p w14:paraId="580A32A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国务院关于印发《“十四五”市场监管现代化规划》的通知、《喀什市市场监督管理局2025年重点工作任务落实情况表》以及《2025年度喀什市市场监督管理局工作总结》分析，部门中长期规划清晰、全面、完整。综上所述，该指标得1分。</w:t>
      </w:r>
    </w:p>
    <w:p w14:paraId="1A462915">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3.年度工作计划科学完整性（分值2分，得分2分）</w:t>
      </w:r>
    </w:p>
    <w:p w14:paraId="10A2BA23">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根据喀什市市场监督管理局制定的《喀什市市场监督管理局2025年度工作计划》，2025年主要工作为：</w:t>
      </w:r>
      <w:bookmarkStart w:id="68" w:name="OLE_LINK2"/>
      <w:r>
        <w:rPr>
          <w:rFonts w:hint="eastAsia" w:eastAsia="仿宋_GB2312"/>
          <w:bCs/>
          <w:kern w:val="0"/>
          <w:sz w:val="32"/>
          <w:szCs w:val="32"/>
          <w:lang w:bidi="ar"/>
        </w:rPr>
        <w:t>一是围绕“四个聚焦”筑牢市场监管防线，提升服务发展效能；二是持续优化营商环境，促进经济健康发展；三是强化信用监管，推进诚信体系建设。四是加强四大安全监管，守护安全生产底线；五是加强服务引导，推进质量提升；六是加强消费者权益保护举措，构建和谐消费环境；七是维护市场秩序，优化市场环境；八是排查化解风险隐患，落实维护社会稳定责任；九是强化法治建设，优化法治化营商环境。部门工作计划明确、全面、完整，与该单位实际相适应。</w:t>
      </w:r>
      <w:bookmarkEnd w:id="68"/>
      <w:r>
        <w:rPr>
          <w:rFonts w:hint="eastAsia" w:eastAsia="仿宋_GB2312"/>
          <w:bCs/>
          <w:kern w:val="0"/>
          <w:sz w:val="32"/>
          <w:szCs w:val="32"/>
          <w:lang w:bidi="ar"/>
        </w:rPr>
        <w:t>综上所述，该指标得2分。</w:t>
      </w:r>
    </w:p>
    <w:p w14:paraId="4DCB8A56">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4.年度绩效目标明确性（分值</w:t>
      </w:r>
      <w:r>
        <w:rPr>
          <w:rFonts w:hint="eastAsia" w:eastAsia="仿宋_GB2312"/>
          <w:b/>
          <w:kern w:val="0"/>
          <w:sz w:val="32"/>
          <w:szCs w:val="32"/>
          <w:lang w:bidi="ar"/>
        </w:rPr>
        <w:t>5</w:t>
      </w:r>
      <w:r>
        <w:rPr>
          <w:rFonts w:eastAsia="仿宋_GB2312"/>
          <w:b/>
          <w:kern w:val="0"/>
          <w:sz w:val="32"/>
          <w:szCs w:val="32"/>
          <w:lang w:bidi="ar"/>
        </w:rPr>
        <w:t>分，得分</w:t>
      </w:r>
      <w:r>
        <w:rPr>
          <w:rFonts w:hint="eastAsia" w:eastAsia="仿宋_GB2312"/>
          <w:b/>
          <w:kern w:val="0"/>
          <w:sz w:val="32"/>
          <w:szCs w:val="32"/>
          <w:lang w:bidi="ar"/>
        </w:rPr>
        <w:t>5</w:t>
      </w:r>
      <w:r>
        <w:rPr>
          <w:rFonts w:eastAsia="仿宋_GB2312"/>
          <w:b/>
          <w:kern w:val="0"/>
          <w:sz w:val="32"/>
          <w:szCs w:val="32"/>
          <w:lang w:bidi="ar"/>
        </w:rPr>
        <w:t>分）</w:t>
      </w:r>
    </w:p>
    <w:p w14:paraId="1486D2D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（1）绩效目标合理性（分值2分，得分2分）</w:t>
      </w:r>
    </w:p>
    <w:p w14:paraId="13546F6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bookmarkStart w:id="69" w:name="OLE_LINK4"/>
      <w:r>
        <w:rPr>
          <w:rFonts w:hint="eastAsia" w:eastAsia="仿宋_GB2312"/>
          <w:bCs/>
          <w:kern w:val="0"/>
          <w:sz w:val="32"/>
          <w:szCs w:val="32"/>
          <w:lang w:bidi="ar"/>
        </w:rPr>
        <w:t>根据对喀什市市场监督管理局设置的《部门（单位）整体支出绩效目标表》进行分析，各指标按照《喀什市市场监督管理局2025年工作计划》及《关于印发〈喀什市市场监督管理局职能配置、内设机构和人员编制规定〉的通知》（喀市党办字﹝2019﹞36号）设定，绩效目标指标制定依据充分，绩效指标清晰、细化，符合客观实际。综上所述，该项指标得2分。</w:t>
      </w:r>
    </w:p>
    <w:bookmarkEnd w:id="69"/>
    <w:p w14:paraId="2941C930">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（2）绩效指标明确性（分值3分，得分3分）</w:t>
      </w:r>
    </w:p>
    <w:p w14:paraId="5BCFEDF5">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喀什市市场监督管理局将已设置的部门整体支出绩效目标细化分解为具体的绩效指标。一是设置了“履职效能”一级指标，并进一步在其下细分出2个二级指标（数量、质量指标）及8个三级指标，这些具体的指标与年度绩效目标紧密相关。二是绩效指标均通过清晰、可衡量的指标值进行了体现。对于各项三级指标，都明确给出了相应的指标值，且指标值清晰、具体，便于在实际工作中进行量化考核与评估，能够有效反映工作的完成程度。三是已设置的绩效指标在部门年度工作任务数或计划数可以体现，在年度绩效目标中提到的工作任务，在绩效指标中有所体现并对应了具体的量化要求，这充分说明绩效指标紧密围绕年度工作任务设置，两者具有高度的对应性。综上所述，该指标得3分。</w:t>
      </w:r>
    </w:p>
    <w:p w14:paraId="52E8C0B2">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5.年度部门预算编制合理性（分值</w:t>
      </w:r>
      <w:r>
        <w:rPr>
          <w:rFonts w:hint="eastAsia" w:eastAsia="仿宋_GB2312"/>
          <w:b/>
          <w:kern w:val="0"/>
          <w:sz w:val="32"/>
          <w:szCs w:val="32"/>
          <w:lang w:bidi="ar"/>
        </w:rPr>
        <w:t>5</w:t>
      </w:r>
      <w:r>
        <w:rPr>
          <w:rFonts w:eastAsia="仿宋_GB2312"/>
          <w:b/>
          <w:kern w:val="0"/>
          <w:sz w:val="32"/>
          <w:szCs w:val="32"/>
          <w:lang w:bidi="ar"/>
        </w:rPr>
        <w:t>分，得分</w:t>
      </w:r>
      <w:r>
        <w:rPr>
          <w:rFonts w:hint="eastAsia" w:eastAsia="仿宋_GB2312"/>
          <w:b/>
          <w:kern w:val="0"/>
          <w:sz w:val="32"/>
          <w:szCs w:val="32"/>
          <w:lang w:bidi="ar"/>
        </w:rPr>
        <w:t>5</w:t>
      </w:r>
      <w:r>
        <w:rPr>
          <w:rFonts w:eastAsia="仿宋_GB2312"/>
          <w:b/>
          <w:kern w:val="0"/>
          <w:sz w:val="32"/>
          <w:szCs w:val="32"/>
          <w:lang w:bidi="ar"/>
        </w:rPr>
        <w:t>分）</w:t>
      </w:r>
    </w:p>
    <w:p w14:paraId="46354DB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（1）年度部门预算编制完整合理性（分值3分，得分3分）</w:t>
      </w:r>
    </w:p>
    <w:p w14:paraId="05F28820">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喀什市市场监督管理局编制的部门预算与部门工作任务匹配较好，2025年度部门预算总额为3350.24万元，其中，财政资金总额3350.24万元，非财政资金0万元；基本支出3067.98万元与项目支出282.26万元，预算边界界定清晰明确，未发现相互挤占的情况。各项支出立项依据充分、支出内容与工作计划一一对应，项目支出预算安排能够体现出重点工作重点保障，并且遵循了轻重缓急按需保障原则，年度预算编制完整。综上所述，该指标得</w:t>
      </w:r>
      <w:r>
        <w:rPr>
          <w:rFonts w:hint="eastAsia" w:eastAsia="仿宋_GB2312"/>
          <w:bCs/>
          <w:kern w:val="0"/>
          <w:sz w:val="32"/>
          <w:szCs w:val="32"/>
          <w:lang w:val="en-US" w:eastAsia="zh-CN" w:bidi="ar"/>
        </w:rPr>
        <w:t>3</w:t>
      </w:r>
      <w:r>
        <w:rPr>
          <w:rFonts w:hint="eastAsia" w:eastAsia="仿宋_GB2312"/>
          <w:bCs/>
          <w:kern w:val="0"/>
          <w:sz w:val="32"/>
          <w:szCs w:val="32"/>
          <w:lang w:bidi="ar"/>
        </w:rPr>
        <w:t>分。</w:t>
      </w:r>
    </w:p>
    <w:p w14:paraId="445CDAAA">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（2）年度部门预算编制规范性（分值2分，得分2分）</w:t>
      </w:r>
    </w:p>
    <w:p w14:paraId="393D7796">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喀什市市场监督管理局年度部门预算编制内容完整，按照国家行政事业单位相关支出标准进行费用测算，部门预算申报程序合规、审批流程严谨、经部门党组会议集体决策确定。综上所述，该指标得2分。</w:t>
      </w:r>
    </w:p>
    <w:p w14:paraId="06218871">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70" w:name="_Toc8346"/>
      <w:bookmarkStart w:id="71" w:name="_Toc8281"/>
      <w:r>
        <w:rPr>
          <w:rFonts w:ascii="Times New Roman" w:hAnsi="Times New Roman" w:cs="Times New Roman"/>
        </w:rPr>
        <w:t>（二）部门管理情况（分值35分，得分33分）</w:t>
      </w:r>
      <w:bookmarkEnd w:id="70"/>
      <w:bookmarkEnd w:id="71"/>
    </w:p>
    <w:p w14:paraId="4F7C0D73">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eastAsia="仿宋_GB2312"/>
          <w:b/>
          <w:bCs/>
          <w:sz w:val="24"/>
          <w:szCs w:val="24"/>
        </w:rPr>
      </w:pPr>
      <w:r>
        <w:rPr>
          <w:rFonts w:hint="eastAsia" w:eastAsia="仿宋_GB2312"/>
          <w:b/>
          <w:bCs/>
          <w:sz w:val="24"/>
          <w:szCs w:val="24"/>
        </w:rPr>
        <w:t xml:space="preserve">表4-2 </w:t>
      </w:r>
      <w:r>
        <w:rPr>
          <w:rFonts w:eastAsia="仿宋_GB2312"/>
          <w:b/>
          <w:bCs/>
          <w:sz w:val="24"/>
          <w:szCs w:val="24"/>
        </w:rPr>
        <w:t>部门管理指标得分情况</w:t>
      </w:r>
    </w:p>
    <w:tbl>
      <w:tblPr>
        <w:tblStyle w:val="26"/>
        <w:tblW w:w="4998" w:type="pct"/>
        <w:tblInd w:w="0" w:type="dxa"/>
        <w:tblLayout w:type="autofit"/>
        <w:tblCellMar>
          <w:top w:w="0" w:type="dxa"/>
          <w:left w:w="108" w:type="dxa"/>
          <w:bottom w:w="0" w:type="dxa"/>
          <w:right w:w="108" w:type="dxa"/>
        </w:tblCellMar>
      </w:tblPr>
      <w:tblGrid>
        <w:gridCol w:w="1428"/>
        <w:gridCol w:w="1361"/>
        <w:gridCol w:w="4641"/>
        <w:gridCol w:w="813"/>
        <w:gridCol w:w="813"/>
      </w:tblGrid>
      <w:tr w14:paraId="03CA0575">
        <w:tblPrEx>
          <w:tblCellMar>
            <w:top w:w="0" w:type="dxa"/>
            <w:left w:w="108" w:type="dxa"/>
            <w:bottom w:w="0" w:type="dxa"/>
            <w:right w:w="108" w:type="dxa"/>
          </w:tblCellMar>
        </w:tblPrEx>
        <w:trPr>
          <w:trHeight w:val="300" w:hRule="atLeast"/>
          <w:tblHeader/>
        </w:trPr>
        <w:tc>
          <w:tcPr>
            <w:tcW w:w="788" w:type="pct"/>
            <w:tcBorders>
              <w:top w:val="single" w:color="auto" w:sz="4" w:space="0"/>
              <w:left w:val="single" w:color="auto" w:sz="4" w:space="0"/>
              <w:bottom w:val="single" w:color="auto" w:sz="4" w:space="0"/>
              <w:right w:val="single" w:color="auto" w:sz="4" w:space="0"/>
            </w:tcBorders>
            <w:shd w:val="clear" w:color="auto" w:fill="D7D7D7"/>
            <w:vAlign w:val="center"/>
          </w:tcPr>
          <w:p w14:paraId="651CC9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一级指标</w:t>
            </w:r>
          </w:p>
        </w:tc>
        <w:tc>
          <w:tcPr>
            <w:tcW w:w="751" w:type="pct"/>
            <w:tcBorders>
              <w:top w:val="single" w:color="auto" w:sz="4" w:space="0"/>
              <w:left w:val="nil"/>
              <w:bottom w:val="single" w:color="auto" w:sz="4" w:space="0"/>
              <w:right w:val="single" w:color="auto" w:sz="4" w:space="0"/>
            </w:tcBorders>
            <w:shd w:val="clear" w:color="auto" w:fill="D7D7D7"/>
            <w:vAlign w:val="center"/>
          </w:tcPr>
          <w:p w14:paraId="1C719D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二级指标</w:t>
            </w:r>
          </w:p>
        </w:tc>
        <w:tc>
          <w:tcPr>
            <w:tcW w:w="2561" w:type="pct"/>
            <w:tcBorders>
              <w:top w:val="single" w:color="auto" w:sz="4" w:space="0"/>
              <w:left w:val="nil"/>
              <w:bottom w:val="single" w:color="auto" w:sz="4" w:space="0"/>
              <w:right w:val="single" w:color="auto" w:sz="4" w:space="0"/>
            </w:tcBorders>
            <w:shd w:val="clear" w:color="auto" w:fill="D7D7D7"/>
            <w:vAlign w:val="center"/>
          </w:tcPr>
          <w:p w14:paraId="4DB820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三级指标</w:t>
            </w:r>
          </w:p>
        </w:tc>
        <w:tc>
          <w:tcPr>
            <w:tcW w:w="449" w:type="pct"/>
            <w:tcBorders>
              <w:top w:val="single" w:color="auto" w:sz="4" w:space="0"/>
              <w:left w:val="nil"/>
              <w:bottom w:val="single" w:color="auto" w:sz="4" w:space="0"/>
              <w:right w:val="single" w:color="auto" w:sz="4" w:space="0"/>
            </w:tcBorders>
            <w:shd w:val="clear" w:color="auto" w:fill="D7D7D7"/>
            <w:vAlign w:val="center"/>
          </w:tcPr>
          <w:p w14:paraId="2BB607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权重</w:t>
            </w:r>
          </w:p>
        </w:tc>
        <w:tc>
          <w:tcPr>
            <w:tcW w:w="449" w:type="pct"/>
            <w:tcBorders>
              <w:top w:val="single" w:color="auto" w:sz="4" w:space="0"/>
              <w:left w:val="nil"/>
              <w:bottom w:val="single" w:color="auto" w:sz="4" w:space="0"/>
              <w:right w:val="single" w:color="auto" w:sz="4" w:space="0"/>
            </w:tcBorders>
            <w:shd w:val="clear" w:color="auto" w:fill="D7D7D7"/>
            <w:vAlign w:val="center"/>
          </w:tcPr>
          <w:p w14:paraId="014309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得分</w:t>
            </w:r>
          </w:p>
        </w:tc>
      </w:tr>
      <w:tr w14:paraId="204536EE">
        <w:tblPrEx>
          <w:tblCellMar>
            <w:top w:w="0" w:type="dxa"/>
            <w:left w:w="108" w:type="dxa"/>
            <w:bottom w:w="0" w:type="dxa"/>
            <w:right w:w="108" w:type="dxa"/>
          </w:tblCellMar>
        </w:tblPrEx>
        <w:trPr>
          <w:trHeight w:val="300" w:hRule="atLeast"/>
        </w:trPr>
        <w:tc>
          <w:tcPr>
            <w:tcW w:w="788" w:type="pct"/>
            <w:vMerge w:val="restart"/>
            <w:tcBorders>
              <w:top w:val="nil"/>
              <w:left w:val="single" w:color="auto" w:sz="4" w:space="0"/>
              <w:bottom w:val="single" w:color="auto" w:sz="4" w:space="0"/>
              <w:right w:val="single" w:color="auto" w:sz="4" w:space="0"/>
            </w:tcBorders>
            <w:noWrap/>
            <w:vAlign w:val="center"/>
          </w:tcPr>
          <w:p w14:paraId="78400B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部门管理</w:t>
            </w:r>
          </w:p>
          <w:p w14:paraId="4C0558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（35分）</w:t>
            </w:r>
          </w:p>
        </w:tc>
        <w:tc>
          <w:tcPr>
            <w:tcW w:w="751" w:type="pct"/>
            <w:tcBorders>
              <w:top w:val="nil"/>
              <w:left w:val="single" w:color="auto" w:sz="4" w:space="0"/>
              <w:bottom w:val="single" w:color="auto" w:sz="4" w:space="0"/>
              <w:right w:val="single" w:color="auto" w:sz="4" w:space="0"/>
            </w:tcBorders>
            <w:noWrap/>
            <w:vAlign w:val="center"/>
          </w:tcPr>
          <w:p w14:paraId="0431D5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预算管理</w:t>
            </w:r>
          </w:p>
        </w:tc>
        <w:tc>
          <w:tcPr>
            <w:tcW w:w="2561" w:type="pct"/>
            <w:tcBorders>
              <w:top w:val="nil"/>
              <w:left w:val="nil"/>
              <w:bottom w:val="single" w:color="auto" w:sz="4" w:space="0"/>
              <w:right w:val="single" w:color="auto" w:sz="4" w:space="0"/>
            </w:tcBorders>
            <w:noWrap/>
            <w:vAlign w:val="center"/>
          </w:tcPr>
          <w:p w14:paraId="06D14E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预算、决算信息公开</w:t>
            </w:r>
          </w:p>
        </w:tc>
        <w:tc>
          <w:tcPr>
            <w:tcW w:w="449" w:type="pct"/>
            <w:tcBorders>
              <w:top w:val="nil"/>
              <w:left w:val="nil"/>
              <w:bottom w:val="single" w:color="auto" w:sz="4" w:space="0"/>
              <w:right w:val="single" w:color="auto" w:sz="4" w:space="0"/>
            </w:tcBorders>
            <w:noWrap/>
            <w:vAlign w:val="center"/>
          </w:tcPr>
          <w:p w14:paraId="26AA64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2</w:t>
            </w:r>
          </w:p>
        </w:tc>
        <w:tc>
          <w:tcPr>
            <w:tcW w:w="449" w:type="pct"/>
            <w:tcBorders>
              <w:top w:val="nil"/>
              <w:left w:val="nil"/>
              <w:bottom w:val="single" w:color="auto" w:sz="4" w:space="0"/>
              <w:right w:val="single" w:color="auto" w:sz="4" w:space="0"/>
            </w:tcBorders>
            <w:noWrap/>
            <w:vAlign w:val="center"/>
          </w:tcPr>
          <w:p w14:paraId="71DC01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2</w:t>
            </w:r>
          </w:p>
        </w:tc>
      </w:tr>
      <w:tr w14:paraId="1953ABB3">
        <w:tblPrEx>
          <w:tblCellMar>
            <w:top w:w="0" w:type="dxa"/>
            <w:left w:w="108" w:type="dxa"/>
            <w:bottom w:w="0" w:type="dxa"/>
            <w:right w:w="108" w:type="dxa"/>
          </w:tblCellMar>
        </w:tblPrEx>
        <w:trPr>
          <w:trHeight w:val="281" w:hRule="atLeast"/>
        </w:trPr>
        <w:tc>
          <w:tcPr>
            <w:tcW w:w="788" w:type="pct"/>
            <w:vMerge w:val="continue"/>
            <w:tcBorders>
              <w:top w:val="nil"/>
              <w:left w:val="single" w:color="auto" w:sz="4" w:space="0"/>
              <w:bottom w:val="single" w:color="auto" w:sz="4" w:space="0"/>
              <w:right w:val="single" w:color="auto" w:sz="4" w:space="0"/>
            </w:tcBorders>
            <w:vAlign w:val="center"/>
          </w:tcPr>
          <w:p w14:paraId="1A5911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751" w:type="pct"/>
            <w:vMerge w:val="restart"/>
            <w:tcBorders>
              <w:top w:val="nil"/>
              <w:left w:val="single" w:color="auto" w:sz="4" w:space="0"/>
              <w:bottom w:val="single" w:color="auto" w:sz="4" w:space="0"/>
              <w:right w:val="single" w:color="auto" w:sz="4" w:space="0"/>
            </w:tcBorders>
            <w:vAlign w:val="center"/>
          </w:tcPr>
          <w:p w14:paraId="65F653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资金管理</w:t>
            </w:r>
          </w:p>
        </w:tc>
        <w:tc>
          <w:tcPr>
            <w:tcW w:w="2561" w:type="pct"/>
            <w:tcBorders>
              <w:top w:val="nil"/>
              <w:left w:val="nil"/>
              <w:bottom w:val="single" w:color="auto" w:sz="4" w:space="0"/>
              <w:right w:val="single" w:color="auto" w:sz="4" w:space="0"/>
            </w:tcBorders>
            <w:noWrap/>
            <w:vAlign w:val="center"/>
          </w:tcPr>
          <w:p w14:paraId="35E005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支出预算执行率</w:t>
            </w:r>
          </w:p>
        </w:tc>
        <w:tc>
          <w:tcPr>
            <w:tcW w:w="449" w:type="pct"/>
            <w:tcBorders>
              <w:top w:val="nil"/>
              <w:left w:val="nil"/>
              <w:bottom w:val="single" w:color="auto" w:sz="4" w:space="0"/>
              <w:right w:val="single" w:color="auto" w:sz="4" w:space="0"/>
            </w:tcBorders>
            <w:noWrap/>
            <w:vAlign w:val="center"/>
          </w:tcPr>
          <w:p w14:paraId="6E36A0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4</w:t>
            </w:r>
          </w:p>
        </w:tc>
        <w:tc>
          <w:tcPr>
            <w:tcW w:w="449" w:type="pct"/>
            <w:tcBorders>
              <w:top w:val="nil"/>
              <w:left w:val="nil"/>
              <w:bottom w:val="single" w:color="auto" w:sz="4" w:space="0"/>
              <w:right w:val="single" w:color="auto" w:sz="4" w:space="0"/>
            </w:tcBorders>
            <w:noWrap/>
            <w:vAlign w:val="center"/>
          </w:tcPr>
          <w:p w14:paraId="40C67A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4</w:t>
            </w:r>
          </w:p>
        </w:tc>
      </w:tr>
      <w:tr w14:paraId="270D034C">
        <w:tblPrEx>
          <w:tblCellMar>
            <w:top w:w="0" w:type="dxa"/>
            <w:left w:w="108" w:type="dxa"/>
            <w:bottom w:w="0" w:type="dxa"/>
            <w:right w:w="108" w:type="dxa"/>
          </w:tblCellMar>
        </w:tblPrEx>
        <w:trPr>
          <w:trHeight w:val="300" w:hRule="atLeast"/>
        </w:trPr>
        <w:tc>
          <w:tcPr>
            <w:tcW w:w="788" w:type="pct"/>
            <w:vMerge w:val="continue"/>
            <w:tcBorders>
              <w:top w:val="nil"/>
              <w:left w:val="single" w:color="auto" w:sz="4" w:space="0"/>
              <w:bottom w:val="single" w:color="auto" w:sz="4" w:space="0"/>
              <w:right w:val="single" w:color="auto" w:sz="4" w:space="0"/>
            </w:tcBorders>
            <w:vAlign w:val="center"/>
          </w:tcPr>
          <w:p w14:paraId="39EEAE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751" w:type="pct"/>
            <w:vMerge w:val="continue"/>
            <w:tcBorders>
              <w:top w:val="nil"/>
              <w:left w:val="single" w:color="auto" w:sz="4" w:space="0"/>
              <w:bottom w:val="single" w:color="auto" w:sz="4" w:space="0"/>
              <w:right w:val="single" w:color="auto" w:sz="4" w:space="0"/>
            </w:tcBorders>
            <w:vAlign w:val="center"/>
          </w:tcPr>
          <w:p w14:paraId="14A6282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61" w:type="pct"/>
            <w:tcBorders>
              <w:top w:val="nil"/>
              <w:left w:val="nil"/>
              <w:bottom w:val="single" w:color="auto" w:sz="4" w:space="0"/>
              <w:right w:val="single" w:color="auto" w:sz="4" w:space="0"/>
            </w:tcBorders>
            <w:noWrap/>
            <w:vAlign w:val="center"/>
          </w:tcPr>
          <w:p w14:paraId="455EF5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预算调整率</w:t>
            </w:r>
          </w:p>
        </w:tc>
        <w:tc>
          <w:tcPr>
            <w:tcW w:w="449" w:type="pct"/>
            <w:tcBorders>
              <w:top w:val="nil"/>
              <w:left w:val="nil"/>
              <w:bottom w:val="single" w:color="auto" w:sz="4" w:space="0"/>
              <w:right w:val="single" w:color="auto" w:sz="4" w:space="0"/>
            </w:tcBorders>
            <w:noWrap/>
            <w:vAlign w:val="center"/>
          </w:tcPr>
          <w:p w14:paraId="66EF87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2</w:t>
            </w:r>
          </w:p>
        </w:tc>
        <w:tc>
          <w:tcPr>
            <w:tcW w:w="449" w:type="pct"/>
            <w:tcBorders>
              <w:top w:val="nil"/>
              <w:left w:val="nil"/>
              <w:bottom w:val="single" w:color="auto" w:sz="4" w:space="0"/>
              <w:right w:val="single" w:color="auto" w:sz="4" w:space="0"/>
            </w:tcBorders>
            <w:noWrap/>
            <w:vAlign w:val="center"/>
          </w:tcPr>
          <w:p w14:paraId="0E2470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2</w:t>
            </w:r>
          </w:p>
        </w:tc>
      </w:tr>
      <w:tr w14:paraId="4F99CEC0">
        <w:tblPrEx>
          <w:tblCellMar>
            <w:top w:w="0" w:type="dxa"/>
            <w:left w:w="108" w:type="dxa"/>
            <w:bottom w:w="0" w:type="dxa"/>
            <w:right w:w="108" w:type="dxa"/>
          </w:tblCellMar>
        </w:tblPrEx>
        <w:trPr>
          <w:trHeight w:val="300" w:hRule="atLeast"/>
        </w:trPr>
        <w:tc>
          <w:tcPr>
            <w:tcW w:w="788" w:type="pct"/>
            <w:vMerge w:val="continue"/>
            <w:tcBorders>
              <w:top w:val="nil"/>
              <w:left w:val="single" w:color="auto" w:sz="4" w:space="0"/>
              <w:bottom w:val="single" w:color="auto" w:sz="4" w:space="0"/>
              <w:right w:val="single" w:color="auto" w:sz="4" w:space="0"/>
            </w:tcBorders>
            <w:vAlign w:val="center"/>
          </w:tcPr>
          <w:p w14:paraId="394454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751" w:type="pct"/>
            <w:vMerge w:val="continue"/>
            <w:tcBorders>
              <w:top w:val="nil"/>
              <w:left w:val="single" w:color="auto" w:sz="4" w:space="0"/>
              <w:bottom w:val="single" w:color="auto" w:sz="4" w:space="0"/>
              <w:right w:val="single" w:color="auto" w:sz="4" w:space="0"/>
            </w:tcBorders>
            <w:vAlign w:val="center"/>
          </w:tcPr>
          <w:p w14:paraId="0D5FF1D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61" w:type="pct"/>
            <w:tcBorders>
              <w:top w:val="nil"/>
              <w:left w:val="nil"/>
              <w:bottom w:val="single" w:color="auto" w:sz="4" w:space="0"/>
              <w:right w:val="single" w:color="auto" w:sz="4" w:space="0"/>
            </w:tcBorders>
            <w:noWrap/>
            <w:vAlign w:val="center"/>
          </w:tcPr>
          <w:p w14:paraId="34CD84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结转结余率</w:t>
            </w:r>
          </w:p>
        </w:tc>
        <w:tc>
          <w:tcPr>
            <w:tcW w:w="449" w:type="pct"/>
            <w:tcBorders>
              <w:top w:val="nil"/>
              <w:left w:val="nil"/>
              <w:bottom w:val="single" w:color="auto" w:sz="4" w:space="0"/>
              <w:right w:val="single" w:color="auto" w:sz="4" w:space="0"/>
            </w:tcBorders>
            <w:noWrap/>
            <w:vAlign w:val="center"/>
          </w:tcPr>
          <w:p w14:paraId="4B60C9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2</w:t>
            </w:r>
          </w:p>
        </w:tc>
        <w:tc>
          <w:tcPr>
            <w:tcW w:w="449" w:type="pct"/>
            <w:tcBorders>
              <w:top w:val="nil"/>
              <w:left w:val="nil"/>
              <w:bottom w:val="single" w:color="auto" w:sz="4" w:space="0"/>
              <w:right w:val="single" w:color="auto" w:sz="4" w:space="0"/>
            </w:tcBorders>
            <w:noWrap/>
            <w:vAlign w:val="center"/>
          </w:tcPr>
          <w:p w14:paraId="5B14FF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2</w:t>
            </w:r>
          </w:p>
        </w:tc>
      </w:tr>
      <w:tr w14:paraId="06B5AD06">
        <w:tblPrEx>
          <w:tblCellMar>
            <w:top w:w="0" w:type="dxa"/>
            <w:left w:w="108" w:type="dxa"/>
            <w:bottom w:w="0" w:type="dxa"/>
            <w:right w:w="108" w:type="dxa"/>
          </w:tblCellMar>
        </w:tblPrEx>
        <w:trPr>
          <w:trHeight w:val="257" w:hRule="atLeast"/>
        </w:trPr>
        <w:tc>
          <w:tcPr>
            <w:tcW w:w="788" w:type="pct"/>
            <w:vMerge w:val="continue"/>
            <w:tcBorders>
              <w:top w:val="nil"/>
              <w:left w:val="single" w:color="auto" w:sz="4" w:space="0"/>
              <w:bottom w:val="single" w:color="auto" w:sz="4" w:space="0"/>
              <w:right w:val="single" w:color="auto" w:sz="4" w:space="0"/>
            </w:tcBorders>
            <w:vAlign w:val="center"/>
          </w:tcPr>
          <w:p w14:paraId="5A9D77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751" w:type="pct"/>
            <w:vMerge w:val="continue"/>
            <w:tcBorders>
              <w:top w:val="nil"/>
              <w:left w:val="single" w:color="auto" w:sz="4" w:space="0"/>
              <w:bottom w:val="single" w:color="auto" w:sz="4" w:space="0"/>
              <w:right w:val="single" w:color="auto" w:sz="4" w:space="0"/>
            </w:tcBorders>
            <w:vAlign w:val="center"/>
          </w:tcPr>
          <w:p w14:paraId="65EB911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61" w:type="pct"/>
            <w:tcBorders>
              <w:top w:val="nil"/>
              <w:left w:val="nil"/>
              <w:bottom w:val="single" w:color="auto" w:sz="4" w:space="0"/>
              <w:right w:val="single" w:color="auto" w:sz="4" w:space="0"/>
            </w:tcBorders>
            <w:noWrap/>
            <w:vAlign w:val="center"/>
          </w:tcPr>
          <w:p w14:paraId="192937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结转结余变动率</w:t>
            </w:r>
          </w:p>
        </w:tc>
        <w:tc>
          <w:tcPr>
            <w:tcW w:w="449" w:type="pct"/>
            <w:tcBorders>
              <w:top w:val="nil"/>
              <w:left w:val="nil"/>
              <w:bottom w:val="single" w:color="auto" w:sz="4" w:space="0"/>
              <w:right w:val="single" w:color="auto" w:sz="4" w:space="0"/>
            </w:tcBorders>
            <w:noWrap/>
            <w:vAlign w:val="center"/>
          </w:tcPr>
          <w:p w14:paraId="5D3D73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1</w:t>
            </w:r>
          </w:p>
        </w:tc>
        <w:tc>
          <w:tcPr>
            <w:tcW w:w="449" w:type="pct"/>
            <w:tcBorders>
              <w:top w:val="nil"/>
              <w:left w:val="nil"/>
              <w:bottom w:val="single" w:color="auto" w:sz="4" w:space="0"/>
              <w:right w:val="single" w:color="auto" w:sz="4" w:space="0"/>
            </w:tcBorders>
            <w:noWrap/>
            <w:vAlign w:val="center"/>
          </w:tcPr>
          <w:p w14:paraId="19810B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等线"/>
                <w:bCs/>
                <w:kern w:val="0"/>
                <w:sz w:val="22"/>
              </w:rPr>
            </w:pPr>
            <w:r>
              <w:rPr>
                <w:rFonts w:hint="eastAsia" w:eastAsia="等线"/>
                <w:bCs/>
                <w:kern w:val="0"/>
                <w:sz w:val="22"/>
              </w:rPr>
              <w:t>1</w:t>
            </w:r>
          </w:p>
        </w:tc>
      </w:tr>
      <w:tr w14:paraId="6EC4C686">
        <w:tblPrEx>
          <w:tblCellMar>
            <w:top w:w="0" w:type="dxa"/>
            <w:left w:w="108" w:type="dxa"/>
            <w:bottom w:w="0" w:type="dxa"/>
            <w:right w:w="108" w:type="dxa"/>
          </w:tblCellMar>
        </w:tblPrEx>
        <w:trPr>
          <w:trHeight w:val="300" w:hRule="atLeast"/>
        </w:trPr>
        <w:tc>
          <w:tcPr>
            <w:tcW w:w="788" w:type="pct"/>
            <w:vMerge w:val="continue"/>
            <w:tcBorders>
              <w:top w:val="nil"/>
              <w:left w:val="single" w:color="auto" w:sz="4" w:space="0"/>
              <w:bottom w:val="single" w:color="auto" w:sz="4" w:space="0"/>
              <w:right w:val="single" w:color="auto" w:sz="4" w:space="0"/>
            </w:tcBorders>
            <w:vAlign w:val="center"/>
          </w:tcPr>
          <w:p w14:paraId="02BB76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751" w:type="pct"/>
            <w:vMerge w:val="continue"/>
            <w:tcBorders>
              <w:top w:val="nil"/>
              <w:left w:val="single" w:color="auto" w:sz="4" w:space="0"/>
              <w:bottom w:val="single" w:color="auto" w:sz="4" w:space="0"/>
              <w:right w:val="single" w:color="auto" w:sz="4" w:space="0"/>
            </w:tcBorders>
            <w:vAlign w:val="center"/>
          </w:tcPr>
          <w:p w14:paraId="6CCE41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61" w:type="pct"/>
            <w:tcBorders>
              <w:top w:val="nil"/>
              <w:left w:val="nil"/>
              <w:bottom w:val="single" w:color="auto" w:sz="4" w:space="0"/>
              <w:right w:val="single" w:color="auto" w:sz="4" w:space="0"/>
            </w:tcBorders>
            <w:noWrap/>
            <w:vAlign w:val="center"/>
          </w:tcPr>
          <w:p w14:paraId="3FAD2E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政府</w:t>
            </w:r>
            <w:r>
              <w:rPr>
                <w:rFonts w:hint="eastAsia" w:eastAsia="仿宋_GB2312"/>
                <w:bCs/>
                <w:kern w:val="0"/>
                <w:sz w:val="22"/>
              </w:rPr>
              <w:t>采购招投标信息公开及时完备率</w:t>
            </w:r>
          </w:p>
        </w:tc>
        <w:tc>
          <w:tcPr>
            <w:tcW w:w="449" w:type="pct"/>
            <w:tcBorders>
              <w:top w:val="nil"/>
              <w:left w:val="nil"/>
              <w:bottom w:val="single" w:color="auto" w:sz="4" w:space="0"/>
              <w:right w:val="single" w:color="auto" w:sz="4" w:space="0"/>
            </w:tcBorders>
            <w:noWrap/>
            <w:vAlign w:val="center"/>
          </w:tcPr>
          <w:p w14:paraId="71DFAB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2</w:t>
            </w:r>
          </w:p>
        </w:tc>
        <w:tc>
          <w:tcPr>
            <w:tcW w:w="449" w:type="pct"/>
            <w:tcBorders>
              <w:top w:val="nil"/>
              <w:left w:val="nil"/>
              <w:bottom w:val="single" w:color="auto" w:sz="4" w:space="0"/>
              <w:right w:val="single" w:color="auto" w:sz="4" w:space="0"/>
            </w:tcBorders>
            <w:noWrap/>
            <w:vAlign w:val="center"/>
          </w:tcPr>
          <w:p w14:paraId="2CC3CE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2</w:t>
            </w:r>
          </w:p>
        </w:tc>
      </w:tr>
      <w:tr w14:paraId="4A15E12F">
        <w:tblPrEx>
          <w:tblCellMar>
            <w:top w:w="0" w:type="dxa"/>
            <w:left w:w="108" w:type="dxa"/>
            <w:bottom w:w="0" w:type="dxa"/>
            <w:right w:w="108" w:type="dxa"/>
          </w:tblCellMar>
        </w:tblPrEx>
        <w:trPr>
          <w:trHeight w:val="300" w:hRule="atLeast"/>
        </w:trPr>
        <w:tc>
          <w:tcPr>
            <w:tcW w:w="788" w:type="pct"/>
            <w:vMerge w:val="continue"/>
            <w:tcBorders>
              <w:top w:val="nil"/>
              <w:left w:val="single" w:color="auto" w:sz="4" w:space="0"/>
              <w:bottom w:val="single" w:color="auto" w:sz="4" w:space="0"/>
              <w:right w:val="single" w:color="auto" w:sz="4" w:space="0"/>
            </w:tcBorders>
            <w:vAlign w:val="center"/>
          </w:tcPr>
          <w:p w14:paraId="0E0101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751" w:type="pct"/>
            <w:vMerge w:val="continue"/>
            <w:tcBorders>
              <w:top w:val="nil"/>
              <w:left w:val="single" w:color="auto" w:sz="4" w:space="0"/>
              <w:bottom w:val="single" w:color="auto" w:sz="4" w:space="0"/>
              <w:right w:val="single" w:color="auto" w:sz="4" w:space="0"/>
            </w:tcBorders>
            <w:noWrap/>
            <w:vAlign w:val="center"/>
          </w:tcPr>
          <w:p w14:paraId="57B30B9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61" w:type="pct"/>
            <w:tcBorders>
              <w:top w:val="nil"/>
              <w:left w:val="nil"/>
              <w:bottom w:val="single" w:color="auto" w:sz="4" w:space="0"/>
              <w:right w:val="single" w:color="auto" w:sz="4" w:space="0"/>
            </w:tcBorders>
            <w:noWrap/>
            <w:vAlign w:val="center"/>
          </w:tcPr>
          <w:p w14:paraId="0AD109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财务制度健全性</w:t>
            </w:r>
          </w:p>
        </w:tc>
        <w:tc>
          <w:tcPr>
            <w:tcW w:w="449" w:type="pct"/>
            <w:tcBorders>
              <w:top w:val="nil"/>
              <w:left w:val="nil"/>
              <w:bottom w:val="single" w:color="auto" w:sz="4" w:space="0"/>
              <w:right w:val="single" w:color="auto" w:sz="4" w:space="0"/>
            </w:tcBorders>
            <w:noWrap/>
            <w:vAlign w:val="center"/>
          </w:tcPr>
          <w:p w14:paraId="10659B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3</w:t>
            </w:r>
          </w:p>
        </w:tc>
        <w:tc>
          <w:tcPr>
            <w:tcW w:w="449" w:type="pct"/>
            <w:tcBorders>
              <w:top w:val="nil"/>
              <w:left w:val="nil"/>
              <w:bottom w:val="single" w:color="auto" w:sz="4" w:space="0"/>
              <w:right w:val="single" w:color="auto" w:sz="4" w:space="0"/>
            </w:tcBorders>
            <w:noWrap/>
            <w:vAlign w:val="center"/>
          </w:tcPr>
          <w:p w14:paraId="24FE47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3</w:t>
            </w:r>
          </w:p>
        </w:tc>
      </w:tr>
      <w:tr w14:paraId="2CF334E7">
        <w:tblPrEx>
          <w:tblCellMar>
            <w:top w:w="0" w:type="dxa"/>
            <w:left w:w="108" w:type="dxa"/>
            <w:bottom w:w="0" w:type="dxa"/>
            <w:right w:w="108" w:type="dxa"/>
          </w:tblCellMar>
        </w:tblPrEx>
        <w:trPr>
          <w:trHeight w:val="300" w:hRule="atLeast"/>
        </w:trPr>
        <w:tc>
          <w:tcPr>
            <w:tcW w:w="788" w:type="pct"/>
            <w:vMerge w:val="continue"/>
            <w:tcBorders>
              <w:top w:val="nil"/>
              <w:left w:val="single" w:color="auto" w:sz="4" w:space="0"/>
              <w:bottom w:val="single" w:color="auto" w:sz="4" w:space="0"/>
              <w:right w:val="single" w:color="auto" w:sz="4" w:space="0"/>
            </w:tcBorders>
            <w:vAlign w:val="center"/>
          </w:tcPr>
          <w:p w14:paraId="446CB4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751" w:type="pct"/>
            <w:vMerge w:val="continue"/>
            <w:tcBorders>
              <w:top w:val="nil"/>
              <w:left w:val="single" w:color="auto" w:sz="4" w:space="0"/>
              <w:bottom w:val="single" w:color="auto" w:sz="4" w:space="0"/>
              <w:right w:val="single" w:color="auto" w:sz="4" w:space="0"/>
            </w:tcBorders>
            <w:vAlign w:val="center"/>
          </w:tcPr>
          <w:p w14:paraId="1946E0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61" w:type="pct"/>
            <w:tcBorders>
              <w:top w:val="nil"/>
              <w:left w:val="nil"/>
              <w:bottom w:val="single" w:color="auto" w:sz="4" w:space="0"/>
              <w:right w:val="single" w:color="auto" w:sz="4" w:space="0"/>
            </w:tcBorders>
            <w:noWrap/>
            <w:vAlign w:val="center"/>
          </w:tcPr>
          <w:p w14:paraId="4F15F3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资金使用合规性</w:t>
            </w:r>
          </w:p>
        </w:tc>
        <w:tc>
          <w:tcPr>
            <w:tcW w:w="449" w:type="pct"/>
            <w:tcBorders>
              <w:top w:val="nil"/>
              <w:left w:val="nil"/>
              <w:bottom w:val="single" w:color="auto" w:sz="4" w:space="0"/>
              <w:right w:val="single" w:color="auto" w:sz="4" w:space="0"/>
            </w:tcBorders>
            <w:noWrap/>
            <w:vAlign w:val="center"/>
          </w:tcPr>
          <w:p w14:paraId="181956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3</w:t>
            </w:r>
          </w:p>
        </w:tc>
        <w:tc>
          <w:tcPr>
            <w:tcW w:w="449" w:type="pct"/>
            <w:tcBorders>
              <w:top w:val="nil"/>
              <w:left w:val="nil"/>
              <w:bottom w:val="single" w:color="auto" w:sz="4" w:space="0"/>
              <w:right w:val="single" w:color="auto" w:sz="4" w:space="0"/>
            </w:tcBorders>
            <w:noWrap/>
            <w:vAlign w:val="center"/>
          </w:tcPr>
          <w:p w14:paraId="1F1613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3</w:t>
            </w:r>
          </w:p>
        </w:tc>
      </w:tr>
      <w:tr w14:paraId="2018E845">
        <w:tblPrEx>
          <w:tblCellMar>
            <w:top w:w="0" w:type="dxa"/>
            <w:left w:w="108" w:type="dxa"/>
            <w:bottom w:w="0" w:type="dxa"/>
            <w:right w:w="108" w:type="dxa"/>
          </w:tblCellMar>
        </w:tblPrEx>
        <w:trPr>
          <w:trHeight w:val="300" w:hRule="atLeast"/>
        </w:trPr>
        <w:tc>
          <w:tcPr>
            <w:tcW w:w="788" w:type="pct"/>
            <w:vMerge w:val="continue"/>
            <w:tcBorders>
              <w:top w:val="nil"/>
              <w:left w:val="single" w:color="auto" w:sz="4" w:space="0"/>
              <w:bottom w:val="single" w:color="auto" w:sz="4" w:space="0"/>
              <w:right w:val="single" w:color="auto" w:sz="4" w:space="0"/>
            </w:tcBorders>
            <w:vAlign w:val="center"/>
          </w:tcPr>
          <w:p w14:paraId="09415D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751" w:type="pct"/>
            <w:vMerge w:val="restart"/>
            <w:tcBorders>
              <w:top w:val="nil"/>
              <w:left w:val="single" w:color="auto" w:sz="4" w:space="0"/>
              <w:bottom w:val="single" w:color="auto" w:sz="4" w:space="0"/>
              <w:right w:val="single" w:color="auto" w:sz="4" w:space="0"/>
            </w:tcBorders>
            <w:noWrap/>
            <w:vAlign w:val="center"/>
          </w:tcPr>
          <w:p w14:paraId="2BB1CF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项目管理</w:t>
            </w:r>
          </w:p>
        </w:tc>
        <w:tc>
          <w:tcPr>
            <w:tcW w:w="2561" w:type="pct"/>
            <w:tcBorders>
              <w:top w:val="nil"/>
              <w:left w:val="nil"/>
              <w:bottom w:val="single" w:color="auto" w:sz="4" w:space="0"/>
              <w:right w:val="single" w:color="auto" w:sz="4" w:space="0"/>
            </w:tcBorders>
            <w:noWrap/>
            <w:vAlign w:val="center"/>
          </w:tcPr>
          <w:p w14:paraId="5F8229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项目质量达标率</w:t>
            </w:r>
          </w:p>
        </w:tc>
        <w:tc>
          <w:tcPr>
            <w:tcW w:w="449" w:type="pct"/>
            <w:tcBorders>
              <w:top w:val="nil"/>
              <w:left w:val="nil"/>
              <w:bottom w:val="single" w:color="auto" w:sz="4" w:space="0"/>
              <w:right w:val="single" w:color="auto" w:sz="4" w:space="0"/>
            </w:tcBorders>
            <w:noWrap/>
            <w:vAlign w:val="center"/>
          </w:tcPr>
          <w:p w14:paraId="1F7D6B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3</w:t>
            </w:r>
          </w:p>
        </w:tc>
        <w:tc>
          <w:tcPr>
            <w:tcW w:w="449" w:type="pct"/>
            <w:tcBorders>
              <w:top w:val="nil"/>
              <w:left w:val="nil"/>
              <w:bottom w:val="single" w:color="auto" w:sz="4" w:space="0"/>
              <w:right w:val="single" w:color="auto" w:sz="4" w:space="0"/>
            </w:tcBorders>
            <w:noWrap/>
            <w:vAlign w:val="center"/>
          </w:tcPr>
          <w:p w14:paraId="29904E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3</w:t>
            </w:r>
          </w:p>
        </w:tc>
      </w:tr>
      <w:tr w14:paraId="47D3DD99">
        <w:tblPrEx>
          <w:tblCellMar>
            <w:top w:w="0" w:type="dxa"/>
            <w:left w:w="108" w:type="dxa"/>
            <w:bottom w:w="0" w:type="dxa"/>
            <w:right w:w="108" w:type="dxa"/>
          </w:tblCellMar>
        </w:tblPrEx>
        <w:trPr>
          <w:trHeight w:val="300" w:hRule="atLeast"/>
        </w:trPr>
        <w:tc>
          <w:tcPr>
            <w:tcW w:w="788" w:type="pct"/>
            <w:vMerge w:val="continue"/>
            <w:tcBorders>
              <w:top w:val="nil"/>
              <w:left w:val="single" w:color="auto" w:sz="4" w:space="0"/>
              <w:bottom w:val="single" w:color="auto" w:sz="4" w:space="0"/>
              <w:right w:val="single" w:color="auto" w:sz="4" w:space="0"/>
            </w:tcBorders>
            <w:vAlign w:val="center"/>
          </w:tcPr>
          <w:p w14:paraId="769362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751" w:type="pct"/>
            <w:vMerge w:val="continue"/>
            <w:tcBorders>
              <w:top w:val="nil"/>
              <w:left w:val="single" w:color="auto" w:sz="4" w:space="0"/>
              <w:bottom w:val="single" w:color="auto" w:sz="4" w:space="0"/>
              <w:right w:val="single" w:color="auto" w:sz="4" w:space="0"/>
            </w:tcBorders>
            <w:vAlign w:val="center"/>
          </w:tcPr>
          <w:p w14:paraId="0F2575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61" w:type="pct"/>
            <w:tcBorders>
              <w:top w:val="nil"/>
              <w:left w:val="nil"/>
              <w:bottom w:val="single" w:color="auto" w:sz="4" w:space="0"/>
              <w:right w:val="single" w:color="auto" w:sz="4" w:space="0"/>
            </w:tcBorders>
            <w:noWrap/>
            <w:vAlign w:val="center"/>
          </w:tcPr>
          <w:p w14:paraId="2B159A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项目支出预算调整率</w:t>
            </w:r>
          </w:p>
        </w:tc>
        <w:tc>
          <w:tcPr>
            <w:tcW w:w="449" w:type="pct"/>
            <w:tcBorders>
              <w:top w:val="nil"/>
              <w:left w:val="nil"/>
              <w:bottom w:val="single" w:color="auto" w:sz="4" w:space="0"/>
              <w:right w:val="single" w:color="auto" w:sz="4" w:space="0"/>
            </w:tcBorders>
            <w:noWrap/>
            <w:vAlign w:val="center"/>
          </w:tcPr>
          <w:p w14:paraId="76D32A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2</w:t>
            </w:r>
          </w:p>
        </w:tc>
        <w:tc>
          <w:tcPr>
            <w:tcW w:w="449" w:type="pct"/>
            <w:tcBorders>
              <w:top w:val="nil"/>
              <w:left w:val="nil"/>
              <w:bottom w:val="single" w:color="auto" w:sz="4" w:space="0"/>
              <w:right w:val="single" w:color="auto" w:sz="4" w:space="0"/>
            </w:tcBorders>
            <w:noWrap/>
            <w:vAlign w:val="center"/>
          </w:tcPr>
          <w:p w14:paraId="1E052E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0</w:t>
            </w:r>
          </w:p>
        </w:tc>
      </w:tr>
      <w:tr w14:paraId="597C6FBE">
        <w:tblPrEx>
          <w:tblCellMar>
            <w:top w:w="0" w:type="dxa"/>
            <w:left w:w="108" w:type="dxa"/>
            <w:bottom w:w="0" w:type="dxa"/>
            <w:right w:w="108" w:type="dxa"/>
          </w:tblCellMar>
        </w:tblPrEx>
        <w:trPr>
          <w:trHeight w:val="300" w:hRule="atLeast"/>
        </w:trPr>
        <w:tc>
          <w:tcPr>
            <w:tcW w:w="788" w:type="pct"/>
            <w:vMerge w:val="continue"/>
            <w:tcBorders>
              <w:top w:val="nil"/>
              <w:left w:val="single" w:color="auto" w:sz="4" w:space="0"/>
              <w:bottom w:val="single" w:color="auto" w:sz="4" w:space="0"/>
              <w:right w:val="single" w:color="auto" w:sz="4" w:space="0"/>
            </w:tcBorders>
            <w:vAlign w:val="center"/>
          </w:tcPr>
          <w:p w14:paraId="25E91F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751" w:type="pct"/>
            <w:vMerge w:val="restart"/>
            <w:tcBorders>
              <w:top w:val="nil"/>
              <w:left w:val="single" w:color="auto" w:sz="4" w:space="0"/>
              <w:bottom w:val="single" w:color="auto" w:sz="4" w:space="0"/>
              <w:right w:val="single" w:color="auto" w:sz="4" w:space="0"/>
            </w:tcBorders>
            <w:noWrap/>
            <w:vAlign w:val="center"/>
          </w:tcPr>
          <w:p w14:paraId="7B5857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制度管理</w:t>
            </w:r>
          </w:p>
        </w:tc>
        <w:tc>
          <w:tcPr>
            <w:tcW w:w="2561" w:type="pct"/>
            <w:tcBorders>
              <w:top w:val="nil"/>
              <w:left w:val="nil"/>
              <w:bottom w:val="single" w:color="auto" w:sz="4" w:space="0"/>
              <w:right w:val="single" w:color="auto" w:sz="4" w:space="0"/>
            </w:tcBorders>
            <w:noWrap/>
            <w:vAlign w:val="center"/>
          </w:tcPr>
          <w:p w14:paraId="0728D6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项目管理制度健全性</w:t>
            </w:r>
          </w:p>
        </w:tc>
        <w:tc>
          <w:tcPr>
            <w:tcW w:w="449" w:type="pct"/>
            <w:tcBorders>
              <w:top w:val="nil"/>
              <w:left w:val="nil"/>
              <w:bottom w:val="single" w:color="auto" w:sz="4" w:space="0"/>
              <w:right w:val="single" w:color="auto" w:sz="4" w:space="0"/>
            </w:tcBorders>
            <w:noWrap/>
            <w:vAlign w:val="center"/>
          </w:tcPr>
          <w:p w14:paraId="44B405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3</w:t>
            </w:r>
          </w:p>
        </w:tc>
        <w:tc>
          <w:tcPr>
            <w:tcW w:w="449" w:type="pct"/>
            <w:tcBorders>
              <w:top w:val="nil"/>
              <w:left w:val="nil"/>
              <w:bottom w:val="single" w:color="auto" w:sz="4" w:space="0"/>
              <w:right w:val="single" w:color="auto" w:sz="4" w:space="0"/>
            </w:tcBorders>
            <w:noWrap/>
            <w:vAlign w:val="center"/>
          </w:tcPr>
          <w:p w14:paraId="493A37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3</w:t>
            </w:r>
          </w:p>
        </w:tc>
      </w:tr>
      <w:tr w14:paraId="653927D3">
        <w:tblPrEx>
          <w:tblCellMar>
            <w:top w:w="0" w:type="dxa"/>
            <w:left w:w="108" w:type="dxa"/>
            <w:bottom w:w="0" w:type="dxa"/>
            <w:right w:w="108" w:type="dxa"/>
          </w:tblCellMar>
        </w:tblPrEx>
        <w:trPr>
          <w:trHeight w:val="300" w:hRule="atLeast"/>
        </w:trPr>
        <w:tc>
          <w:tcPr>
            <w:tcW w:w="788" w:type="pct"/>
            <w:vMerge w:val="continue"/>
            <w:tcBorders>
              <w:top w:val="nil"/>
              <w:left w:val="single" w:color="auto" w:sz="4" w:space="0"/>
              <w:bottom w:val="single" w:color="auto" w:sz="4" w:space="0"/>
              <w:right w:val="single" w:color="auto" w:sz="4" w:space="0"/>
            </w:tcBorders>
            <w:vAlign w:val="center"/>
          </w:tcPr>
          <w:p w14:paraId="15D7C0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751" w:type="pct"/>
            <w:vMerge w:val="continue"/>
            <w:tcBorders>
              <w:top w:val="nil"/>
              <w:left w:val="single" w:color="auto" w:sz="4" w:space="0"/>
              <w:bottom w:val="single" w:color="auto" w:sz="4" w:space="0"/>
              <w:right w:val="single" w:color="auto" w:sz="4" w:space="0"/>
            </w:tcBorders>
            <w:vAlign w:val="center"/>
          </w:tcPr>
          <w:p w14:paraId="1110924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61" w:type="pct"/>
            <w:tcBorders>
              <w:top w:val="nil"/>
              <w:left w:val="nil"/>
              <w:bottom w:val="single" w:color="auto" w:sz="4" w:space="0"/>
              <w:right w:val="single" w:color="auto" w:sz="4" w:space="0"/>
            </w:tcBorders>
            <w:noWrap/>
            <w:vAlign w:val="center"/>
          </w:tcPr>
          <w:p w14:paraId="43C842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项目管理制度执行有效性</w:t>
            </w:r>
          </w:p>
        </w:tc>
        <w:tc>
          <w:tcPr>
            <w:tcW w:w="449" w:type="pct"/>
            <w:tcBorders>
              <w:top w:val="nil"/>
              <w:left w:val="nil"/>
              <w:bottom w:val="single" w:color="auto" w:sz="4" w:space="0"/>
              <w:right w:val="single" w:color="auto" w:sz="4" w:space="0"/>
            </w:tcBorders>
            <w:noWrap/>
            <w:vAlign w:val="center"/>
          </w:tcPr>
          <w:p w14:paraId="74BC3A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3</w:t>
            </w:r>
          </w:p>
        </w:tc>
        <w:tc>
          <w:tcPr>
            <w:tcW w:w="449" w:type="pct"/>
            <w:tcBorders>
              <w:top w:val="nil"/>
              <w:left w:val="nil"/>
              <w:bottom w:val="single" w:color="auto" w:sz="4" w:space="0"/>
              <w:right w:val="single" w:color="auto" w:sz="4" w:space="0"/>
            </w:tcBorders>
            <w:noWrap/>
            <w:vAlign w:val="center"/>
          </w:tcPr>
          <w:p w14:paraId="740E57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3</w:t>
            </w:r>
          </w:p>
        </w:tc>
      </w:tr>
      <w:tr w14:paraId="4D1991BB">
        <w:tblPrEx>
          <w:tblCellMar>
            <w:top w:w="0" w:type="dxa"/>
            <w:left w:w="108" w:type="dxa"/>
            <w:bottom w:w="0" w:type="dxa"/>
            <w:right w:w="108" w:type="dxa"/>
          </w:tblCellMar>
        </w:tblPrEx>
        <w:trPr>
          <w:trHeight w:val="300" w:hRule="atLeast"/>
        </w:trPr>
        <w:tc>
          <w:tcPr>
            <w:tcW w:w="788" w:type="pct"/>
            <w:vMerge w:val="continue"/>
            <w:tcBorders>
              <w:top w:val="nil"/>
              <w:left w:val="single" w:color="auto" w:sz="4" w:space="0"/>
              <w:bottom w:val="single" w:color="auto" w:sz="4" w:space="0"/>
              <w:right w:val="single" w:color="auto" w:sz="4" w:space="0"/>
            </w:tcBorders>
            <w:vAlign w:val="center"/>
          </w:tcPr>
          <w:p w14:paraId="5CB9C2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751" w:type="pct"/>
            <w:vMerge w:val="restart"/>
            <w:tcBorders>
              <w:top w:val="nil"/>
              <w:left w:val="single" w:color="auto" w:sz="4" w:space="0"/>
              <w:bottom w:val="single" w:color="auto" w:sz="4" w:space="0"/>
              <w:right w:val="single" w:color="auto" w:sz="4" w:space="0"/>
            </w:tcBorders>
            <w:noWrap/>
            <w:vAlign w:val="center"/>
          </w:tcPr>
          <w:p w14:paraId="5D6DB4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资产管理</w:t>
            </w:r>
          </w:p>
        </w:tc>
        <w:tc>
          <w:tcPr>
            <w:tcW w:w="2561" w:type="pct"/>
            <w:tcBorders>
              <w:top w:val="nil"/>
              <w:left w:val="nil"/>
              <w:bottom w:val="single" w:color="auto" w:sz="4" w:space="0"/>
              <w:right w:val="single" w:color="auto" w:sz="4" w:space="0"/>
            </w:tcBorders>
            <w:noWrap/>
            <w:vAlign w:val="center"/>
          </w:tcPr>
          <w:p w14:paraId="54B803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资产管理规范性</w:t>
            </w:r>
          </w:p>
        </w:tc>
        <w:tc>
          <w:tcPr>
            <w:tcW w:w="449" w:type="pct"/>
            <w:tcBorders>
              <w:top w:val="nil"/>
              <w:left w:val="nil"/>
              <w:bottom w:val="single" w:color="auto" w:sz="4" w:space="0"/>
              <w:right w:val="single" w:color="auto" w:sz="4" w:space="0"/>
            </w:tcBorders>
            <w:noWrap/>
            <w:vAlign w:val="center"/>
          </w:tcPr>
          <w:p w14:paraId="326431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2</w:t>
            </w:r>
          </w:p>
        </w:tc>
        <w:tc>
          <w:tcPr>
            <w:tcW w:w="449" w:type="pct"/>
            <w:tcBorders>
              <w:top w:val="nil"/>
              <w:left w:val="nil"/>
              <w:bottom w:val="single" w:color="auto" w:sz="4" w:space="0"/>
              <w:right w:val="single" w:color="auto" w:sz="4" w:space="0"/>
            </w:tcBorders>
            <w:noWrap/>
            <w:vAlign w:val="center"/>
          </w:tcPr>
          <w:p w14:paraId="48C874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2</w:t>
            </w:r>
          </w:p>
        </w:tc>
      </w:tr>
      <w:tr w14:paraId="5CE2128B">
        <w:tblPrEx>
          <w:tblCellMar>
            <w:top w:w="0" w:type="dxa"/>
            <w:left w:w="108" w:type="dxa"/>
            <w:bottom w:w="0" w:type="dxa"/>
            <w:right w:w="108" w:type="dxa"/>
          </w:tblCellMar>
        </w:tblPrEx>
        <w:trPr>
          <w:trHeight w:val="300" w:hRule="atLeast"/>
        </w:trPr>
        <w:tc>
          <w:tcPr>
            <w:tcW w:w="788" w:type="pct"/>
            <w:vMerge w:val="continue"/>
            <w:tcBorders>
              <w:top w:val="nil"/>
              <w:left w:val="single" w:color="auto" w:sz="4" w:space="0"/>
              <w:bottom w:val="single" w:color="auto" w:sz="4" w:space="0"/>
              <w:right w:val="single" w:color="auto" w:sz="4" w:space="0"/>
            </w:tcBorders>
            <w:vAlign w:val="center"/>
          </w:tcPr>
          <w:p w14:paraId="68F89F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751" w:type="pct"/>
            <w:vMerge w:val="continue"/>
            <w:tcBorders>
              <w:top w:val="nil"/>
              <w:left w:val="single" w:color="auto" w:sz="4" w:space="0"/>
              <w:bottom w:val="single" w:color="auto" w:sz="4" w:space="0"/>
              <w:right w:val="single" w:color="auto" w:sz="4" w:space="0"/>
            </w:tcBorders>
            <w:vAlign w:val="center"/>
          </w:tcPr>
          <w:p w14:paraId="251778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61" w:type="pct"/>
            <w:tcBorders>
              <w:top w:val="nil"/>
              <w:left w:val="nil"/>
              <w:bottom w:val="single" w:color="auto" w:sz="4" w:space="0"/>
              <w:right w:val="single" w:color="auto" w:sz="4" w:space="0"/>
            </w:tcBorders>
            <w:noWrap/>
            <w:vAlign w:val="center"/>
          </w:tcPr>
          <w:p w14:paraId="108052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固定资产利用率</w:t>
            </w:r>
          </w:p>
        </w:tc>
        <w:tc>
          <w:tcPr>
            <w:tcW w:w="449" w:type="pct"/>
            <w:tcBorders>
              <w:top w:val="nil"/>
              <w:left w:val="nil"/>
              <w:bottom w:val="single" w:color="auto" w:sz="4" w:space="0"/>
              <w:right w:val="single" w:color="auto" w:sz="4" w:space="0"/>
            </w:tcBorders>
            <w:noWrap/>
            <w:vAlign w:val="center"/>
          </w:tcPr>
          <w:p w14:paraId="25EC3E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3</w:t>
            </w:r>
          </w:p>
        </w:tc>
        <w:tc>
          <w:tcPr>
            <w:tcW w:w="449" w:type="pct"/>
            <w:tcBorders>
              <w:top w:val="nil"/>
              <w:left w:val="nil"/>
              <w:bottom w:val="single" w:color="auto" w:sz="4" w:space="0"/>
              <w:right w:val="single" w:color="auto" w:sz="4" w:space="0"/>
            </w:tcBorders>
            <w:noWrap/>
            <w:vAlign w:val="center"/>
          </w:tcPr>
          <w:p w14:paraId="733896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3</w:t>
            </w:r>
          </w:p>
        </w:tc>
      </w:tr>
      <w:tr w14:paraId="4E27821C">
        <w:tblPrEx>
          <w:tblCellMar>
            <w:top w:w="0" w:type="dxa"/>
            <w:left w:w="108" w:type="dxa"/>
            <w:bottom w:w="0" w:type="dxa"/>
            <w:right w:w="108" w:type="dxa"/>
          </w:tblCellMar>
        </w:tblPrEx>
        <w:trPr>
          <w:trHeight w:val="300" w:hRule="atLeast"/>
        </w:trPr>
        <w:tc>
          <w:tcPr>
            <w:tcW w:w="4101" w:type="pct"/>
            <w:gridSpan w:val="3"/>
            <w:tcBorders>
              <w:top w:val="single" w:color="auto" w:sz="4" w:space="0"/>
              <w:left w:val="single" w:color="auto" w:sz="4" w:space="0"/>
              <w:bottom w:val="single" w:color="auto" w:sz="4" w:space="0"/>
              <w:right w:val="single" w:color="auto" w:sz="4" w:space="0"/>
            </w:tcBorders>
            <w:vAlign w:val="center"/>
          </w:tcPr>
          <w:p w14:paraId="67EE4E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3C5266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35</w:t>
            </w:r>
          </w:p>
        </w:tc>
        <w:tc>
          <w:tcPr>
            <w:tcW w:w="449" w:type="pct"/>
            <w:tcBorders>
              <w:top w:val="single" w:color="auto" w:sz="4" w:space="0"/>
              <w:left w:val="single" w:color="auto" w:sz="4" w:space="0"/>
              <w:bottom w:val="single" w:color="auto" w:sz="4" w:space="0"/>
              <w:right w:val="single" w:color="auto" w:sz="4" w:space="0"/>
            </w:tcBorders>
            <w:noWrap/>
            <w:vAlign w:val="center"/>
          </w:tcPr>
          <w:p w14:paraId="40245D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等线"/>
                <w:bCs/>
                <w:kern w:val="0"/>
                <w:sz w:val="22"/>
              </w:rPr>
            </w:pPr>
            <w:r>
              <w:rPr>
                <w:rFonts w:hint="eastAsia" w:eastAsia="仿宋_GB2312"/>
                <w:bCs/>
                <w:kern w:val="0"/>
                <w:sz w:val="22"/>
              </w:rPr>
              <w:t>3</w:t>
            </w:r>
            <w:r>
              <w:rPr>
                <w:rFonts w:hint="eastAsia" w:eastAsia="等线"/>
                <w:bCs/>
                <w:kern w:val="0"/>
                <w:sz w:val="22"/>
              </w:rPr>
              <w:t>3</w:t>
            </w:r>
          </w:p>
        </w:tc>
      </w:tr>
    </w:tbl>
    <w:p w14:paraId="5CB7499B">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1.预算管理（分值2分，得分2分）</w:t>
      </w:r>
    </w:p>
    <w:p w14:paraId="7E8FAC8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预算、决算信息公开（分值2分，得分2分）</w:t>
      </w:r>
    </w:p>
    <w:p w14:paraId="68DB96FB">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bookmarkStart w:id="72" w:name="OLE_LINK5"/>
      <w:r>
        <w:rPr>
          <w:rFonts w:hint="eastAsia" w:eastAsia="仿宋_GB2312"/>
          <w:bCs/>
          <w:kern w:val="0"/>
          <w:sz w:val="32"/>
          <w:szCs w:val="32"/>
          <w:lang w:bidi="ar"/>
        </w:rPr>
        <w:t>经查看喀什市人民政府官方网站，喀什市市场监督管理局能够按照政府财政预算管理的要求，将部门预算、“三公”经费等相关信息在喀什市财政门户网站进行公开，接受群众监督，信息公开内容完整、公开信息真实有效。综上所述，该指标分值2分，根据评分标准得2分。</w:t>
      </w:r>
    </w:p>
    <w:bookmarkEnd w:id="72"/>
    <w:p w14:paraId="4B3BFB77">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eastAsia="仿宋_GB2312"/>
          <w:b/>
          <w:kern w:val="0"/>
          <w:sz w:val="32"/>
          <w:szCs w:val="32"/>
          <w:lang w:bidi="ar"/>
        </w:rPr>
        <w:t>2.资金管理（分值</w:t>
      </w:r>
      <w:r>
        <w:rPr>
          <w:rFonts w:hint="eastAsia" w:eastAsia="仿宋_GB2312"/>
          <w:b/>
          <w:kern w:val="0"/>
          <w:sz w:val="32"/>
          <w:szCs w:val="32"/>
          <w:lang w:bidi="ar"/>
        </w:rPr>
        <w:t>17</w:t>
      </w:r>
      <w:r>
        <w:rPr>
          <w:rFonts w:eastAsia="仿宋_GB2312"/>
          <w:b/>
          <w:kern w:val="0"/>
          <w:sz w:val="32"/>
          <w:szCs w:val="32"/>
          <w:lang w:bidi="ar"/>
        </w:rPr>
        <w:t>分，得分</w:t>
      </w:r>
      <w:r>
        <w:rPr>
          <w:rFonts w:hint="eastAsia" w:eastAsia="仿宋_GB2312"/>
          <w:b/>
          <w:kern w:val="0"/>
          <w:sz w:val="32"/>
          <w:szCs w:val="32"/>
          <w:lang w:bidi="ar"/>
        </w:rPr>
        <w:t>17</w:t>
      </w:r>
      <w:r>
        <w:rPr>
          <w:rFonts w:eastAsia="仿宋_GB2312"/>
          <w:b/>
          <w:kern w:val="0"/>
          <w:sz w:val="32"/>
          <w:szCs w:val="32"/>
          <w:lang w:bidi="ar"/>
        </w:rPr>
        <w:t>分）</w:t>
      </w:r>
    </w:p>
    <w:p w14:paraId="572AEDBA">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（1）支出预算执行率（分值4分，得分4分）</w:t>
      </w:r>
    </w:p>
    <w:p w14:paraId="24EEEF2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喀什市市场监督管理局提供的2025年部门决算分析报告及决算报表，年初部门预算批复金额为3375.76万元，调整后全年预算数为3350.24万元。截至2025年12月31日，全年预算执行数3350.24万元，预算执行率100%；其中，人员经费支出3005.1万元，公用经费支出62.88万元，项目支出282.26万元。综上所述，根据评分标准“预算执行率100%，得4分”，该指标不扣分，得4分。</w:t>
      </w:r>
    </w:p>
    <w:p w14:paraId="7D5AA62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（2）预算调整率（分值2分，得分2分）</w:t>
      </w:r>
    </w:p>
    <w:p w14:paraId="19A51C55">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bookmarkStart w:id="73" w:name="OLE_LINK6"/>
      <w:r>
        <w:rPr>
          <w:rFonts w:hint="eastAsia" w:eastAsia="仿宋_GB2312"/>
          <w:bCs/>
          <w:kern w:val="0"/>
          <w:sz w:val="32"/>
          <w:szCs w:val="32"/>
          <w:lang w:bidi="ar"/>
        </w:rPr>
        <w:t>根据喀什市市场监督管理局提供的2025年部门决算分析报告及决算报表，2025年年初部门预算批复金额为3375.76万元，其中，基本支出年初预算3208.25万元，项目支出年初预算167.51万元，年中调整金额为25.52万元，调整后全年预算数为3350.24万元，其中，基本支出全年预算数为3067.98万元，项目支出全年预算数为282.26万元，部门总体预算调整率=（预算调整数/年初预算数）×100%=（25.52万元/3375.76万元）×100%=0.76%。根据评分标准“部门预算总额调整幅度在1%以内，得2分，每增减1%扣0.1分”，部门预算总额调整幅度不扣分，得2分。</w:t>
      </w:r>
    </w:p>
    <w:bookmarkEnd w:id="73"/>
    <w:p w14:paraId="6E3CAD96">
      <w:pPr>
        <w:pStyle w:val="13"/>
        <w:spacing w:after="0" w:line="560" w:lineRule="exact"/>
        <w:ind w:firstLine="640" w:firstLineChars="200"/>
        <w:contextualSpacing/>
        <w:rPr>
          <w:rFonts w:eastAsia="仿宋_GB2312"/>
          <w:bCs/>
          <w:kern w:val="0"/>
          <w:sz w:val="32"/>
          <w:szCs w:val="32"/>
          <w:lang w:bidi="ar"/>
        </w:rPr>
      </w:pPr>
      <w:r>
        <w:rPr>
          <w:rFonts w:hint="eastAsia" w:eastAsia="仿宋_GB2312"/>
          <w:bCs/>
          <w:kern w:val="0"/>
          <w:sz w:val="32"/>
          <w:szCs w:val="32"/>
          <w:lang w:bidi="ar"/>
        </w:rPr>
        <w:t>（3）</w:t>
      </w:r>
      <w:r>
        <w:rPr>
          <w:rFonts w:eastAsia="仿宋_GB2312"/>
          <w:bCs/>
          <w:kern w:val="0"/>
          <w:sz w:val="32"/>
          <w:szCs w:val="32"/>
          <w:lang w:bidi="ar"/>
        </w:rPr>
        <w:t>结转结余率（分值2分，得分2分）</w:t>
      </w:r>
    </w:p>
    <w:p w14:paraId="28DC42F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喀什市市场监督管理局提供的2025年部门决算分析报告及决算报表，喀什市市场监督管理局2025年部门决算收入数为3350.24万元，无年末结转和结余，2025年结转结余率为0%，根据评分标准，该指标不扣分，得2分。</w:t>
      </w:r>
    </w:p>
    <w:p w14:paraId="2502A22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（4）结转结余变动率（分值1分，得分1分）</w:t>
      </w:r>
    </w:p>
    <w:p w14:paraId="71147003">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喀什市市场监督管理局提供的2025年部门决算分析报告及决算报表，喀什市市场监督管理局2025年初结转和结余为7.05万元，年末无结转和结余，结转结余变动率=〔（本年度累计结转结余资金总额-上年度累计结转结余资金总额）/上年度累计结转结余资金总额〕×100%=〔（0万元-7.05万元）/7.05万元〕×100%=-100%，根据评分标准，结转结余变动率指标不扣分，得1分。</w:t>
      </w:r>
    </w:p>
    <w:p w14:paraId="381A10DC">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（5）政府采购招投标信息公开及时完备率（分值2分，得分2分）</w:t>
      </w:r>
    </w:p>
    <w:p w14:paraId="5B05A5CE">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查看喀什市市场监督管理局部门整体相关资料发现，喀什市市场监督管理局严格执行《喀什市市场监督管理局政府采购内控制度》开展政府采购工作，从采购需求的合理性论证、采购预算的严格审核，到采购方式的合规选择、招标过程的全程监督，再到采购物资的验收入库和资金支付，均设定了闭环管理流程，通过明确各环节责任主体，有效防范了采购过程中的暗箱操作和廉政风险，保障了政府采购资金的安全高效使用。综上所述，根据评分标准，该指标不扣分，得2分。</w:t>
      </w:r>
    </w:p>
    <w:p w14:paraId="02B6C08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（6）财务制度健全性（分值3分，得分3分）</w:t>
      </w:r>
    </w:p>
    <w:p w14:paraId="3804DC13">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喀什市市场监督管理局根据《中华人民共和国预算法》《中华人民共和国会计法》《行政单位财务规则》《事业单位财务规则》等有关规定，对货币资金加强管理，统一设立银行存款账户，未经财政主管部门同意不允许单独设立财政监管以外的银行存款账户。同时，制定印发了《喀什市市场监督管理局内部控制评价与监督制度》《喀什市市场监督管理局计财股岗位职责及管理制度》《喀什市市场监督管理局货币资金管理制度》《喀什市市场监督管理局合同拟定与审批制度》等一系列内部管理制度文件，规范和强化财务管理工作，相关管理制度合法、合规、完整，且具备可操作性。综上所述，根据评分标准，该指标不扣分，得3分。</w:t>
      </w:r>
    </w:p>
    <w:p w14:paraId="2D7BA75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（7）资金使用合规性（分值3分，得分3分）</w:t>
      </w:r>
    </w:p>
    <w:p w14:paraId="7BD058D3">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关于下达喀什市2025年度部门预算批复的通知》和2025年部门决算收入支出决算表，结合访谈调研，资金使用符合市监局预算管理办法及财务管理制度，资金的拨付审批程序完整，项目的重大开支经集体决策程序，资金实际用途与预算批复相一致，不存在截留、挤占、挪用、虚列支出的情况。综上所述，根据评分标准，该指标不扣分，得3分。</w:t>
      </w:r>
    </w:p>
    <w:p w14:paraId="02EC7FC8">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hint="eastAsia" w:eastAsia="仿宋_GB2312"/>
          <w:b/>
          <w:kern w:val="0"/>
          <w:sz w:val="32"/>
          <w:szCs w:val="32"/>
          <w:lang w:bidi="ar"/>
        </w:rPr>
        <w:t>3</w:t>
      </w:r>
      <w:r>
        <w:rPr>
          <w:rFonts w:eastAsia="仿宋_GB2312"/>
          <w:b/>
          <w:kern w:val="0"/>
          <w:sz w:val="32"/>
          <w:szCs w:val="32"/>
          <w:lang w:bidi="ar"/>
        </w:rPr>
        <w:t>.项目管理（分值</w:t>
      </w:r>
      <w:r>
        <w:rPr>
          <w:rFonts w:hint="eastAsia" w:eastAsia="仿宋_GB2312"/>
          <w:b/>
          <w:kern w:val="0"/>
          <w:sz w:val="32"/>
          <w:szCs w:val="32"/>
          <w:lang w:bidi="ar"/>
        </w:rPr>
        <w:t>5</w:t>
      </w:r>
      <w:r>
        <w:rPr>
          <w:rFonts w:eastAsia="仿宋_GB2312"/>
          <w:b/>
          <w:kern w:val="0"/>
          <w:sz w:val="32"/>
          <w:szCs w:val="32"/>
          <w:lang w:bidi="ar"/>
        </w:rPr>
        <w:t>分，得分</w:t>
      </w:r>
      <w:r>
        <w:rPr>
          <w:rFonts w:hint="eastAsia" w:eastAsia="仿宋_GB2312"/>
          <w:b/>
          <w:kern w:val="0"/>
          <w:sz w:val="32"/>
          <w:szCs w:val="32"/>
          <w:lang w:val="en-US" w:eastAsia="zh-CN" w:bidi="ar"/>
        </w:rPr>
        <w:t>3</w:t>
      </w:r>
      <w:r>
        <w:rPr>
          <w:rFonts w:eastAsia="仿宋_GB2312"/>
          <w:b/>
          <w:kern w:val="0"/>
          <w:sz w:val="32"/>
          <w:szCs w:val="32"/>
          <w:lang w:bidi="ar"/>
        </w:rPr>
        <w:t>分）</w:t>
      </w:r>
    </w:p>
    <w:p w14:paraId="45EEC923">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（1）项目质量达标率（分值3分，得分3分）</w:t>
      </w:r>
    </w:p>
    <w:p w14:paraId="74A7275E">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线上访谈和查看相关资料，喀什市市场监督管理局2025年全年共实施各类项目11个，涉及总预算资金282.26万元：一是年初预算项目作为主体，共计3个，预算总额为145.29万元，执行率100%；二是年中追加项目共计5个，预算129.92万元，主要为应对上级新部署、新政策或突发应急任务，执行率100%；三是上年结转项目共计3个，预算7.05万元，均为跨年度实施的延续性项目，执行率100%。根据评分标准，喀什市市场监督管理局11个项目的预算执行率均为100%，得1.5分，并且项目数量完成率=（11个/11个）×100%=100%，得1.5分。综上所述，项目质量达标率指标得3分。</w:t>
      </w:r>
    </w:p>
    <w:p w14:paraId="4B9E485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（2）项目支出预算调整率（分值2分，得分0分）</w:t>
      </w:r>
    </w:p>
    <w:p w14:paraId="12493F5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喀什市市场监督管理局提供的2025年部门预决算报告及项目印证资料显示，喀什市市场监督管理局全年共计11个项目，年初项目预算金额为167.51万元，调整金额为114.75万元，调整后项目全年预算数为282.26万元，项目预算调整率=（项目预算调整数/项目年初预算数）×100%=（114.75万元/167.51万元）×100%=68.5%，根据评分标准，“项目支出预算调整率在±10%以内，得2分，每增减1%扣0.1分，扣完为止”，综上所述，项目预算调整率扣2分，该指标不得分。</w:t>
      </w:r>
    </w:p>
    <w:p w14:paraId="1F0FC65F">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hint="eastAsia" w:eastAsia="仿宋_GB2312"/>
          <w:b/>
          <w:kern w:val="0"/>
          <w:sz w:val="32"/>
          <w:szCs w:val="32"/>
          <w:lang w:bidi="ar"/>
        </w:rPr>
        <w:t>4</w:t>
      </w:r>
      <w:r>
        <w:rPr>
          <w:rFonts w:eastAsia="仿宋_GB2312"/>
          <w:b/>
          <w:kern w:val="0"/>
          <w:sz w:val="32"/>
          <w:szCs w:val="32"/>
          <w:lang w:bidi="ar"/>
        </w:rPr>
        <w:t>.制度管理（分值</w:t>
      </w:r>
      <w:r>
        <w:rPr>
          <w:rFonts w:hint="eastAsia" w:eastAsia="仿宋_GB2312"/>
          <w:b/>
          <w:kern w:val="0"/>
          <w:sz w:val="32"/>
          <w:szCs w:val="32"/>
          <w:lang w:bidi="ar"/>
        </w:rPr>
        <w:t>6</w:t>
      </w:r>
      <w:r>
        <w:rPr>
          <w:rFonts w:eastAsia="仿宋_GB2312"/>
          <w:b/>
          <w:kern w:val="0"/>
          <w:sz w:val="32"/>
          <w:szCs w:val="32"/>
          <w:lang w:bidi="ar"/>
        </w:rPr>
        <w:t>分，得分</w:t>
      </w:r>
      <w:r>
        <w:rPr>
          <w:rFonts w:hint="eastAsia" w:eastAsia="仿宋_GB2312"/>
          <w:b/>
          <w:kern w:val="0"/>
          <w:sz w:val="32"/>
          <w:szCs w:val="32"/>
          <w:lang w:bidi="ar"/>
        </w:rPr>
        <w:t>6</w:t>
      </w:r>
      <w:r>
        <w:rPr>
          <w:rFonts w:eastAsia="仿宋_GB2312"/>
          <w:b/>
          <w:kern w:val="0"/>
          <w:sz w:val="32"/>
          <w:szCs w:val="32"/>
          <w:lang w:bidi="ar"/>
        </w:rPr>
        <w:t>分）</w:t>
      </w:r>
    </w:p>
    <w:p w14:paraId="3B39F53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（1）项目管理制度健全性（分值3分，得分3分）</w:t>
      </w:r>
    </w:p>
    <w:p w14:paraId="39811C7E">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喀什市市场监督管理局管理制度健全，内容完整，具体制度为《喀什市市场监督管理局预算绩效管理制度》《喀什市市场监督管理局采购需求管理制度》《喀什市市场监督管理局预算执行与调整制度》《喀什市市场监督管理局财务管理办法》。经查阅分析，以上制度符合单位实际情况，且有针对性。综上所述，根据评分标准，该指标不扣分，得3分。</w:t>
      </w:r>
    </w:p>
    <w:p w14:paraId="292EDBA0">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（2）项目管理制度执行有效性（分值3分，得分3分）</w:t>
      </w:r>
    </w:p>
    <w:p w14:paraId="05AC586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在项目管理制度执行有效性方面，通过查阅项目的实施、资金支出的呈报及审批资料，确定项目执行过程符合相关法律法规和现有相关管理规定，支出手续完备，相关资料齐全、归档及时，项目实施的条件已落实到位。项目实施能够按照管理制度有效执行、管理记录清晰完整。综上所述，根据评分标准，该指标不扣分，得3分。</w:t>
      </w:r>
    </w:p>
    <w:p w14:paraId="3FC821A3">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hint="eastAsia" w:eastAsia="仿宋_GB2312"/>
          <w:b/>
          <w:kern w:val="0"/>
          <w:sz w:val="32"/>
          <w:szCs w:val="32"/>
          <w:lang w:bidi="ar"/>
        </w:rPr>
        <w:t>5</w:t>
      </w:r>
      <w:r>
        <w:rPr>
          <w:rFonts w:eastAsia="仿宋_GB2312"/>
          <w:b/>
          <w:kern w:val="0"/>
          <w:sz w:val="32"/>
          <w:szCs w:val="32"/>
          <w:lang w:bidi="ar"/>
        </w:rPr>
        <w:t>.资产管理（分值</w:t>
      </w:r>
      <w:r>
        <w:rPr>
          <w:rFonts w:hint="eastAsia" w:eastAsia="仿宋_GB2312"/>
          <w:b/>
          <w:kern w:val="0"/>
          <w:sz w:val="32"/>
          <w:szCs w:val="32"/>
          <w:lang w:bidi="ar"/>
        </w:rPr>
        <w:t>5</w:t>
      </w:r>
      <w:r>
        <w:rPr>
          <w:rFonts w:eastAsia="仿宋_GB2312"/>
          <w:b/>
          <w:kern w:val="0"/>
          <w:sz w:val="32"/>
          <w:szCs w:val="32"/>
          <w:lang w:bidi="ar"/>
        </w:rPr>
        <w:t>分，得分</w:t>
      </w:r>
      <w:r>
        <w:rPr>
          <w:rFonts w:hint="eastAsia" w:eastAsia="仿宋_GB2312"/>
          <w:b/>
          <w:kern w:val="0"/>
          <w:sz w:val="32"/>
          <w:szCs w:val="32"/>
          <w:lang w:bidi="ar"/>
        </w:rPr>
        <w:t>5</w:t>
      </w:r>
      <w:r>
        <w:rPr>
          <w:rFonts w:eastAsia="仿宋_GB2312"/>
          <w:b/>
          <w:kern w:val="0"/>
          <w:sz w:val="32"/>
          <w:szCs w:val="32"/>
          <w:lang w:bidi="ar"/>
        </w:rPr>
        <w:t>分）</w:t>
      </w:r>
    </w:p>
    <w:p w14:paraId="7BBF493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（1）资产管理规范性（分值2分，得分2分）</w:t>
      </w:r>
    </w:p>
    <w:p w14:paraId="7468F5D5">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喀什市市场监督管理局已经建立完善的资产管理制度，包括《喀什市市场监督管理局固定资产管理制度》《喀什市市场监督管理局货币资金管理制度》《喀什市市场监督管理局无形资产管理制度》，合理配备并节约、有效使用资产，提高资产使用效率，保障资产的安全和完整。综上所述，根据评分标准，该指标不扣分，得2分。</w:t>
      </w:r>
    </w:p>
    <w:p w14:paraId="79ABDC65">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（2）固定资产利用率（分值3分，得分3分）</w:t>
      </w:r>
    </w:p>
    <w:p w14:paraId="5132FDC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bookmarkStart w:id="74" w:name="OLE_LINK8"/>
      <w:r>
        <w:rPr>
          <w:rFonts w:hint="eastAsia" w:eastAsia="仿宋_GB2312"/>
          <w:bCs/>
          <w:kern w:val="0"/>
          <w:sz w:val="32"/>
          <w:szCs w:val="32"/>
          <w:lang w:bidi="ar"/>
        </w:rPr>
        <w:t>经查看《2025年度行政事业性国有资产报表》，固定资产期末净值为171.87万元，在用固定资产净值为171.87万元，固定资产利用率为100.00%。经实地调研，对资产进行抽查，未发现资产闲置情况。综上所述，根据评分标准，该指标不扣分，得3分。</w:t>
      </w:r>
    </w:p>
    <w:bookmarkEnd w:id="74"/>
    <w:p w14:paraId="2C3FD66D">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75" w:name="_Toc18301"/>
      <w:bookmarkStart w:id="76" w:name="_Toc5163"/>
      <w:r>
        <w:rPr>
          <w:rFonts w:ascii="Times New Roman" w:hAnsi="Times New Roman" w:cs="Times New Roman"/>
        </w:rPr>
        <w:t>（三）部门绩效情况（分值50分，得分48.83分）</w:t>
      </w:r>
      <w:bookmarkEnd w:id="75"/>
      <w:bookmarkEnd w:id="76"/>
    </w:p>
    <w:p w14:paraId="2811E07A">
      <w:pPr>
        <w:snapToGrid w:val="0"/>
        <w:spacing w:line="560" w:lineRule="exact"/>
        <w:jc w:val="center"/>
        <w:rPr>
          <w:rFonts w:eastAsia="仿宋_GB2312"/>
          <w:b/>
          <w:bCs/>
          <w:sz w:val="24"/>
          <w:szCs w:val="24"/>
        </w:rPr>
      </w:pPr>
      <w:r>
        <w:rPr>
          <w:rFonts w:hint="eastAsia" w:eastAsia="仿宋_GB2312"/>
          <w:b/>
          <w:bCs/>
          <w:sz w:val="24"/>
          <w:szCs w:val="24"/>
        </w:rPr>
        <w:t xml:space="preserve">表4-3 </w:t>
      </w:r>
      <w:r>
        <w:rPr>
          <w:rFonts w:eastAsia="仿宋_GB2312"/>
          <w:b/>
          <w:bCs/>
          <w:sz w:val="24"/>
          <w:szCs w:val="24"/>
        </w:rPr>
        <w:t>部门产出指标得分情况</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6"/>
        <w:gridCol w:w="2013"/>
        <w:gridCol w:w="4537"/>
        <w:gridCol w:w="667"/>
        <w:gridCol w:w="723"/>
      </w:tblGrid>
      <w:tr w14:paraId="14A8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blHeader/>
        </w:trPr>
        <w:tc>
          <w:tcPr>
            <w:tcW w:w="616" w:type="pct"/>
            <w:shd w:val="clear" w:color="auto" w:fill="D7D7D7"/>
            <w:noWrap/>
            <w:vAlign w:val="center"/>
          </w:tcPr>
          <w:p w14:paraId="50DD69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bookmarkStart w:id="77" w:name="OLE_LINK11"/>
            <w:r>
              <w:rPr>
                <w:rFonts w:hint="default" w:eastAsia="仿宋_GB2312"/>
                <w:bCs/>
                <w:kern w:val="0"/>
                <w:sz w:val="22"/>
              </w:rPr>
              <w:t>一级指标</w:t>
            </w:r>
          </w:p>
        </w:tc>
        <w:tc>
          <w:tcPr>
            <w:tcW w:w="1111" w:type="pct"/>
            <w:shd w:val="clear" w:color="auto" w:fill="D7D7D7"/>
            <w:noWrap/>
            <w:vAlign w:val="center"/>
          </w:tcPr>
          <w:p w14:paraId="592E1A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二级指标</w:t>
            </w:r>
          </w:p>
        </w:tc>
        <w:tc>
          <w:tcPr>
            <w:tcW w:w="2504" w:type="pct"/>
            <w:shd w:val="clear" w:color="auto" w:fill="D7D7D7"/>
            <w:noWrap/>
            <w:vAlign w:val="center"/>
          </w:tcPr>
          <w:p w14:paraId="58C42B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三级指标</w:t>
            </w:r>
          </w:p>
        </w:tc>
        <w:tc>
          <w:tcPr>
            <w:tcW w:w="368" w:type="pct"/>
            <w:shd w:val="clear" w:color="auto" w:fill="D7D7D7"/>
            <w:noWrap/>
            <w:vAlign w:val="center"/>
          </w:tcPr>
          <w:p w14:paraId="78CDAC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权重</w:t>
            </w:r>
          </w:p>
        </w:tc>
        <w:tc>
          <w:tcPr>
            <w:tcW w:w="399" w:type="pct"/>
            <w:shd w:val="clear" w:color="auto" w:fill="D7D7D7"/>
            <w:noWrap/>
            <w:vAlign w:val="center"/>
          </w:tcPr>
          <w:p w14:paraId="0557CE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得分</w:t>
            </w:r>
          </w:p>
        </w:tc>
      </w:tr>
      <w:tr w14:paraId="5774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16" w:type="pct"/>
            <w:vMerge w:val="restart"/>
            <w:noWrap/>
            <w:vAlign w:val="center"/>
          </w:tcPr>
          <w:p w14:paraId="1A193B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部门</w:t>
            </w:r>
            <w:r>
              <w:rPr>
                <w:rFonts w:hint="eastAsia" w:eastAsia="仿宋_GB2312"/>
                <w:bCs/>
                <w:kern w:val="0"/>
                <w:sz w:val="22"/>
              </w:rPr>
              <w:t>绩效</w:t>
            </w:r>
          </w:p>
        </w:tc>
        <w:tc>
          <w:tcPr>
            <w:tcW w:w="1111" w:type="pct"/>
            <w:vMerge w:val="restart"/>
            <w:noWrap/>
            <w:vAlign w:val="center"/>
          </w:tcPr>
          <w:p w14:paraId="5516B6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职责履行</w:t>
            </w:r>
          </w:p>
        </w:tc>
        <w:tc>
          <w:tcPr>
            <w:tcW w:w="2504" w:type="pct"/>
            <w:noWrap/>
            <w:vAlign w:val="center"/>
          </w:tcPr>
          <w:p w14:paraId="636CE6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年度重点项目完成率</w:t>
            </w:r>
          </w:p>
        </w:tc>
        <w:tc>
          <w:tcPr>
            <w:tcW w:w="368" w:type="pct"/>
            <w:noWrap/>
            <w:vAlign w:val="center"/>
          </w:tcPr>
          <w:p w14:paraId="63CCAF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3</w:t>
            </w:r>
          </w:p>
        </w:tc>
        <w:tc>
          <w:tcPr>
            <w:tcW w:w="399" w:type="pct"/>
            <w:noWrap/>
            <w:vAlign w:val="center"/>
          </w:tcPr>
          <w:p w14:paraId="3E6583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3</w:t>
            </w:r>
          </w:p>
        </w:tc>
      </w:tr>
      <w:tr w14:paraId="6B48C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16" w:type="pct"/>
            <w:vMerge w:val="continue"/>
            <w:vAlign w:val="center"/>
          </w:tcPr>
          <w:p w14:paraId="3782D4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111" w:type="pct"/>
            <w:vMerge w:val="continue"/>
            <w:vAlign w:val="center"/>
          </w:tcPr>
          <w:p w14:paraId="312C7F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04" w:type="pct"/>
            <w:noWrap/>
            <w:vAlign w:val="center"/>
          </w:tcPr>
          <w:p w14:paraId="1327C0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年度重点工作任务完成率</w:t>
            </w:r>
          </w:p>
        </w:tc>
        <w:tc>
          <w:tcPr>
            <w:tcW w:w="368" w:type="pct"/>
            <w:noWrap/>
            <w:vAlign w:val="center"/>
          </w:tcPr>
          <w:p w14:paraId="7706AB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3</w:t>
            </w:r>
          </w:p>
        </w:tc>
        <w:tc>
          <w:tcPr>
            <w:tcW w:w="399" w:type="pct"/>
            <w:noWrap/>
            <w:vAlign w:val="center"/>
          </w:tcPr>
          <w:p w14:paraId="55F677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2</w:t>
            </w:r>
          </w:p>
        </w:tc>
      </w:tr>
      <w:tr w14:paraId="5278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16" w:type="pct"/>
            <w:vMerge w:val="continue"/>
            <w:vAlign w:val="center"/>
          </w:tcPr>
          <w:p w14:paraId="63083F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111" w:type="pct"/>
            <w:vMerge w:val="restart"/>
            <w:noWrap/>
            <w:vAlign w:val="center"/>
          </w:tcPr>
          <w:p w14:paraId="4E86FA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基本经费成本控制</w:t>
            </w:r>
          </w:p>
        </w:tc>
        <w:tc>
          <w:tcPr>
            <w:tcW w:w="2504" w:type="pct"/>
            <w:noWrap/>
            <w:vAlign w:val="center"/>
          </w:tcPr>
          <w:p w14:paraId="2B4875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“三公”经费控制率</w:t>
            </w:r>
          </w:p>
        </w:tc>
        <w:tc>
          <w:tcPr>
            <w:tcW w:w="368" w:type="pct"/>
            <w:noWrap/>
            <w:vAlign w:val="center"/>
          </w:tcPr>
          <w:p w14:paraId="15E2F3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2</w:t>
            </w:r>
          </w:p>
        </w:tc>
        <w:tc>
          <w:tcPr>
            <w:tcW w:w="399" w:type="pct"/>
            <w:noWrap/>
            <w:vAlign w:val="center"/>
          </w:tcPr>
          <w:p w14:paraId="3E9418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2</w:t>
            </w:r>
          </w:p>
        </w:tc>
      </w:tr>
      <w:tr w14:paraId="627C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16" w:type="pct"/>
            <w:vMerge w:val="continue"/>
            <w:vAlign w:val="center"/>
          </w:tcPr>
          <w:p w14:paraId="70A616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111" w:type="pct"/>
            <w:vMerge w:val="continue"/>
            <w:vAlign w:val="center"/>
          </w:tcPr>
          <w:p w14:paraId="2EB3AF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04" w:type="pct"/>
            <w:noWrap/>
            <w:vAlign w:val="center"/>
          </w:tcPr>
          <w:p w14:paraId="3E56BA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日常公用经费控制率</w:t>
            </w:r>
          </w:p>
        </w:tc>
        <w:tc>
          <w:tcPr>
            <w:tcW w:w="368" w:type="pct"/>
            <w:noWrap/>
            <w:vAlign w:val="center"/>
          </w:tcPr>
          <w:p w14:paraId="204976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2</w:t>
            </w:r>
          </w:p>
        </w:tc>
        <w:tc>
          <w:tcPr>
            <w:tcW w:w="399" w:type="pct"/>
            <w:noWrap/>
            <w:vAlign w:val="center"/>
          </w:tcPr>
          <w:p w14:paraId="3D5434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2</w:t>
            </w:r>
          </w:p>
        </w:tc>
      </w:tr>
      <w:tr w14:paraId="2C05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16" w:type="pct"/>
            <w:vMerge w:val="continue"/>
            <w:vAlign w:val="center"/>
          </w:tcPr>
          <w:p w14:paraId="6BED1F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111" w:type="pct"/>
            <w:vMerge w:val="restart"/>
            <w:vAlign w:val="center"/>
          </w:tcPr>
          <w:p w14:paraId="02E207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default" w:eastAsia="仿宋_GB2312"/>
                <w:bCs/>
                <w:kern w:val="0"/>
                <w:sz w:val="22"/>
              </w:rPr>
              <w:t>核心产出</w:t>
            </w:r>
          </w:p>
        </w:tc>
        <w:tc>
          <w:tcPr>
            <w:tcW w:w="2504" w:type="pct"/>
            <w:noWrap/>
            <w:vAlign w:val="center"/>
          </w:tcPr>
          <w:p w14:paraId="345207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完成年度食品安全监督抽检批次≥1016批次</w:t>
            </w:r>
          </w:p>
        </w:tc>
        <w:tc>
          <w:tcPr>
            <w:tcW w:w="368" w:type="pct"/>
            <w:noWrap/>
            <w:vAlign w:val="center"/>
          </w:tcPr>
          <w:p w14:paraId="49F3FD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5</w:t>
            </w:r>
          </w:p>
        </w:tc>
        <w:tc>
          <w:tcPr>
            <w:tcW w:w="399" w:type="pct"/>
            <w:noWrap/>
            <w:vAlign w:val="center"/>
          </w:tcPr>
          <w:p w14:paraId="3050EF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等线"/>
                <w:bCs/>
                <w:kern w:val="0"/>
                <w:sz w:val="22"/>
              </w:rPr>
            </w:pPr>
            <w:r>
              <w:rPr>
                <w:rFonts w:hint="eastAsia" w:eastAsia="等线"/>
                <w:bCs/>
                <w:kern w:val="0"/>
                <w:sz w:val="22"/>
              </w:rPr>
              <w:t>5</w:t>
            </w:r>
          </w:p>
        </w:tc>
      </w:tr>
      <w:tr w14:paraId="27254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16" w:type="pct"/>
            <w:vMerge w:val="continue"/>
            <w:vAlign w:val="center"/>
          </w:tcPr>
          <w:p w14:paraId="6224C1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111" w:type="pct"/>
            <w:vMerge w:val="continue"/>
            <w:vAlign w:val="center"/>
          </w:tcPr>
          <w:p w14:paraId="3727B5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04" w:type="pct"/>
            <w:noWrap/>
            <w:vAlign w:val="center"/>
          </w:tcPr>
          <w:p w14:paraId="096FFE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知识产权商标注册数量≥1</w:t>
            </w:r>
            <w:r>
              <w:rPr>
                <w:rFonts w:hint="eastAsia" w:eastAsia="等线"/>
                <w:bCs/>
                <w:kern w:val="0"/>
                <w:sz w:val="22"/>
              </w:rPr>
              <w:t>9389</w:t>
            </w:r>
            <w:r>
              <w:rPr>
                <w:rFonts w:hint="eastAsia" w:eastAsia="仿宋_GB2312"/>
                <w:bCs/>
                <w:kern w:val="0"/>
                <w:sz w:val="22"/>
              </w:rPr>
              <w:t>个</w:t>
            </w:r>
          </w:p>
        </w:tc>
        <w:tc>
          <w:tcPr>
            <w:tcW w:w="368" w:type="pct"/>
            <w:noWrap/>
            <w:vAlign w:val="center"/>
          </w:tcPr>
          <w:p w14:paraId="287943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5</w:t>
            </w:r>
          </w:p>
        </w:tc>
        <w:tc>
          <w:tcPr>
            <w:tcW w:w="399" w:type="pct"/>
            <w:noWrap/>
            <w:vAlign w:val="center"/>
          </w:tcPr>
          <w:p w14:paraId="4F2706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等线"/>
                <w:bCs/>
                <w:kern w:val="0"/>
                <w:sz w:val="22"/>
              </w:rPr>
            </w:pPr>
            <w:r>
              <w:rPr>
                <w:rFonts w:hint="eastAsia" w:eastAsia="等线"/>
                <w:bCs/>
                <w:kern w:val="0"/>
                <w:sz w:val="22"/>
              </w:rPr>
              <w:t>5</w:t>
            </w:r>
          </w:p>
        </w:tc>
      </w:tr>
      <w:tr w14:paraId="763DD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16" w:type="pct"/>
            <w:vMerge w:val="continue"/>
            <w:vAlign w:val="center"/>
          </w:tcPr>
          <w:p w14:paraId="5C7A4E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111" w:type="pct"/>
            <w:vMerge w:val="continue"/>
            <w:vAlign w:val="center"/>
          </w:tcPr>
          <w:p w14:paraId="5B2D75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04" w:type="pct"/>
            <w:noWrap/>
            <w:vAlign w:val="center"/>
          </w:tcPr>
          <w:p w14:paraId="79F6DD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特种设备定期检验率≥</w:t>
            </w:r>
            <w:r>
              <w:rPr>
                <w:rFonts w:hint="default" w:eastAsia="仿宋_GB2312"/>
                <w:bCs/>
                <w:kern w:val="0"/>
                <w:sz w:val="22"/>
              </w:rPr>
              <w:t>95%</w:t>
            </w:r>
          </w:p>
        </w:tc>
        <w:tc>
          <w:tcPr>
            <w:tcW w:w="368" w:type="pct"/>
            <w:noWrap/>
            <w:vAlign w:val="center"/>
          </w:tcPr>
          <w:p w14:paraId="0E97AB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5</w:t>
            </w:r>
          </w:p>
        </w:tc>
        <w:tc>
          <w:tcPr>
            <w:tcW w:w="399" w:type="pct"/>
            <w:noWrap/>
            <w:vAlign w:val="center"/>
          </w:tcPr>
          <w:p w14:paraId="6BA00D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等线"/>
                <w:bCs/>
                <w:kern w:val="0"/>
                <w:sz w:val="22"/>
              </w:rPr>
            </w:pPr>
            <w:r>
              <w:rPr>
                <w:rFonts w:hint="eastAsia" w:eastAsia="等线"/>
                <w:bCs/>
                <w:kern w:val="0"/>
                <w:sz w:val="22"/>
              </w:rPr>
              <w:t>5</w:t>
            </w:r>
          </w:p>
        </w:tc>
      </w:tr>
      <w:tr w14:paraId="1315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16" w:type="pct"/>
            <w:vMerge w:val="continue"/>
            <w:vAlign w:val="center"/>
          </w:tcPr>
          <w:p w14:paraId="3C8BC0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111" w:type="pct"/>
            <w:vMerge w:val="continue"/>
            <w:vAlign w:val="center"/>
          </w:tcPr>
          <w:p w14:paraId="586B1B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04" w:type="pct"/>
            <w:noWrap/>
            <w:vAlign w:val="center"/>
          </w:tcPr>
          <w:p w14:paraId="1FFB19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食品安全抽检应公布信息公布率</w:t>
            </w:r>
            <w:r>
              <w:rPr>
                <w:rFonts w:hint="default" w:eastAsia="仿宋_GB2312"/>
                <w:bCs/>
                <w:kern w:val="0"/>
                <w:sz w:val="22"/>
              </w:rPr>
              <w:t>=100%</w:t>
            </w:r>
          </w:p>
        </w:tc>
        <w:tc>
          <w:tcPr>
            <w:tcW w:w="368" w:type="pct"/>
            <w:noWrap/>
            <w:vAlign w:val="center"/>
          </w:tcPr>
          <w:p w14:paraId="7F0742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5</w:t>
            </w:r>
          </w:p>
        </w:tc>
        <w:tc>
          <w:tcPr>
            <w:tcW w:w="399" w:type="pct"/>
            <w:noWrap/>
            <w:vAlign w:val="center"/>
          </w:tcPr>
          <w:p w14:paraId="547E79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等线"/>
                <w:bCs/>
                <w:kern w:val="0"/>
                <w:sz w:val="22"/>
              </w:rPr>
            </w:pPr>
            <w:r>
              <w:rPr>
                <w:rFonts w:hint="eastAsia" w:eastAsia="等线"/>
                <w:bCs/>
                <w:kern w:val="0"/>
                <w:sz w:val="22"/>
              </w:rPr>
              <w:t>5</w:t>
            </w:r>
          </w:p>
        </w:tc>
      </w:tr>
      <w:tr w14:paraId="160F5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16" w:type="pct"/>
            <w:vMerge w:val="continue"/>
            <w:vAlign w:val="center"/>
          </w:tcPr>
          <w:p w14:paraId="4DD198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111" w:type="pct"/>
            <w:vMerge w:val="continue"/>
            <w:vAlign w:val="center"/>
          </w:tcPr>
          <w:p w14:paraId="7CCC51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04" w:type="pct"/>
            <w:noWrap/>
            <w:vAlign w:val="center"/>
          </w:tcPr>
          <w:p w14:paraId="45648C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消费者投诉举报办结率=100%</w:t>
            </w:r>
          </w:p>
        </w:tc>
        <w:tc>
          <w:tcPr>
            <w:tcW w:w="368" w:type="pct"/>
            <w:noWrap/>
            <w:vAlign w:val="center"/>
          </w:tcPr>
          <w:p w14:paraId="3D65F3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5</w:t>
            </w:r>
          </w:p>
        </w:tc>
        <w:tc>
          <w:tcPr>
            <w:tcW w:w="399" w:type="pct"/>
            <w:noWrap/>
            <w:vAlign w:val="center"/>
          </w:tcPr>
          <w:p w14:paraId="0B389D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4.83</w:t>
            </w:r>
          </w:p>
        </w:tc>
      </w:tr>
      <w:tr w14:paraId="5F63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16" w:type="pct"/>
            <w:vMerge w:val="continue"/>
            <w:vAlign w:val="center"/>
          </w:tcPr>
          <w:p w14:paraId="651E37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111" w:type="pct"/>
            <w:vMerge w:val="continue"/>
            <w:vAlign w:val="center"/>
          </w:tcPr>
          <w:p w14:paraId="533826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04" w:type="pct"/>
            <w:noWrap/>
            <w:vAlign w:val="center"/>
          </w:tcPr>
          <w:p w14:paraId="2C2F6B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特种设备注册登记率≥99</w:t>
            </w:r>
            <w:r>
              <w:rPr>
                <w:rFonts w:hint="default" w:eastAsia="仿宋_GB2312"/>
                <w:bCs/>
                <w:kern w:val="0"/>
                <w:sz w:val="22"/>
              </w:rPr>
              <w:t>%</w:t>
            </w:r>
          </w:p>
        </w:tc>
        <w:tc>
          <w:tcPr>
            <w:tcW w:w="368" w:type="pct"/>
            <w:noWrap/>
            <w:vAlign w:val="center"/>
          </w:tcPr>
          <w:p w14:paraId="323F96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5</w:t>
            </w:r>
          </w:p>
        </w:tc>
        <w:tc>
          <w:tcPr>
            <w:tcW w:w="399" w:type="pct"/>
            <w:noWrap/>
            <w:vAlign w:val="center"/>
          </w:tcPr>
          <w:p w14:paraId="4C792A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5</w:t>
            </w:r>
          </w:p>
        </w:tc>
      </w:tr>
      <w:tr w14:paraId="4E61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16" w:type="pct"/>
            <w:vMerge w:val="continue"/>
            <w:vAlign w:val="center"/>
          </w:tcPr>
          <w:p w14:paraId="04A8D0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111" w:type="pct"/>
            <w:vMerge w:val="continue"/>
            <w:vAlign w:val="center"/>
          </w:tcPr>
          <w:p w14:paraId="5B4C97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04" w:type="pct"/>
            <w:noWrap/>
            <w:vAlign w:val="center"/>
          </w:tcPr>
          <w:p w14:paraId="246C69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联合开展315活动落实率=100%</w:t>
            </w:r>
          </w:p>
        </w:tc>
        <w:tc>
          <w:tcPr>
            <w:tcW w:w="368" w:type="pct"/>
            <w:noWrap/>
            <w:vAlign w:val="center"/>
          </w:tcPr>
          <w:p w14:paraId="6E0567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5</w:t>
            </w:r>
          </w:p>
        </w:tc>
        <w:tc>
          <w:tcPr>
            <w:tcW w:w="399" w:type="pct"/>
            <w:noWrap/>
            <w:vAlign w:val="center"/>
          </w:tcPr>
          <w:p w14:paraId="60699A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5</w:t>
            </w:r>
          </w:p>
        </w:tc>
      </w:tr>
      <w:tr w14:paraId="2A25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16" w:type="pct"/>
            <w:vMerge w:val="continue"/>
            <w:vAlign w:val="center"/>
          </w:tcPr>
          <w:p w14:paraId="0BEF89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1111" w:type="pct"/>
            <w:vMerge w:val="continue"/>
            <w:vAlign w:val="center"/>
          </w:tcPr>
          <w:p w14:paraId="7F777D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p>
        </w:tc>
        <w:tc>
          <w:tcPr>
            <w:tcW w:w="2504" w:type="pct"/>
            <w:noWrap/>
            <w:vAlign w:val="center"/>
          </w:tcPr>
          <w:p w14:paraId="261A4B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药械化抽样任务完成率=100%</w:t>
            </w:r>
          </w:p>
        </w:tc>
        <w:tc>
          <w:tcPr>
            <w:tcW w:w="368" w:type="pct"/>
            <w:noWrap/>
            <w:vAlign w:val="center"/>
          </w:tcPr>
          <w:p w14:paraId="59CE22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5</w:t>
            </w:r>
          </w:p>
        </w:tc>
        <w:tc>
          <w:tcPr>
            <w:tcW w:w="399" w:type="pct"/>
            <w:noWrap/>
            <w:vAlign w:val="center"/>
          </w:tcPr>
          <w:p w14:paraId="5403A0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5</w:t>
            </w:r>
          </w:p>
        </w:tc>
      </w:tr>
      <w:tr w14:paraId="6A22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4231" w:type="pct"/>
            <w:gridSpan w:val="3"/>
            <w:vAlign w:val="center"/>
          </w:tcPr>
          <w:p w14:paraId="0180FF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合计</w:t>
            </w:r>
          </w:p>
        </w:tc>
        <w:tc>
          <w:tcPr>
            <w:tcW w:w="368" w:type="pct"/>
            <w:noWrap/>
            <w:vAlign w:val="center"/>
          </w:tcPr>
          <w:p w14:paraId="4CC672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50</w:t>
            </w:r>
          </w:p>
        </w:tc>
        <w:tc>
          <w:tcPr>
            <w:tcW w:w="399" w:type="pct"/>
            <w:noWrap/>
            <w:vAlign w:val="center"/>
          </w:tcPr>
          <w:p w14:paraId="74187A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仿宋_GB2312"/>
                <w:bCs/>
                <w:kern w:val="0"/>
                <w:sz w:val="22"/>
              </w:rPr>
            </w:pPr>
            <w:r>
              <w:rPr>
                <w:rFonts w:hint="eastAsia" w:eastAsia="仿宋_GB2312"/>
                <w:bCs/>
                <w:kern w:val="0"/>
                <w:sz w:val="22"/>
              </w:rPr>
              <w:t>48.83</w:t>
            </w:r>
          </w:p>
        </w:tc>
      </w:tr>
      <w:bookmarkEnd w:id="77"/>
    </w:tbl>
    <w:p w14:paraId="43A231BA">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hint="eastAsia" w:eastAsia="仿宋_GB2312"/>
          <w:b/>
          <w:kern w:val="0"/>
          <w:sz w:val="32"/>
          <w:szCs w:val="32"/>
          <w:lang w:bidi="ar"/>
        </w:rPr>
        <w:t>1.</w:t>
      </w:r>
      <w:r>
        <w:rPr>
          <w:rFonts w:eastAsia="仿宋_GB2312"/>
          <w:b/>
          <w:kern w:val="0"/>
          <w:sz w:val="32"/>
          <w:szCs w:val="32"/>
          <w:lang w:bidi="ar"/>
        </w:rPr>
        <w:t>职责履行（分值</w:t>
      </w:r>
      <w:r>
        <w:rPr>
          <w:rFonts w:hint="eastAsia" w:eastAsia="仿宋_GB2312"/>
          <w:b/>
          <w:kern w:val="0"/>
          <w:sz w:val="32"/>
          <w:szCs w:val="32"/>
          <w:lang w:bidi="ar"/>
        </w:rPr>
        <w:t>6</w:t>
      </w:r>
      <w:r>
        <w:rPr>
          <w:rFonts w:eastAsia="仿宋_GB2312"/>
          <w:b/>
          <w:kern w:val="0"/>
          <w:sz w:val="32"/>
          <w:szCs w:val="32"/>
          <w:lang w:bidi="ar"/>
        </w:rPr>
        <w:t>分，得分</w:t>
      </w:r>
      <w:r>
        <w:rPr>
          <w:rFonts w:hint="eastAsia" w:eastAsia="仿宋_GB2312"/>
          <w:b/>
          <w:kern w:val="0"/>
          <w:sz w:val="32"/>
          <w:szCs w:val="32"/>
          <w:lang w:val="en-US" w:eastAsia="zh-CN" w:bidi="ar"/>
        </w:rPr>
        <w:t>5</w:t>
      </w:r>
      <w:r>
        <w:rPr>
          <w:rFonts w:eastAsia="仿宋_GB2312"/>
          <w:b/>
          <w:kern w:val="0"/>
          <w:sz w:val="32"/>
          <w:szCs w:val="32"/>
          <w:lang w:bidi="ar"/>
        </w:rPr>
        <w:t>分）</w:t>
      </w:r>
    </w:p>
    <w:p w14:paraId="405A7A0C">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（1）年度重点项目完成率（分值3分，得分3分）</w:t>
      </w:r>
    </w:p>
    <w:p w14:paraId="6A08F12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2025年度本级财政预算安排重点项目支出为282.26万元，主要实施2025年日常专项业务项目、2025年多来特巴格市场监督管理局所运转保障项目、2025年食品药品监管补助项目、2025年驻村工作队为民办实事经费等项目，根据喀什市市场监督管理局提供的《2025年部门预决算报表》和绩效指标完成情况印证资料显示，上述项目均已经在当年完成，年度重点项目完成率为100%。综上所述，根据评分标准，该指标不扣分，得3分。</w:t>
      </w:r>
    </w:p>
    <w:p w14:paraId="74185A5A">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（2）年度重点工作任务完成率（分值3分，得分2分）</w:t>
      </w:r>
    </w:p>
    <w:p w14:paraId="654F323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bookmarkStart w:id="78" w:name="OLE_LINK9"/>
      <w:r>
        <w:rPr>
          <w:rFonts w:hint="eastAsia" w:eastAsia="仿宋_GB2312"/>
          <w:bCs/>
          <w:kern w:val="0"/>
          <w:sz w:val="32"/>
          <w:szCs w:val="32"/>
          <w:lang w:bidi="ar"/>
        </w:rPr>
        <w:t>根据《喀什市市场监督管理局2025年度工作总结》，喀什市市场监督管理局部门整体和项目的目标及自评等相关资料，2025年部门决算分析报告等资料显示，2025年度喀什市市场监督管理局重点工作：本年度计划抽检不少于1016批次，抽检信息公布率达100%，药械化抽样任务完成率达到100%，年底前实现全市七大类8200余台特种设备定检率不少于95%，特种设备注册登记率不少于99%，年底前商标有效注册量不少于19389件，做好12315投诉举报平台受理化解和12345转办处理工作，确保办结率达到100%，开展</w:t>
      </w:r>
      <w:r>
        <w:rPr>
          <w:rFonts w:hint="eastAsia" w:eastAsia="仿宋_GB2312"/>
          <w:bCs/>
          <w:kern w:val="0"/>
          <w:sz w:val="32"/>
          <w:szCs w:val="32"/>
          <w:lang w:eastAsia="zh-CN" w:bidi="ar"/>
        </w:rPr>
        <w:t>“3·15”消费者权益日</w:t>
      </w:r>
      <w:r>
        <w:rPr>
          <w:rFonts w:hint="eastAsia" w:eastAsia="仿宋_GB2312"/>
          <w:bCs/>
          <w:kern w:val="0"/>
          <w:sz w:val="32"/>
          <w:szCs w:val="32"/>
          <w:lang w:bidi="ar"/>
        </w:rPr>
        <w:t>等重要节点的12项主题宣传活动。</w:t>
      </w:r>
    </w:p>
    <w:bookmarkEnd w:id="78"/>
    <w:p w14:paraId="2A45799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2025年全年已开展食品安全监督抽检1016批次，抽检信息公布率达到100%；药械化抽样任务完成率达到100%；年底前已实现特种设备定检率达到99.56%，特种设备注册登记率达到99.19%，全年不发生重特大特种设备安全事故；年底前商标有效注册量达到21514件；全年共受理投诉举报8078件，已办结7797件，办结率达到96.52%；开展</w:t>
      </w:r>
      <w:r>
        <w:rPr>
          <w:rFonts w:hint="eastAsia" w:eastAsia="仿宋_GB2312"/>
          <w:bCs/>
          <w:kern w:val="0"/>
          <w:sz w:val="32"/>
          <w:szCs w:val="32"/>
          <w:lang w:eastAsia="zh-CN" w:bidi="ar"/>
        </w:rPr>
        <w:t>“3·15”消费者权益日</w:t>
      </w:r>
      <w:r>
        <w:rPr>
          <w:rFonts w:hint="eastAsia" w:eastAsia="仿宋_GB2312"/>
          <w:bCs/>
          <w:kern w:val="0"/>
          <w:sz w:val="32"/>
          <w:szCs w:val="32"/>
          <w:lang w:bidi="ar"/>
        </w:rPr>
        <w:t>等重要节点的12项主题宣传活动，普法宣传效果明显。综上所述，根据评分标准，该指标扣1分，得2分。</w:t>
      </w:r>
    </w:p>
    <w:p w14:paraId="46574085">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hint="eastAsia" w:eastAsia="仿宋_GB2312"/>
          <w:b/>
          <w:kern w:val="0"/>
          <w:sz w:val="32"/>
          <w:szCs w:val="32"/>
          <w:lang w:bidi="ar"/>
        </w:rPr>
        <w:t>2</w:t>
      </w:r>
      <w:r>
        <w:rPr>
          <w:rFonts w:eastAsia="仿宋_GB2312"/>
          <w:b/>
          <w:kern w:val="0"/>
          <w:sz w:val="32"/>
          <w:szCs w:val="32"/>
          <w:lang w:bidi="ar"/>
        </w:rPr>
        <w:t>.基本经费成本控制（分值</w:t>
      </w:r>
      <w:r>
        <w:rPr>
          <w:rFonts w:hint="eastAsia" w:eastAsia="仿宋_GB2312"/>
          <w:b/>
          <w:kern w:val="0"/>
          <w:sz w:val="32"/>
          <w:szCs w:val="32"/>
          <w:lang w:bidi="ar"/>
        </w:rPr>
        <w:t>4</w:t>
      </w:r>
      <w:r>
        <w:rPr>
          <w:rFonts w:eastAsia="仿宋_GB2312"/>
          <w:b/>
          <w:kern w:val="0"/>
          <w:sz w:val="32"/>
          <w:szCs w:val="32"/>
          <w:lang w:bidi="ar"/>
        </w:rPr>
        <w:t>分，得分</w:t>
      </w:r>
      <w:r>
        <w:rPr>
          <w:rFonts w:hint="eastAsia" w:eastAsia="仿宋_GB2312"/>
          <w:b/>
          <w:kern w:val="0"/>
          <w:sz w:val="32"/>
          <w:szCs w:val="32"/>
          <w:lang w:bidi="ar"/>
        </w:rPr>
        <w:t>4</w:t>
      </w:r>
      <w:r>
        <w:rPr>
          <w:rFonts w:eastAsia="仿宋_GB2312"/>
          <w:b/>
          <w:kern w:val="0"/>
          <w:sz w:val="32"/>
          <w:szCs w:val="32"/>
          <w:lang w:bidi="ar"/>
        </w:rPr>
        <w:t>分）</w:t>
      </w:r>
    </w:p>
    <w:p w14:paraId="1C5308E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（1）“三公”经费控制率（分值2分，得分2分）</w:t>
      </w:r>
    </w:p>
    <w:p w14:paraId="388976E9">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喀什市市场监督管理局提供的2025年部门预算公开报告、2025年部门决算分析报告及决算报表显示，喀什市市场监督管理局2025年“三公”经费的主要来源为一般公共预算财政拨款收入，“三公”经费预算为10.5万元，实际支出数为10.5万元，主要用于公务用车运行维护费用，“三公”经费控制率=（“三公”经费实际支出数/“三公”经费预算安排数）×100%=（10.5万元/10.5万元）×100%=100%，“三公”经费控制率等于100%。综上所述，根据评分标准，该指标不扣分，得2分。</w:t>
      </w:r>
    </w:p>
    <w:p w14:paraId="0CA39F3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（2）日常公用经费控制率（分值2分，得分2分）</w:t>
      </w:r>
    </w:p>
    <w:p w14:paraId="7C1EC66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喀什市市场监督管理局提供的2024年决算报表、2025年部门决算分析报告及决算报表显示，喀什市市场监督管理局2024年日常“公用经费”总额为64.29万元，2025年日常“公用经费”总额为62.88万元，日常“公用经费”控制率=〔（本年度“公用经费”总额-上年度“公用经费”总额）/上年度“公用经费”总额〕×100%=〔（62.88万元-64.29万元）/64.29万元〕×100%=-2.19%，日常“公用经费”控制率小于100%。综上所述，根据评分标准，该指标不扣分，得2分。</w:t>
      </w:r>
    </w:p>
    <w:p w14:paraId="43AE790B">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hint="eastAsia" w:eastAsia="仿宋_GB2312"/>
          <w:b/>
          <w:kern w:val="0"/>
          <w:sz w:val="32"/>
          <w:szCs w:val="32"/>
          <w:lang w:bidi="ar"/>
        </w:rPr>
        <w:t>3</w:t>
      </w:r>
      <w:r>
        <w:rPr>
          <w:rFonts w:eastAsia="仿宋_GB2312"/>
          <w:b/>
          <w:kern w:val="0"/>
          <w:sz w:val="32"/>
          <w:szCs w:val="32"/>
          <w:lang w:bidi="ar"/>
        </w:rPr>
        <w:t>.核心产出（分值</w:t>
      </w:r>
      <w:r>
        <w:rPr>
          <w:rFonts w:hint="eastAsia" w:eastAsia="仿宋_GB2312"/>
          <w:b/>
          <w:kern w:val="0"/>
          <w:sz w:val="32"/>
          <w:szCs w:val="32"/>
          <w:lang w:bidi="ar"/>
        </w:rPr>
        <w:t>40</w:t>
      </w:r>
      <w:r>
        <w:rPr>
          <w:rFonts w:eastAsia="仿宋_GB2312"/>
          <w:b/>
          <w:kern w:val="0"/>
          <w:sz w:val="32"/>
          <w:szCs w:val="32"/>
          <w:lang w:bidi="ar"/>
        </w:rPr>
        <w:t>分，得分</w:t>
      </w:r>
      <w:r>
        <w:rPr>
          <w:rFonts w:hint="eastAsia" w:eastAsia="仿宋_GB2312"/>
          <w:b/>
          <w:kern w:val="0"/>
          <w:sz w:val="32"/>
          <w:szCs w:val="32"/>
          <w:lang w:bidi="ar"/>
        </w:rPr>
        <w:t>39.83</w:t>
      </w:r>
      <w:r>
        <w:rPr>
          <w:rFonts w:eastAsia="仿宋_GB2312"/>
          <w:b/>
          <w:kern w:val="0"/>
          <w:sz w:val="32"/>
          <w:szCs w:val="32"/>
          <w:lang w:bidi="ar"/>
        </w:rPr>
        <w:t>分）</w:t>
      </w:r>
      <w:bookmarkStart w:id="79" w:name="_Toc6919"/>
    </w:p>
    <w:p w14:paraId="17667F2E">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（1）完成年度食品安全监督抽检批次（分值5分，得分5分）</w:t>
      </w:r>
    </w:p>
    <w:p w14:paraId="5229B59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根据喀什市市场监管局提供的《2025年食品安全抽检台账》，截至2025年12月31日，已完成1016批次食品安全监督抽检，根据公式计算完成率为1016/1016×100%=100%。</w:t>
      </w:r>
    </w:p>
    <w:p w14:paraId="25275BD0">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综上所述，该指标满分为5分，根据评分标准得5分。</w:t>
      </w:r>
    </w:p>
    <w:p w14:paraId="71F9EFC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（2）知识产权商标注册数量（分值5分，得分5分）</w:t>
      </w:r>
    </w:p>
    <w:p w14:paraId="1C6FE455">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根据商标注册平台统计数据及《2025年度喀什市市场监督管理局工作总结》，截至目前，喀什市商标申请4870件、注册3533件、有效注册量21514件，根据公式计算完成率为</w:t>
      </w:r>
      <w:r>
        <w:rPr>
          <w:rFonts w:hint="eastAsia" w:eastAsia="仿宋_GB2312"/>
          <w:bCs/>
          <w:kern w:val="0"/>
          <w:sz w:val="32"/>
          <w:szCs w:val="32"/>
          <w:lang w:eastAsia="zh-CN" w:bidi="ar"/>
        </w:rPr>
        <w:t>（21514/19389）</w:t>
      </w:r>
      <w:r>
        <w:rPr>
          <w:rFonts w:hint="eastAsia" w:eastAsia="仿宋_GB2312"/>
          <w:bCs/>
          <w:kern w:val="0"/>
          <w:sz w:val="32"/>
          <w:szCs w:val="32"/>
          <w:lang w:bidi="ar"/>
        </w:rPr>
        <w:t>×100%=110.96%。</w:t>
      </w:r>
    </w:p>
    <w:p w14:paraId="0B97584A">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综上所述，该指标满分为5分，根据评分标准得5分。</w:t>
      </w:r>
    </w:p>
    <w:p w14:paraId="4822C65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（3）特种设备定期检验率（分值5分，得分5分）</w:t>
      </w:r>
    </w:p>
    <w:p w14:paraId="791F6E3C">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新疆维吾尔自治区特种设备安全智慧监管平台统计数据，截至2025年12月31日，通过实时监控全市特种设备动态数据，高效处置预警信息1898条，实现预警信息动态清零，特种设备定期检验率为99.56%，根据公式计算完成率为</w:t>
      </w:r>
      <w:r>
        <w:rPr>
          <w:rFonts w:hint="eastAsia" w:eastAsia="仿宋_GB2312"/>
          <w:bCs/>
          <w:kern w:val="0"/>
          <w:sz w:val="32"/>
          <w:szCs w:val="32"/>
          <w:lang w:eastAsia="zh-CN" w:bidi="ar"/>
        </w:rPr>
        <w:t>（99.56%/95%）</w:t>
      </w:r>
      <w:r>
        <w:rPr>
          <w:rFonts w:hint="eastAsia" w:eastAsia="仿宋_GB2312"/>
          <w:bCs/>
          <w:kern w:val="0"/>
          <w:sz w:val="32"/>
          <w:szCs w:val="32"/>
          <w:lang w:bidi="ar"/>
        </w:rPr>
        <w:t>×100%=104.8%。</w:t>
      </w:r>
    </w:p>
    <w:p w14:paraId="45D4FF50">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综上所述，该指标满分为5分，根据评分标准得5分。</w:t>
      </w:r>
    </w:p>
    <w:p w14:paraId="1753824C">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（4）食品安全抽检应公布信息公布率（分值5分，得分5分）</w:t>
      </w:r>
    </w:p>
    <w:p w14:paraId="79BA561A">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根据喀什市人民政府网公布数据，喀什市市场监督管理局将每期的食品安全监督抽检信息通告及时公布在政府网站上，食品安全抽检应公布信息公布率为100%，根据公式计算完成率为</w:t>
      </w:r>
      <w:r>
        <w:rPr>
          <w:rFonts w:hint="eastAsia" w:eastAsia="仿宋_GB2312"/>
          <w:bCs/>
          <w:kern w:val="0"/>
          <w:sz w:val="32"/>
          <w:szCs w:val="32"/>
          <w:lang w:eastAsia="zh-CN" w:bidi="ar"/>
        </w:rPr>
        <w:t>（100%/100%）</w:t>
      </w:r>
      <w:r>
        <w:rPr>
          <w:rFonts w:hint="eastAsia" w:eastAsia="仿宋_GB2312"/>
          <w:bCs/>
          <w:kern w:val="0"/>
          <w:sz w:val="32"/>
          <w:szCs w:val="32"/>
          <w:lang w:bidi="ar"/>
        </w:rPr>
        <w:t>×100%=100</w:t>
      </w:r>
      <w:r>
        <w:rPr>
          <w:rFonts w:hint="eastAsia" w:eastAsia="仿宋_GB2312"/>
          <w:bCs/>
          <w:kern w:val="0"/>
          <w:sz w:val="32"/>
          <w:szCs w:val="32"/>
          <w:lang w:eastAsia="zh-CN" w:bidi="ar"/>
        </w:rPr>
        <w:t>%。</w:t>
      </w:r>
    </w:p>
    <w:p w14:paraId="7C8621F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综上所述，该指标满分为5分，根据评分标准得5分。</w:t>
      </w:r>
    </w:p>
    <w:p w14:paraId="40D32BE6">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（5）消费者投诉举报办结率（分值5分，得分4.83分）</w:t>
      </w:r>
    </w:p>
    <w:p w14:paraId="0047DE9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12315平台统计数据及《2025年度喀什市市场监督管理局工作总结》，截至2025年12月31日，全年共受理投诉举报8078件，已办结7797件，办结率96.52%，为消费者挽回直接经济损失高达1028.77万元，根据公式计算完成率为96.52%/100%×100%=96.52%。</w:t>
      </w:r>
    </w:p>
    <w:p w14:paraId="6032032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综上所述，该指标满分为5分，根据评分标准得4.83分。</w:t>
      </w:r>
    </w:p>
    <w:p w14:paraId="79AF6B3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（6）特种设备注册登记率（分值5分，得分5分）</w:t>
      </w:r>
    </w:p>
    <w:p w14:paraId="59B053B3">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新疆维吾尔自治区特种设备安全智慧监管平台统计数据，截至2025年12月31日，通过实时监控全市特种设备动态数据，高效处置预警信息1898条，实现预警信息动态清零，特种设备定期检验率为99.19%，根据公式计算完成率为99.19%/99%×100%=100.19%。</w:t>
      </w:r>
    </w:p>
    <w:p w14:paraId="5C87E1A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综上所述，该指标满分为5分，根据评分标准得5分。</w:t>
      </w:r>
    </w:p>
    <w:p w14:paraId="63E8A586">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（7）联合开展</w:t>
      </w:r>
      <w:r>
        <w:rPr>
          <w:rFonts w:hint="eastAsia" w:eastAsia="仿宋_GB2312"/>
          <w:bCs/>
          <w:kern w:val="0"/>
          <w:sz w:val="32"/>
          <w:szCs w:val="32"/>
          <w:lang w:eastAsia="zh-CN" w:bidi="ar"/>
        </w:rPr>
        <w:t>“3·15”</w:t>
      </w:r>
      <w:r>
        <w:rPr>
          <w:rFonts w:hint="eastAsia" w:eastAsia="仿宋_GB2312"/>
          <w:bCs/>
          <w:kern w:val="0"/>
          <w:sz w:val="32"/>
          <w:szCs w:val="32"/>
          <w:lang w:bidi="ar"/>
        </w:rPr>
        <w:t>活动落实率（分值5分，得分5分）</w:t>
      </w:r>
    </w:p>
    <w:p w14:paraId="6F22E80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根据喀什市市场监管局提供的《</w:t>
      </w:r>
      <w:r>
        <w:rPr>
          <w:rFonts w:hint="eastAsia" w:eastAsia="仿宋_GB2312"/>
          <w:bCs/>
          <w:kern w:val="0"/>
          <w:sz w:val="32"/>
          <w:szCs w:val="32"/>
          <w:lang w:eastAsia="zh-CN" w:bidi="ar"/>
        </w:rPr>
        <w:t>“3·15”</w:t>
      </w:r>
      <w:r>
        <w:rPr>
          <w:rFonts w:hint="eastAsia" w:eastAsia="仿宋_GB2312"/>
          <w:bCs/>
          <w:kern w:val="0"/>
          <w:sz w:val="32"/>
          <w:szCs w:val="32"/>
          <w:lang w:bidi="ar"/>
        </w:rPr>
        <w:t>国际消费者权益日活动宣传简报》及现场活动照片，截至2025年12月31日，已在学校、企业、农贸市场等地开展</w:t>
      </w:r>
      <w:r>
        <w:rPr>
          <w:rFonts w:hint="eastAsia" w:eastAsia="仿宋_GB2312"/>
          <w:bCs/>
          <w:kern w:val="0"/>
          <w:sz w:val="32"/>
          <w:szCs w:val="32"/>
          <w:lang w:eastAsia="zh-CN" w:bidi="ar"/>
        </w:rPr>
        <w:t>“3·15”消费者权益日</w:t>
      </w:r>
      <w:r>
        <w:rPr>
          <w:rFonts w:hint="eastAsia" w:eastAsia="仿宋_GB2312"/>
          <w:bCs/>
          <w:kern w:val="0"/>
          <w:sz w:val="32"/>
          <w:szCs w:val="32"/>
          <w:lang w:bidi="ar"/>
        </w:rPr>
        <w:t>主题宣传活动，联合开展</w:t>
      </w:r>
      <w:r>
        <w:rPr>
          <w:rFonts w:hint="eastAsia" w:eastAsia="仿宋_GB2312"/>
          <w:bCs/>
          <w:kern w:val="0"/>
          <w:sz w:val="32"/>
          <w:szCs w:val="32"/>
          <w:lang w:eastAsia="zh-CN" w:bidi="ar"/>
        </w:rPr>
        <w:t>“3·15”</w:t>
      </w:r>
      <w:r>
        <w:rPr>
          <w:rFonts w:hint="eastAsia" w:eastAsia="仿宋_GB2312"/>
          <w:bCs/>
          <w:kern w:val="0"/>
          <w:sz w:val="32"/>
          <w:szCs w:val="32"/>
          <w:lang w:bidi="ar"/>
        </w:rPr>
        <w:t>活动落实率100%，根据公式计算完成率为100%/100%×100%=100%。</w:t>
      </w:r>
    </w:p>
    <w:p w14:paraId="292D743F">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综上所述，该指标满分为5分，根据评分标准得5分。</w:t>
      </w:r>
    </w:p>
    <w:p w14:paraId="4FD164D6">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（8）药械化抽样任务完成率（分值5分，得分5分）</w:t>
      </w:r>
    </w:p>
    <w:p w14:paraId="2F16385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喀什市市场监管局提供的《2025年喀什市药品监督抽检情况表》及《2025年度喀什市市场监督管理局工作总结》，截至2025年12月31日，已完成10家单位药品抽样任务，医疗器械不良反应报告224例，药械化抽样任务完成率100%，根据公式计算完成率为100%/100%×100%=100%。</w:t>
      </w:r>
    </w:p>
    <w:p w14:paraId="027B3559">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综上所述，该指标满分为5分，根据评分标准得5分。</w:t>
      </w:r>
    </w:p>
    <w:bookmarkEnd w:id="79"/>
    <w:p w14:paraId="4BBA5A78">
      <w:pPr>
        <w:pStyle w:val="91"/>
        <w:widowControl w:val="0"/>
        <w:spacing w:before="0" w:after="0"/>
        <w:ind w:left="0" w:firstLine="640" w:firstLineChars="200"/>
        <w:jc w:val="both"/>
        <w:rPr>
          <w:rFonts w:hint="default" w:ascii="Times New Roman" w:hAnsi="Times New Roman"/>
        </w:rPr>
      </w:pPr>
      <w:bookmarkStart w:id="80" w:name="_Toc17279"/>
      <w:bookmarkStart w:id="81" w:name="_Toc16248"/>
      <w:r>
        <w:rPr>
          <w:rFonts w:ascii="Times New Roman" w:hAnsi="Times New Roman"/>
        </w:rPr>
        <w:t>五、主要经验及做法、存在的问题及原因分析</w:t>
      </w:r>
      <w:bookmarkEnd w:id="80"/>
      <w:bookmarkEnd w:id="81"/>
    </w:p>
    <w:p w14:paraId="472D7DD8">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82" w:name="_Toc18217"/>
      <w:bookmarkStart w:id="83" w:name="_Toc30234"/>
      <w:r>
        <w:rPr>
          <w:rFonts w:ascii="Times New Roman" w:hAnsi="Times New Roman" w:cs="Times New Roman"/>
        </w:rPr>
        <w:t>（一）主要经验及做法</w:t>
      </w:r>
      <w:bookmarkEnd w:id="82"/>
      <w:bookmarkEnd w:id="83"/>
    </w:p>
    <w:p w14:paraId="3741A68E">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hint="eastAsia" w:eastAsia="仿宋_GB2312"/>
          <w:b/>
          <w:kern w:val="0"/>
          <w:sz w:val="32"/>
          <w:szCs w:val="32"/>
          <w:lang w:bidi="ar"/>
        </w:rPr>
        <w:t>1.</w:t>
      </w:r>
      <w:r>
        <w:rPr>
          <w:rFonts w:eastAsia="仿宋_GB2312"/>
          <w:b/>
          <w:kern w:val="0"/>
          <w:sz w:val="32"/>
          <w:szCs w:val="32"/>
          <w:lang w:bidi="ar"/>
        </w:rPr>
        <w:t>党建铸魂强队伍，夯实监管履职根基</w:t>
      </w:r>
    </w:p>
    <w:p w14:paraId="6C9F5C5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bookmarkStart w:id="84" w:name="_Hlk235384641"/>
      <w:r>
        <w:rPr>
          <w:rFonts w:hint="eastAsia" w:eastAsia="仿宋_GB2312"/>
          <w:bCs/>
          <w:kern w:val="0"/>
          <w:sz w:val="32"/>
          <w:szCs w:val="32"/>
          <w:lang w:bidi="ar"/>
        </w:rPr>
        <w:t>以党建和作风建设统筹干部培养、廉政管控、组织提质，为市场监管各项工作提供人力与组织保障。2025年喀什市市场监督管理局将党建引领贯穿监管全过程，搭建班子领学、全员研学、警示教育的常态化学习体系，分层开展执法、保密、基层驻村调研等实训；对照作风问题清单逐项整改，细化三级廉政责任清单、全面排查廉政风险，常态化运用监督执纪第一种形态抓早抓小；通过中层竞争上岗、干部双向轮岗优化人员配置，推进支部标准化建设，打造多领域党建示范点，系统性提升干部专业能力与队伍凝聚力。</w:t>
      </w:r>
    </w:p>
    <w:bookmarkEnd w:id="84"/>
    <w:p w14:paraId="38A57B40">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bookmarkStart w:id="85" w:name="_Hlk235384835"/>
      <w:r>
        <w:rPr>
          <w:rFonts w:hint="eastAsia" w:eastAsia="仿宋_GB2312"/>
          <w:b/>
          <w:kern w:val="0"/>
          <w:sz w:val="32"/>
          <w:szCs w:val="32"/>
          <w:lang w:bidi="ar"/>
        </w:rPr>
        <w:t>2.</w:t>
      </w:r>
      <w:bookmarkStart w:id="86" w:name="_Hlk235384804"/>
      <w:r>
        <w:rPr>
          <w:rFonts w:eastAsia="仿宋_GB2312"/>
          <w:b/>
          <w:kern w:val="0"/>
          <w:sz w:val="32"/>
          <w:szCs w:val="32"/>
          <w:lang w:bidi="ar"/>
        </w:rPr>
        <w:t>改革服务</w:t>
      </w:r>
      <w:r>
        <w:rPr>
          <w:rFonts w:hint="eastAsia" w:eastAsia="仿宋_GB2312"/>
          <w:b/>
          <w:kern w:val="0"/>
          <w:sz w:val="32"/>
          <w:szCs w:val="32"/>
          <w:lang w:bidi="ar"/>
        </w:rPr>
        <w:t>+</w:t>
      </w:r>
      <w:r>
        <w:rPr>
          <w:rFonts w:eastAsia="仿宋_GB2312"/>
          <w:b/>
          <w:kern w:val="0"/>
          <w:sz w:val="32"/>
          <w:szCs w:val="32"/>
          <w:lang w:bidi="ar"/>
        </w:rPr>
        <w:t>精准执法双向发力，持续激活市场发展活力</w:t>
      </w:r>
      <w:bookmarkEnd w:id="86"/>
    </w:p>
    <w:bookmarkEnd w:id="85"/>
    <w:p w14:paraId="3F760869">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深化商事集成改革壮大经营主体，建立信用差异化监管与刚柔并济执法模式，兼顾营商便利与市场秩序规范。2025年喀什市市场监督管理局持续推行企业开办</w:t>
      </w:r>
      <w:r>
        <w:rPr>
          <w:rFonts w:hint="eastAsia" w:eastAsia="仿宋_GB2312"/>
          <w:bCs/>
          <w:kern w:val="0"/>
          <w:sz w:val="32"/>
          <w:szCs w:val="32"/>
          <w:lang w:eastAsia="zh-CN" w:bidi="ar"/>
        </w:rPr>
        <w:t>“</w:t>
      </w:r>
      <w:r>
        <w:rPr>
          <w:rFonts w:hint="eastAsia" w:eastAsia="仿宋_GB2312"/>
          <w:bCs/>
          <w:kern w:val="0"/>
          <w:sz w:val="32"/>
          <w:szCs w:val="32"/>
          <w:lang w:bidi="ar"/>
        </w:rPr>
        <w:t>一网通办</w:t>
      </w:r>
      <w:r>
        <w:rPr>
          <w:rFonts w:hint="eastAsia" w:eastAsia="仿宋_GB2312"/>
          <w:bCs/>
          <w:kern w:val="0"/>
          <w:sz w:val="32"/>
          <w:szCs w:val="32"/>
          <w:lang w:eastAsia="zh-CN" w:bidi="ar"/>
        </w:rPr>
        <w:t>”“</w:t>
      </w:r>
      <w:r>
        <w:rPr>
          <w:rFonts w:hint="eastAsia" w:eastAsia="仿宋_GB2312"/>
          <w:bCs/>
          <w:kern w:val="0"/>
          <w:sz w:val="32"/>
          <w:szCs w:val="32"/>
          <w:lang w:bidi="ar"/>
        </w:rPr>
        <w:t>高效办成一件事”集成服务，简化个转企流程，辖区经营主体总量位居区域前列；依托信用风险分类推行</w:t>
      </w:r>
      <w:r>
        <w:rPr>
          <w:rFonts w:hint="eastAsia" w:eastAsia="仿宋_GB2312"/>
          <w:bCs/>
          <w:kern w:val="0"/>
          <w:sz w:val="32"/>
          <w:szCs w:val="32"/>
          <w:lang w:eastAsia="zh-CN" w:bidi="ar"/>
        </w:rPr>
        <w:t>“</w:t>
      </w:r>
      <w:r>
        <w:rPr>
          <w:rFonts w:hint="eastAsia" w:eastAsia="仿宋_GB2312"/>
          <w:bCs/>
          <w:kern w:val="0"/>
          <w:sz w:val="32"/>
          <w:szCs w:val="32"/>
          <w:lang w:bidi="ar"/>
        </w:rPr>
        <w:t>红</w:t>
      </w:r>
      <w:r>
        <w:rPr>
          <w:rFonts w:hint="eastAsia" w:eastAsia="仿宋_GB2312"/>
          <w:bCs/>
          <w:kern w:val="0"/>
          <w:sz w:val="32"/>
          <w:szCs w:val="32"/>
          <w:lang w:eastAsia="zh-CN" w:bidi="ar"/>
        </w:rPr>
        <w:t>”“</w:t>
      </w:r>
      <w:r>
        <w:rPr>
          <w:rFonts w:hint="eastAsia" w:eastAsia="仿宋_GB2312"/>
          <w:bCs/>
          <w:kern w:val="0"/>
          <w:sz w:val="32"/>
          <w:szCs w:val="32"/>
          <w:lang w:bidi="ar"/>
        </w:rPr>
        <w:t>黄</w:t>
      </w:r>
      <w:r>
        <w:rPr>
          <w:rFonts w:hint="eastAsia" w:eastAsia="仿宋_GB2312"/>
          <w:bCs/>
          <w:kern w:val="0"/>
          <w:sz w:val="32"/>
          <w:szCs w:val="32"/>
          <w:lang w:eastAsia="zh-CN" w:bidi="ar"/>
        </w:rPr>
        <w:t>”</w:t>
      </w:r>
      <w:r>
        <w:rPr>
          <w:rFonts w:hint="eastAsia" w:eastAsia="仿宋_GB2312"/>
          <w:bCs/>
          <w:kern w:val="0"/>
          <w:sz w:val="32"/>
          <w:szCs w:val="32"/>
          <w:lang w:bidi="ar"/>
        </w:rPr>
        <w:t>预警触发式监管，落实“双随机、一公开”与信用修复，对低风险企业无事不扰；执法实行包容审慎与铁拳整治结合，落实首违轻微免罚，严厉查办食品、收费、商标、传销等民生领域违法案件，行刑衔接同步推进，实现宽严相济、规范市场。</w:t>
      </w:r>
    </w:p>
    <w:p w14:paraId="2E2D8CE5">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hint="eastAsia" w:eastAsia="仿宋_GB2312"/>
          <w:b/>
          <w:kern w:val="0"/>
          <w:sz w:val="32"/>
          <w:szCs w:val="32"/>
          <w:lang w:bidi="ar"/>
        </w:rPr>
        <w:t>3.</w:t>
      </w:r>
      <w:bookmarkStart w:id="87" w:name="_Hlk235384920"/>
      <w:r>
        <w:rPr>
          <w:rFonts w:eastAsia="仿宋_GB2312"/>
          <w:b/>
          <w:kern w:val="0"/>
          <w:sz w:val="32"/>
          <w:szCs w:val="32"/>
          <w:lang w:bidi="ar"/>
        </w:rPr>
        <w:t>数字赋能+全域闭环管控，统筹安全民生与质量产业发展</w:t>
      </w:r>
      <w:bookmarkEnd w:id="87"/>
    </w:p>
    <w:p w14:paraId="2483047C">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依托智慧数字化创新监管手段，全覆盖守住四大安全底线，同步化解消费矛盾、以质量知识产权助推产业升级。2025年喀什市市场监督管理局立足旅游城市打造“一店一码”、网络餐饮线上管控、特种设备及食品AI监控等数字化监管模式，多项创新举措获国家、自治区推广；建立干部包保全覆盖机制，围绕食品、药械、工业产品、特种设备开展系列专项整治、抽检、隐患动态清零；常态化整治民生收费、牌匾文字、意识形态违规商品，高效处置消费投诉，全年无舆情；同步推进质量强市、知识产权保护、</w:t>
      </w:r>
      <w:r>
        <w:rPr>
          <w:rFonts w:hint="eastAsia" w:eastAsia="仿宋_GB2312"/>
          <w:bCs/>
          <w:kern w:val="0"/>
          <w:sz w:val="32"/>
          <w:szCs w:val="32"/>
          <w:lang w:eastAsia="zh-CN" w:bidi="ar"/>
        </w:rPr>
        <w:t>计量智慧监管</w:t>
      </w:r>
      <w:r>
        <w:rPr>
          <w:rFonts w:hint="eastAsia" w:eastAsia="仿宋_GB2312"/>
          <w:bCs/>
          <w:kern w:val="0"/>
          <w:sz w:val="32"/>
          <w:szCs w:val="32"/>
          <w:lang w:bidi="ar"/>
        </w:rPr>
        <w:t>，培育质量标杆企业，赋能地方产业高质量发展。</w:t>
      </w:r>
    </w:p>
    <w:p w14:paraId="514FD3F9">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88" w:name="_Toc16497"/>
      <w:r>
        <w:rPr>
          <w:rFonts w:ascii="Times New Roman" w:hAnsi="Times New Roman" w:cs="Times New Roman"/>
        </w:rPr>
        <w:t>（二）存在的问题及原因分析</w:t>
      </w:r>
      <w:bookmarkEnd w:id="88"/>
    </w:p>
    <w:p w14:paraId="7E83E9DE">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bookmarkStart w:id="89" w:name="_Hlk238036809"/>
      <w:r>
        <w:rPr>
          <w:rFonts w:eastAsia="仿宋_GB2312"/>
          <w:b/>
          <w:kern w:val="0"/>
          <w:sz w:val="32"/>
          <w:szCs w:val="32"/>
          <w:lang w:bidi="ar"/>
        </w:rPr>
        <w:t>1.</w:t>
      </w:r>
      <w:r>
        <w:rPr>
          <w:rFonts w:hint="eastAsia" w:eastAsia="仿宋_GB2312"/>
          <w:b/>
          <w:kern w:val="0"/>
          <w:sz w:val="32"/>
          <w:szCs w:val="32"/>
          <w:lang w:bidi="ar"/>
        </w:rPr>
        <w:t>预算编制不精准，</w:t>
      </w:r>
      <w:r>
        <w:rPr>
          <w:rFonts w:eastAsia="仿宋_GB2312"/>
          <w:b/>
          <w:kern w:val="0"/>
          <w:sz w:val="32"/>
          <w:szCs w:val="32"/>
          <w:lang w:bidi="ar"/>
        </w:rPr>
        <w:t>项目支出预算调整率过高</w:t>
      </w:r>
    </w:p>
    <w:p w14:paraId="25AFF7D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喀什市市场监督管理局2025年年初部门预算批复预算金额为3375.76万元，其中，基本支出年初预算3208.25万元，项目支出年初预算167.51万元，调整后全年预算数为3350.24万元，其中，基本支出全年预算数3067.98万元，项目支出全年预算数282.26万元，部门总体预算调整率为0.76%，基本支出预算调整率为4.37%，项目支出预算调整率为68.5%，项目支出单项预算调整率过高，预算调整的主要原因：一是需求测算不精准，年初安排2025年日常专项业务项目资金122.88万元，年中因工作未开展追减15.17万元，资金安排与实际业务脱节；二是专项工作预判不足，驻村及第一书记为民办实事项目共计80万元刚性</w:t>
      </w:r>
      <w:r>
        <w:rPr>
          <w:rFonts w:hint="eastAsia" w:eastAsia="仿宋_GB2312"/>
          <w:bCs/>
          <w:kern w:val="0"/>
          <w:sz w:val="32"/>
          <w:szCs w:val="32"/>
          <w:lang w:val="en-US" w:eastAsia="zh-CN" w:bidi="ar"/>
        </w:rPr>
        <w:t>支出</w:t>
      </w:r>
      <w:r>
        <w:rPr>
          <w:rFonts w:hint="eastAsia" w:eastAsia="仿宋_GB2312"/>
          <w:bCs/>
          <w:kern w:val="0"/>
          <w:sz w:val="32"/>
          <w:szCs w:val="32"/>
          <w:lang w:bidi="ar"/>
        </w:rPr>
        <w:t>未纳入年初预算，均为年中追加；三是历史欠款统筹不到位，历年欠款化解、酒店住宿欠款共计54.85万元清偿资金未提前谋划，全部</w:t>
      </w:r>
      <w:r>
        <w:rPr>
          <w:rFonts w:hint="eastAsia" w:eastAsia="仿宋_GB2312"/>
          <w:bCs/>
          <w:kern w:val="0"/>
          <w:sz w:val="32"/>
          <w:szCs w:val="32"/>
          <w:lang w:val="en-US" w:eastAsia="zh-CN" w:bidi="ar"/>
        </w:rPr>
        <w:t>为</w:t>
      </w:r>
      <w:r>
        <w:rPr>
          <w:rFonts w:hint="eastAsia" w:eastAsia="仿宋_GB2312"/>
          <w:bCs/>
          <w:kern w:val="0"/>
          <w:sz w:val="32"/>
          <w:szCs w:val="32"/>
          <w:lang w:bidi="ar"/>
        </w:rPr>
        <w:t>年中追加</w:t>
      </w:r>
      <w:r>
        <w:rPr>
          <w:rFonts w:hint="eastAsia" w:eastAsia="仿宋_GB2312"/>
          <w:bCs/>
          <w:kern w:val="0"/>
          <w:sz w:val="32"/>
          <w:szCs w:val="32"/>
          <w:lang w:val="en-US" w:eastAsia="zh-CN" w:bidi="ar"/>
        </w:rPr>
        <w:t>资金</w:t>
      </w:r>
      <w:r>
        <w:rPr>
          <w:rFonts w:hint="eastAsia" w:eastAsia="仿宋_GB2312"/>
          <w:bCs/>
          <w:kern w:val="0"/>
          <w:sz w:val="32"/>
          <w:szCs w:val="32"/>
          <w:lang w:bidi="ar"/>
        </w:rPr>
        <w:t>。</w:t>
      </w:r>
    </w:p>
    <w:p w14:paraId="6AC4A9D5">
      <w:pPr>
        <w:keepNext w:val="0"/>
        <w:keepLines w:val="0"/>
        <w:pageBreakBefore w:val="0"/>
        <w:widowControl/>
        <w:kinsoku/>
        <w:wordWrap/>
        <w:overflowPunct w:val="0"/>
        <w:topLinePunct w:val="0"/>
        <w:autoSpaceDE w:val="0"/>
        <w:autoSpaceDN w:val="0"/>
        <w:bidi w:val="0"/>
        <w:adjustRightInd/>
        <w:snapToGrid/>
        <w:spacing w:line="560" w:lineRule="exact"/>
        <w:ind w:firstLine="643" w:firstLineChars="200"/>
        <w:textAlignment w:val="auto"/>
        <w:rPr>
          <w:rFonts w:eastAsia="仿宋_GB2312"/>
          <w:b/>
          <w:kern w:val="0"/>
          <w:sz w:val="32"/>
          <w:szCs w:val="32"/>
          <w:lang w:bidi="ar"/>
        </w:rPr>
      </w:pPr>
      <w:r>
        <w:rPr>
          <w:rFonts w:hint="eastAsia" w:eastAsia="仿宋_GB2312"/>
          <w:b/>
          <w:kern w:val="0"/>
          <w:sz w:val="32"/>
          <w:szCs w:val="32"/>
          <w:lang w:bidi="ar"/>
        </w:rPr>
        <w:t>2</w:t>
      </w:r>
      <w:r>
        <w:rPr>
          <w:rFonts w:eastAsia="仿宋_GB2312"/>
          <w:b/>
          <w:kern w:val="0"/>
          <w:sz w:val="32"/>
          <w:szCs w:val="32"/>
          <w:lang w:bidi="ar"/>
        </w:rPr>
        <w:t>.消费维权体系仍有</w:t>
      </w:r>
      <w:r>
        <w:rPr>
          <w:rFonts w:hint="eastAsia" w:eastAsia="仿宋_GB2312"/>
          <w:b/>
          <w:kern w:val="0"/>
          <w:sz w:val="32"/>
          <w:szCs w:val="32"/>
          <w:lang w:bidi="ar"/>
        </w:rPr>
        <w:t>薄弱环节</w:t>
      </w:r>
      <w:r>
        <w:rPr>
          <w:rFonts w:eastAsia="仿宋_GB2312"/>
          <w:b/>
          <w:kern w:val="0"/>
          <w:sz w:val="32"/>
          <w:szCs w:val="32"/>
          <w:lang w:bidi="ar"/>
        </w:rPr>
        <w:t>，服务效能需</w:t>
      </w:r>
      <w:r>
        <w:rPr>
          <w:rFonts w:hint="eastAsia" w:eastAsia="仿宋_GB2312"/>
          <w:b/>
          <w:kern w:val="0"/>
          <w:sz w:val="32"/>
          <w:szCs w:val="32"/>
          <w:lang w:bidi="ar"/>
        </w:rPr>
        <w:t>提升</w:t>
      </w:r>
    </w:p>
    <w:p w14:paraId="15B43456">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2025年喀什市市场监督管理局消费者投诉举报办结率预期指标值为100%，而截至</w:t>
      </w:r>
      <w:r>
        <w:rPr>
          <w:rFonts w:hint="eastAsia" w:eastAsia="仿宋_GB2312"/>
          <w:bCs/>
          <w:kern w:val="0"/>
          <w:sz w:val="32"/>
          <w:szCs w:val="32"/>
          <w:lang w:val="en-US" w:eastAsia="zh-CN" w:bidi="ar"/>
        </w:rPr>
        <w:t>2025年</w:t>
      </w:r>
      <w:r>
        <w:rPr>
          <w:rFonts w:hint="eastAsia" w:eastAsia="仿宋_GB2312"/>
          <w:bCs/>
          <w:kern w:val="0"/>
          <w:sz w:val="32"/>
          <w:szCs w:val="32"/>
          <w:lang w:bidi="ar"/>
        </w:rPr>
        <w:t>12月31日，全年共受理投诉举报8078件，已办结7797件，办结率为96.52%，消费者投诉举报办结率未达标，主要原因：一是目标值设定不够科学合理，未充分结合投诉举报处理的实际办结周期、业务办理规律等实际情况统筹考量；二是部分工作人员绩效工作意识薄弱，未能深刻认识到绩效目标设定对业务开展的导向、约束作用，对绩效编制工作重视程度不足，存在重业务推进、轻绩效谋划的问题；三是跨科室协作审批工作缺乏标准化、规范化的时限管理要求，各环节审批、流转节奏无统一标准，协作衔接效率偏低，直接导致消费者投诉举报整体平均办结时长超出规定办结期限，业务办理时效未达标。</w:t>
      </w:r>
    </w:p>
    <w:bookmarkEnd w:id="89"/>
    <w:p w14:paraId="599A7AB9">
      <w:pPr>
        <w:pStyle w:val="91"/>
        <w:widowControl w:val="0"/>
        <w:spacing w:before="0" w:after="0"/>
        <w:ind w:left="0" w:firstLine="640" w:firstLineChars="200"/>
        <w:jc w:val="both"/>
        <w:rPr>
          <w:rFonts w:ascii="Times New Roman" w:hAnsi="Times New Roman"/>
        </w:rPr>
      </w:pPr>
      <w:bookmarkStart w:id="90" w:name="_Toc3879"/>
      <w:bookmarkStart w:id="91" w:name="_Toc17670"/>
      <w:r>
        <w:rPr>
          <w:rFonts w:hint="eastAsia" w:ascii="Times New Roman" w:hAnsi="Times New Roman"/>
          <w:lang w:val="en-US" w:eastAsia="zh-CN"/>
        </w:rPr>
        <w:t>六、</w:t>
      </w:r>
      <w:r>
        <w:rPr>
          <w:rFonts w:ascii="Times New Roman" w:hAnsi="Times New Roman"/>
        </w:rPr>
        <w:t>有关建议</w:t>
      </w:r>
      <w:bookmarkEnd w:id="90"/>
      <w:bookmarkEnd w:id="91"/>
      <w:bookmarkStart w:id="92" w:name="_Hlk238036878"/>
    </w:p>
    <w:p w14:paraId="225EE216">
      <w:pPr>
        <w:pStyle w:val="13"/>
        <w:spacing w:after="0" w:line="560" w:lineRule="exact"/>
        <w:ind w:firstLine="643" w:firstLineChars="200"/>
        <w:contextualSpacing/>
        <w:rPr>
          <w:rFonts w:hint="eastAsia"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（一）严控项目预算调整幅度，全面、科学、精准开展年度预算编制工作</w:t>
      </w:r>
    </w:p>
    <w:p w14:paraId="2D141A1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对上级新增专项任务类（如驻村工作队经费80万元），应建立“年度初预判+动态储备”机制，每年年初主动对接上级主管部门，提前梳理驻村工作等常态化专项任务，将已知刚性任务纳入年初预算或建立项目储备库，减少年中大规模追加；对预算编制不准确类（如日常专项业务项目追减15.17万元），实施</w:t>
      </w:r>
      <w:r>
        <w:rPr>
          <w:rFonts w:hint="eastAsia" w:eastAsia="仿宋_GB2312"/>
          <w:bCs/>
          <w:kern w:val="0"/>
          <w:sz w:val="32"/>
          <w:szCs w:val="32"/>
          <w:lang w:eastAsia="zh-CN" w:bidi="ar"/>
        </w:rPr>
        <w:t>“</w:t>
      </w:r>
      <w:r>
        <w:rPr>
          <w:rFonts w:hint="eastAsia" w:eastAsia="仿宋_GB2312"/>
          <w:bCs/>
          <w:kern w:val="0"/>
          <w:sz w:val="32"/>
          <w:szCs w:val="32"/>
          <w:lang w:bidi="ar"/>
        </w:rPr>
        <w:t>业务科室编制+财务前置审核</w:t>
      </w:r>
      <w:r>
        <w:rPr>
          <w:rFonts w:hint="eastAsia" w:eastAsia="仿宋_GB2312"/>
          <w:bCs/>
          <w:kern w:val="0"/>
          <w:sz w:val="32"/>
          <w:szCs w:val="32"/>
          <w:lang w:eastAsia="zh-CN" w:bidi="ar"/>
        </w:rPr>
        <w:t>”</w:t>
      </w:r>
      <w:r>
        <w:rPr>
          <w:rFonts w:hint="eastAsia" w:eastAsia="仿宋_GB2312"/>
          <w:bCs/>
          <w:kern w:val="0"/>
          <w:sz w:val="32"/>
          <w:szCs w:val="32"/>
          <w:lang w:bidi="ar"/>
        </w:rPr>
        <w:t>双审制，要求各科室在申报项目预算时同步提交《项目实施方案》和《资金测算明细清单》，由财务部门逐项核实测算依据，避免高估虚报。同时建议建立“三个纳入”机制从源头减少预算偏差：将上级专项任务纳入年初预算，将历年欠款（化解欠款42.63万元、酒店住宿欠款12.22万元等刚性支出）纳入年初预算单独列项，将业务调整预期纳入预算编制时各科室同步提交的风险预判表。在预算编制精细化管理方面，应补齐四个薄弱环节：需求测算环节细化到具体工作内容和服务采购明细，避免</w:t>
      </w:r>
      <w:r>
        <w:rPr>
          <w:rFonts w:hint="eastAsia" w:eastAsia="仿宋_GB2312"/>
          <w:bCs/>
          <w:kern w:val="0"/>
          <w:sz w:val="32"/>
          <w:szCs w:val="32"/>
          <w:lang w:eastAsia="zh-CN" w:bidi="ar"/>
        </w:rPr>
        <w:t>“</w:t>
      </w:r>
      <w:r>
        <w:rPr>
          <w:rFonts w:hint="eastAsia" w:eastAsia="仿宋_GB2312"/>
          <w:bCs/>
          <w:kern w:val="0"/>
          <w:sz w:val="32"/>
          <w:szCs w:val="32"/>
          <w:lang w:bidi="ar"/>
        </w:rPr>
        <w:t>打包式</w:t>
      </w:r>
      <w:r>
        <w:rPr>
          <w:rFonts w:hint="eastAsia" w:eastAsia="仿宋_GB2312"/>
          <w:bCs/>
          <w:kern w:val="0"/>
          <w:sz w:val="32"/>
          <w:szCs w:val="32"/>
          <w:lang w:eastAsia="zh-CN" w:bidi="ar"/>
        </w:rPr>
        <w:t>”</w:t>
      </w:r>
      <w:r>
        <w:rPr>
          <w:rFonts w:hint="eastAsia" w:eastAsia="仿宋_GB2312"/>
          <w:bCs/>
          <w:kern w:val="0"/>
          <w:sz w:val="32"/>
          <w:szCs w:val="32"/>
          <w:lang w:bidi="ar"/>
        </w:rPr>
        <w:t>申报；前期论证环节要求项目申报前完成可行性论证并附测算依据佐证材料；协同编制环节建立业务科室与财务部门的联合编制机制；动态调整环节将年中调整原因记录归档，为次年预算编制提供经验参考。</w:t>
      </w:r>
    </w:p>
    <w:p w14:paraId="7738E13A">
      <w:pPr>
        <w:pStyle w:val="13"/>
        <w:spacing w:after="0" w:line="560" w:lineRule="exact"/>
        <w:ind w:firstLine="643" w:firstLineChars="200"/>
        <w:contextualSpacing/>
        <w:rPr>
          <w:rFonts w:hint="eastAsia" w:ascii="Times New Roman" w:hAnsi="Times New Roman" w:eastAsia="楷体" w:cs="Times New Roman"/>
          <w:b/>
          <w:bCs/>
          <w:sz w:val="32"/>
          <w:szCs w:val="32"/>
          <w:lang w:val="en-US" w:eastAsia="zh-CN"/>
        </w:rPr>
      </w:pPr>
      <w:r>
        <w:rPr>
          <w:rFonts w:hint="eastAsia" w:ascii="Times New Roman" w:hAnsi="Times New Roman" w:eastAsia="楷体" w:cs="Times New Roman"/>
          <w:b/>
          <w:bCs/>
          <w:sz w:val="32"/>
          <w:szCs w:val="32"/>
          <w:lang w:val="en-US" w:eastAsia="zh-CN"/>
        </w:rPr>
        <w:t>（二）优化消费投诉处置流程，强化人员业务能力及完善绩效指标</w:t>
      </w:r>
    </w:p>
    <w:p w14:paraId="5C25733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建议一方面完善消费投诉全流程管理，统一制定投诉受理录入标准，安排专人开展信息初审校验，同步搭建简易投诉快速处置通道，精简审批流转环节压缩办理时长，在监管平台增设案件时限红黄预警与逐级督办机制，杜绝投诉积压、超期办结问题；另一方面常态化开展全员业务培训，重点强化工作人员法律运用、纠纷调解、群众沟通实操能力，提升投诉处置专业水平；同时优化绩效指标设置，搭建职能、绩效指标、预算三者联动匹配机制，并结合投诉举报数据定期复盘指标落地成效，动态调整工作举措，从源头提升目标设定科学性与履职匹配度。</w:t>
      </w:r>
    </w:p>
    <w:bookmarkEnd w:id="92"/>
    <w:p w14:paraId="23C1FCA5">
      <w:pPr>
        <w:pStyle w:val="91"/>
        <w:widowControl w:val="0"/>
        <w:spacing w:before="0" w:after="0"/>
        <w:ind w:left="0" w:firstLine="640" w:firstLineChars="200"/>
        <w:jc w:val="both"/>
        <w:rPr>
          <w:rFonts w:hint="default" w:ascii="Times New Roman" w:hAnsi="Times New Roman"/>
        </w:rPr>
      </w:pPr>
      <w:bookmarkStart w:id="93" w:name="_Toc23878"/>
      <w:r>
        <w:rPr>
          <w:rFonts w:ascii="Times New Roman" w:hAnsi="Times New Roman"/>
        </w:rPr>
        <w:t>七、绩效评价结果应用建议</w:t>
      </w:r>
      <w:bookmarkEnd w:id="93"/>
    </w:p>
    <w:p w14:paraId="6405FC7D">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针对上述绩效评价报告结果提出结果应用建议如下：</w:t>
      </w:r>
    </w:p>
    <w:p w14:paraId="54B42A3D">
      <w:pPr>
        <w:pStyle w:val="92"/>
        <w:keepNext/>
        <w:keepLines/>
        <w:pageBreakBefore w:val="0"/>
        <w:widowControl w:val="0"/>
        <w:kinsoku/>
        <w:wordWrap/>
        <w:overflowPunct/>
        <w:topLinePunct w:val="0"/>
        <w:autoSpaceDE/>
        <w:autoSpaceDN/>
        <w:bidi w:val="0"/>
        <w:adjustRightInd/>
        <w:snapToGrid/>
        <w:ind w:firstLine="643"/>
        <w:jc w:val="both"/>
        <w:textAlignment w:val="auto"/>
        <w:rPr>
          <w:rFonts w:ascii="Times New Roman" w:hAnsi="Times New Roman" w:cs="Times New Roman"/>
        </w:rPr>
      </w:pPr>
      <w:bookmarkStart w:id="94" w:name="_Toc14805"/>
      <w:r>
        <w:rPr>
          <w:rFonts w:ascii="Times New Roman" w:hAnsi="Times New Roman" w:cs="Times New Roman"/>
        </w:rPr>
        <w:t>（一）绩效结果挂钩次年预算资金安排</w:t>
      </w:r>
      <w:bookmarkEnd w:id="94"/>
    </w:p>
    <w:p w14:paraId="1EC5566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为有效提高财政预算资金的经济性、效率性以及效益性，建议将本次绩效评价结果作为预算单位次年预算编制的重要依据，并优化支出结构、完善相关办法、改进预算管理。对绩效评价结果为“优秀”和“良好”的项目，建议根据政策制度，结合喀什地区工作安排以及本级财力情况等因素，原则上优先予以保障。对绩效评价结果为“一般”的项目，项目实施单位应针对性提出整改措施，落实到位。本级财政部门在编制次年该预算单位同类型项目支出时，按比例扣减预算，具体扣减比例计算方式为：（80－项目绩效评价结果得分）/100。对绩效评价结果“较差”的项目，本级财政部门原则上不在次年预算中给予安排。</w:t>
      </w:r>
    </w:p>
    <w:p w14:paraId="13908B0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经通过对喀什市市场监督管理局部门整体支出绩效进行客观评价，最终评分结果：评价总分96.83分，绩效等级为“优”。根据《喀什市全过程预算绩效管理结果应用暂行办法》的规定，对于评价结果为“优”（90（含）-100分）：在下一年度部门预算编制中优先予以安排。</w:t>
      </w:r>
    </w:p>
    <w:p w14:paraId="2B317A2F">
      <w:pPr>
        <w:pStyle w:val="92"/>
        <w:keepNext/>
        <w:keepLines/>
        <w:pageBreakBefore w:val="0"/>
        <w:widowControl w:val="0"/>
        <w:kinsoku/>
        <w:wordWrap/>
        <w:overflowPunct/>
        <w:topLinePunct w:val="0"/>
        <w:autoSpaceDE/>
        <w:autoSpaceDN/>
        <w:bidi w:val="0"/>
        <w:adjustRightInd/>
        <w:snapToGrid/>
        <w:ind w:firstLine="643"/>
        <w:jc w:val="both"/>
        <w:textAlignment w:val="auto"/>
        <w:rPr>
          <w:rFonts w:ascii="Times New Roman" w:hAnsi="Times New Roman" w:cs="Times New Roman"/>
        </w:rPr>
      </w:pPr>
      <w:bookmarkStart w:id="95" w:name="_Toc11861"/>
      <w:r>
        <w:rPr>
          <w:rFonts w:ascii="Times New Roman" w:hAnsi="Times New Roman" w:cs="Times New Roman"/>
        </w:rPr>
        <w:t>（二）绩效结果挂钩整改措施</w:t>
      </w:r>
      <w:bookmarkEnd w:id="95"/>
    </w:p>
    <w:p w14:paraId="2429283B">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根据本次绩效评价报告中所反馈的问题和建议，由项目实施单位及时研究制定整改措施，积极落实整改要求，切实改进资金管理和项目管理，并在规定的时间内，将整改情况向喀什市财政局行文报告，并附《绩效评价结果整改报告》。</w:t>
      </w:r>
    </w:p>
    <w:p w14:paraId="59F91A07">
      <w:pPr>
        <w:pStyle w:val="92"/>
        <w:keepNext/>
        <w:keepLines/>
        <w:pageBreakBefore w:val="0"/>
        <w:widowControl w:val="0"/>
        <w:kinsoku/>
        <w:wordWrap/>
        <w:overflowPunct/>
        <w:topLinePunct w:val="0"/>
        <w:autoSpaceDE/>
        <w:autoSpaceDN/>
        <w:bidi w:val="0"/>
        <w:adjustRightInd/>
        <w:snapToGrid/>
        <w:ind w:firstLine="643"/>
        <w:jc w:val="both"/>
        <w:textAlignment w:val="auto"/>
        <w:rPr>
          <w:rFonts w:ascii="Times New Roman" w:hAnsi="Times New Roman" w:cs="Times New Roman"/>
        </w:rPr>
      </w:pPr>
      <w:bookmarkStart w:id="96" w:name="_Toc21881"/>
      <w:r>
        <w:rPr>
          <w:rFonts w:ascii="Times New Roman" w:hAnsi="Times New Roman" w:cs="Times New Roman"/>
        </w:rPr>
        <w:t>（三）绩效结果挂钩报告公开</w:t>
      </w:r>
      <w:bookmarkEnd w:id="96"/>
      <w:bookmarkStart w:id="97" w:name="_Toc80"/>
    </w:p>
    <w:p w14:paraId="44685A08">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积极推进评价结果和评价报告等绩效信息的公开。按照政府信息公开有关规定，由喀什市财政局将本次绩效评价的结果信息进行公开，加强社会和舆论监督，提高财政资金使用透明度。</w:t>
      </w:r>
    </w:p>
    <w:p w14:paraId="7252B66D">
      <w:pPr>
        <w:pStyle w:val="91"/>
        <w:widowControl w:val="0"/>
        <w:spacing w:before="0" w:after="0"/>
        <w:ind w:left="0" w:firstLine="640" w:firstLineChars="200"/>
        <w:jc w:val="both"/>
        <w:rPr>
          <w:rFonts w:hint="default" w:ascii="Times New Roman" w:hAnsi="Times New Roman"/>
        </w:rPr>
      </w:pPr>
      <w:bookmarkStart w:id="98" w:name="_Toc10389"/>
      <w:r>
        <w:rPr>
          <w:rFonts w:ascii="Times New Roman" w:hAnsi="Times New Roman"/>
        </w:rPr>
        <w:t>八、其他需说明的问题</w:t>
      </w:r>
      <w:bookmarkEnd w:id="97"/>
      <w:bookmarkEnd w:id="98"/>
    </w:p>
    <w:p w14:paraId="6A2D6569">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99" w:name="_Toc24989"/>
      <w:bookmarkStart w:id="100" w:name="_Toc4698"/>
      <w:r>
        <w:rPr>
          <w:rFonts w:ascii="Times New Roman" w:hAnsi="Times New Roman" w:cs="Times New Roman"/>
        </w:rPr>
        <w:t>（一）关于评价责任的说明</w:t>
      </w:r>
      <w:bookmarkEnd w:id="99"/>
      <w:bookmarkEnd w:id="100"/>
    </w:p>
    <w:p w14:paraId="6A986A0C">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绩效评价结论的可靠性基于项目主管单位提供资料的真实性和完整性，项目主管单位对向评价小组提供资料的真实性、合法性、完整性负责。评价小组已尽可能地收集更为全面、有效、准确的文件和数据，但受客观因素的限制，评价小组只能在项目主管单位提供现有资料的前提下，结合应有的职业判断做出尽可能全面、可靠的评价结论。报告使用人对评价结果的把握应建立在对本报告所提供的有关评价结果的各项条件及说明的认真阅读和理解之上。</w:t>
      </w:r>
    </w:p>
    <w:p w14:paraId="742946B1">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2.新疆高博会计师事务所与委托方、部门单位之间不存在任何特殊的、需要回避的利害关系，评价小组成员在开展绩效评价过程中恪守了职业道德规范。</w:t>
      </w:r>
    </w:p>
    <w:p w14:paraId="6E89E990">
      <w:pPr>
        <w:pStyle w:val="92"/>
        <w:keepNext/>
        <w:keepLines/>
        <w:pageBreakBefore w:val="0"/>
        <w:widowControl w:val="0"/>
        <w:kinsoku/>
        <w:wordWrap/>
        <w:overflowPunct/>
        <w:topLinePunct w:val="0"/>
        <w:autoSpaceDE/>
        <w:autoSpaceDN/>
        <w:bidi w:val="0"/>
        <w:adjustRightInd/>
        <w:snapToGrid/>
        <w:ind w:firstLine="643"/>
        <w:jc w:val="both"/>
        <w:textAlignment w:val="auto"/>
        <w:rPr>
          <w:rFonts w:hint="default" w:ascii="Times New Roman" w:hAnsi="Times New Roman" w:cs="Times New Roman"/>
        </w:rPr>
      </w:pPr>
      <w:bookmarkStart w:id="101" w:name="_Toc29979"/>
      <w:bookmarkStart w:id="102" w:name="_Toc13741"/>
      <w:r>
        <w:rPr>
          <w:rFonts w:ascii="Times New Roman" w:hAnsi="Times New Roman" w:cs="Times New Roman"/>
        </w:rPr>
        <w:t>（二）本次绩效评价的局限性</w:t>
      </w:r>
      <w:bookmarkEnd w:id="101"/>
      <w:bookmarkEnd w:id="102"/>
    </w:p>
    <w:p w14:paraId="3BD21D7E">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本次评价涉及的部分统计数据和反映定性指标完成程度的评价依据由喀什市市场监督管理局所提供的资料当中提取。评价小组对本次评价过程中发现的问题存在一定局限性，可能影响本次评价结果。</w:t>
      </w:r>
    </w:p>
    <w:p w14:paraId="06C23F12">
      <w:pPr>
        <w:pStyle w:val="72"/>
        <w:spacing w:line="580" w:lineRule="exact"/>
        <w:ind w:firstLine="667" w:firstLineChars="200"/>
        <w:rPr>
          <w:rFonts w:ascii="Times New Roman" w:eastAsia="方正仿宋_GBK"/>
          <w:b/>
        </w:rPr>
      </w:pPr>
    </w:p>
    <w:p w14:paraId="64FA5646">
      <w:pPr>
        <w:pStyle w:val="72"/>
        <w:tabs>
          <w:tab w:val="left" w:pos="3107"/>
        </w:tabs>
        <w:spacing w:line="580" w:lineRule="exact"/>
        <w:ind w:left="0" w:leftChars="0" w:firstLine="0" w:firstLineChars="0"/>
        <w:rPr>
          <w:rFonts w:hint="eastAsia" w:ascii="Times New Roman" w:hAnsi="Times New Roman" w:eastAsia="方正仿宋_GBK" w:cs="Times New Roman"/>
          <w:b/>
          <w:lang w:eastAsia="zh-CN"/>
        </w:rPr>
      </w:pPr>
      <w:r>
        <w:rPr>
          <w:rFonts w:hint="eastAsia" w:ascii="Times New Roman" w:eastAsia="方正仿宋_GBK" w:cs="Times New Roman"/>
          <w:b/>
          <w:lang w:eastAsia="zh-CN"/>
        </w:rPr>
        <w:tab/>
      </w:r>
    </w:p>
    <w:p w14:paraId="72CCB93B">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附件：</w:t>
      </w:r>
    </w:p>
    <w:p w14:paraId="32EB0BAA">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1.喀什市市场监督管理局2025年度部门（单位）整体支出绩效评价指标体系</w:t>
      </w:r>
    </w:p>
    <w:p w14:paraId="7E2B3CB7">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2.基本信息表</w:t>
      </w:r>
    </w:p>
    <w:p w14:paraId="5BC52F0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3.访谈记录</w:t>
      </w:r>
    </w:p>
    <w:p w14:paraId="36A99414">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bidi="ar"/>
        </w:rPr>
      </w:pPr>
      <w:r>
        <w:rPr>
          <w:rFonts w:hint="eastAsia" w:eastAsia="仿宋_GB2312"/>
          <w:bCs/>
          <w:kern w:val="0"/>
          <w:sz w:val="32"/>
          <w:szCs w:val="32"/>
          <w:lang w:bidi="ar"/>
        </w:rPr>
        <w:t>4.实地勘察记录</w:t>
      </w:r>
    </w:p>
    <w:p w14:paraId="22A2A520">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eastAsia" w:eastAsia="仿宋_GB2312"/>
          <w:bCs/>
          <w:kern w:val="0"/>
          <w:sz w:val="32"/>
          <w:szCs w:val="32"/>
          <w:lang w:val="en-US" w:eastAsia="zh-CN" w:bidi="ar"/>
        </w:rPr>
      </w:pPr>
      <w:r>
        <w:rPr>
          <w:rFonts w:hint="eastAsia" w:eastAsia="仿宋_GB2312"/>
          <w:bCs/>
          <w:kern w:val="0"/>
          <w:sz w:val="32"/>
          <w:szCs w:val="32"/>
          <w:lang w:bidi="ar"/>
        </w:rPr>
        <w:t>5.</w:t>
      </w:r>
      <w:r>
        <w:rPr>
          <w:rFonts w:hint="eastAsia" w:eastAsia="仿宋_GB2312"/>
          <w:bCs/>
          <w:kern w:val="0"/>
          <w:sz w:val="32"/>
          <w:szCs w:val="32"/>
          <w:lang w:val="en-US" w:eastAsia="zh-CN" w:bidi="ar"/>
        </w:rPr>
        <w:t>绩效评价报告单位反馈意见单</w:t>
      </w:r>
    </w:p>
    <w:p w14:paraId="664D9752">
      <w:pPr>
        <w:pStyle w:val="13"/>
        <w:keepNext w:val="0"/>
        <w:keepLines w:val="0"/>
        <w:pageBreakBefore w:val="0"/>
        <w:widowControl w:val="0"/>
        <w:kinsoku/>
        <w:wordWrap/>
        <w:overflowPunct/>
        <w:topLinePunct w:val="0"/>
        <w:autoSpaceDE/>
        <w:autoSpaceDN/>
        <w:bidi w:val="0"/>
        <w:adjustRightInd/>
        <w:snapToGrid/>
        <w:spacing w:after="0" w:line="560" w:lineRule="exact"/>
        <w:ind w:firstLine="640" w:firstLineChars="200"/>
        <w:contextualSpacing/>
        <w:textAlignment w:val="auto"/>
        <w:rPr>
          <w:rFonts w:hint="default" w:eastAsia="仿宋_GB2312"/>
          <w:bCs/>
          <w:kern w:val="0"/>
          <w:sz w:val="32"/>
          <w:szCs w:val="32"/>
          <w:lang w:val="en-US" w:eastAsia="zh-CN" w:bidi="ar"/>
        </w:rPr>
      </w:pPr>
      <w:r>
        <w:rPr>
          <w:rFonts w:hint="eastAsia" w:eastAsia="仿宋_GB2312"/>
          <w:bCs/>
          <w:kern w:val="0"/>
          <w:sz w:val="32"/>
          <w:szCs w:val="32"/>
          <w:lang w:val="en-US" w:eastAsia="zh-CN" w:bidi="ar"/>
        </w:rPr>
        <w:t>6.绩效评价报告财政部门意见反馈表</w:t>
      </w:r>
    </w:p>
    <w:p w14:paraId="79889E18">
      <w:pPr>
        <w:pStyle w:val="72"/>
        <w:spacing w:before="720" w:line="700" w:lineRule="exact"/>
        <w:ind w:firstLine="0" w:firstLineChars="0"/>
        <w:jc w:val="center"/>
        <w:rPr>
          <w:rFonts w:ascii="Times New Roman"/>
        </w:rPr>
      </w:pPr>
    </w:p>
    <w:p w14:paraId="54A578A4">
      <w:pPr>
        <w:pStyle w:val="72"/>
        <w:spacing w:before="720" w:line="700" w:lineRule="exact"/>
        <w:ind w:firstLine="0" w:firstLineChars="0"/>
        <w:jc w:val="right"/>
        <w:rPr>
          <w:rFonts w:ascii="Times New Roman"/>
        </w:rPr>
      </w:pPr>
      <w:r>
        <w:rPr>
          <w:rFonts w:ascii="Times New Roman"/>
        </w:rPr>
        <w:t>新疆高博有限责任会计师事务所</w:t>
      </w:r>
    </w:p>
    <w:p w14:paraId="6B12185F">
      <w:pPr>
        <w:pStyle w:val="72"/>
        <w:spacing w:line="700" w:lineRule="exact"/>
        <w:ind w:firstLine="0" w:firstLineChars="0"/>
        <w:jc w:val="center"/>
        <w:rPr>
          <w:rFonts w:ascii="Times New Roman"/>
          <w:spacing w:val="0"/>
        </w:rPr>
      </w:pPr>
      <w:r>
        <w:rPr>
          <w:rFonts w:hint="eastAsia" w:ascii="Times New Roman"/>
          <w:spacing w:val="0"/>
          <w:lang w:val="en-US" w:eastAsia="zh-CN"/>
        </w:rPr>
        <w:t xml:space="preserve">                           </w:t>
      </w:r>
      <w:r>
        <w:rPr>
          <w:rFonts w:ascii="Times New Roman"/>
          <w:spacing w:val="0"/>
        </w:rPr>
        <w:t>202</w:t>
      </w:r>
      <w:r>
        <w:rPr>
          <w:rFonts w:hint="eastAsia" w:ascii="Times New Roman"/>
          <w:spacing w:val="0"/>
        </w:rPr>
        <w:t>6</w:t>
      </w:r>
      <w:r>
        <w:rPr>
          <w:rFonts w:ascii="Times New Roman"/>
          <w:spacing w:val="0"/>
        </w:rPr>
        <w:t>年</w:t>
      </w:r>
      <w:r>
        <w:rPr>
          <w:rFonts w:hint="eastAsia" w:ascii="Times New Roman"/>
          <w:spacing w:val="0"/>
        </w:rPr>
        <w:t>8</w:t>
      </w:r>
      <w:r>
        <w:rPr>
          <w:rFonts w:ascii="Times New Roman"/>
          <w:spacing w:val="0"/>
        </w:rPr>
        <w:t>月</w:t>
      </w:r>
      <w:r>
        <w:rPr>
          <w:rFonts w:hint="eastAsia" w:ascii="Times New Roman"/>
          <w:spacing w:val="0"/>
        </w:rPr>
        <w:t>10</w:t>
      </w:r>
      <w:r>
        <w:rPr>
          <w:rFonts w:ascii="Times New Roman"/>
          <w:spacing w:val="0"/>
        </w:rPr>
        <w:t>日</w:t>
      </w:r>
    </w:p>
    <w:p w14:paraId="303DEAD3">
      <w:pPr>
        <w:pStyle w:val="72"/>
        <w:spacing w:line="580" w:lineRule="exact"/>
        <w:ind w:firstLine="734"/>
        <w:rPr>
          <w:rFonts w:ascii="Times New Roman" w:eastAsia="方正仿宋_GBK"/>
        </w:rPr>
        <w:sectPr>
          <w:footerReference r:id="rId11" w:type="default"/>
          <w:footerReference r:id="rId12" w:type="even"/>
          <w:pgSz w:w="11906" w:h="16838"/>
          <w:pgMar w:top="1985" w:right="1531" w:bottom="1701" w:left="1531" w:header="850" w:footer="992" w:gutter="0"/>
          <w:pgBorders>
            <w:top w:val="none" w:sz="0" w:space="0"/>
            <w:left w:val="none" w:sz="0" w:space="0"/>
            <w:bottom w:val="none" w:sz="0" w:space="0"/>
            <w:right w:val="none" w:sz="0" w:space="0"/>
          </w:pgBorders>
          <w:pgNumType w:start="1"/>
          <w:cols w:space="720" w:num="1"/>
          <w:docGrid w:linePitch="312" w:charSpace="0"/>
        </w:sectPr>
      </w:pPr>
    </w:p>
    <w:p w14:paraId="5266734C">
      <w:pPr>
        <w:pStyle w:val="91"/>
        <w:keepNext w:val="0"/>
        <w:keepLines w:val="0"/>
        <w:pageBreakBefore w:val="0"/>
        <w:widowControl w:val="0"/>
        <w:kinsoku/>
        <w:wordWrap/>
        <w:overflowPunct/>
        <w:topLinePunct w:val="0"/>
        <w:autoSpaceDE/>
        <w:autoSpaceDN/>
        <w:bidi w:val="0"/>
        <w:adjustRightInd/>
        <w:snapToGrid/>
        <w:spacing w:before="0" w:after="0"/>
        <w:ind w:left="0" w:firstLine="640" w:firstLineChars="200"/>
        <w:jc w:val="both"/>
        <w:textAlignment w:val="auto"/>
        <w:rPr>
          <w:rFonts w:hint="default" w:ascii="Times New Roman" w:hAnsi="Times New Roman" w:eastAsia="仿宋_GB2312"/>
          <w:bCs/>
          <w:sz w:val="32"/>
        </w:rPr>
      </w:pPr>
      <w:bookmarkStart w:id="103" w:name="_Toc19452"/>
      <w:bookmarkStart w:id="104" w:name="_Toc13404"/>
      <w:r>
        <w:rPr>
          <w:rFonts w:ascii="Times New Roman" w:hAnsi="Times New Roman" w:eastAsia="仿宋_GB2312"/>
          <w:bCs/>
          <w:sz w:val="32"/>
        </w:rPr>
        <w:t>附件1：喀什市市场监督管理局2025年度部门（单位）整体支出绩效评价体系</w:t>
      </w:r>
      <w:bookmarkEnd w:id="103"/>
      <w:bookmarkEnd w:id="104"/>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860"/>
        <w:gridCol w:w="1215"/>
        <w:gridCol w:w="468"/>
        <w:gridCol w:w="906"/>
        <w:gridCol w:w="749"/>
        <w:gridCol w:w="380"/>
        <w:gridCol w:w="762"/>
        <w:gridCol w:w="1085"/>
        <w:gridCol w:w="3051"/>
        <w:gridCol w:w="588"/>
        <w:gridCol w:w="695"/>
        <w:gridCol w:w="928"/>
        <w:gridCol w:w="51"/>
        <w:gridCol w:w="989"/>
      </w:tblGrid>
      <w:tr w14:paraId="61C4C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39" w:type="pct"/>
            <w:vAlign w:val="center"/>
          </w:tcPr>
          <w:p w14:paraId="3F6211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
                <w:bCs w:val="0"/>
                <w:kern w:val="0"/>
                <w:sz w:val="22"/>
              </w:rPr>
            </w:pPr>
            <w:r>
              <w:rPr>
                <w:rFonts w:hint="eastAsia" w:ascii="Times New Roman" w:hAnsi="Times New Roman" w:eastAsia="仿宋_GB2312"/>
                <w:b/>
                <w:bCs w:val="0"/>
                <w:kern w:val="0"/>
                <w:sz w:val="22"/>
              </w:rPr>
              <w:t>一级指标</w:t>
            </w:r>
          </w:p>
        </w:tc>
        <w:tc>
          <w:tcPr>
            <w:tcW w:w="321" w:type="pct"/>
            <w:vAlign w:val="center"/>
          </w:tcPr>
          <w:p w14:paraId="30540A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
                <w:bCs w:val="0"/>
                <w:kern w:val="0"/>
                <w:sz w:val="22"/>
              </w:rPr>
            </w:pPr>
            <w:r>
              <w:rPr>
                <w:rFonts w:hint="eastAsia" w:ascii="Times New Roman" w:hAnsi="Times New Roman" w:eastAsia="仿宋_GB2312"/>
                <w:b/>
                <w:bCs w:val="0"/>
                <w:kern w:val="0"/>
                <w:sz w:val="22"/>
              </w:rPr>
              <w:t>二级指标</w:t>
            </w:r>
          </w:p>
        </w:tc>
        <w:tc>
          <w:tcPr>
            <w:tcW w:w="454" w:type="pct"/>
            <w:vAlign w:val="center"/>
          </w:tcPr>
          <w:p w14:paraId="231BFC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
                <w:bCs w:val="0"/>
                <w:kern w:val="0"/>
                <w:sz w:val="22"/>
              </w:rPr>
            </w:pPr>
            <w:r>
              <w:rPr>
                <w:rFonts w:hint="eastAsia" w:ascii="Times New Roman" w:hAnsi="Times New Roman" w:eastAsia="仿宋_GB2312"/>
                <w:b/>
                <w:bCs w:val="0"/>
                <w:kern w:val="0"/>
                <w:sz w:val="22"/>
              </w:rPr>
              <w:t>三级指标</w:t>
            </w:r>
          </w:p>
        </w:tc>
        <w:tc>
          <w:tcPr>
            <w:tcW w:w="175" w:type="pct"/>
            <w:vAlign w:val="center"/>
          </w:tcPr>
          <w:p w14:paraId="03B63E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
                <w:bCs w:val="0"/>
                <w:kern w:val="0"/>
                <w:sz w:val="22"/>
              </w:rPr>
            </w:pPr>
            <w:r>
              <w:rPr>
                <w:rFonts w:hint="eastAsia" w:ascii="Times New Roman" w:hAnsi="Times New Roman" w:eastAsia="仿宋_GB2312"/>
                <w:b/>
                <w:bCs w:val="0"/>
                <w:kern w:val="0"/>
                <w:sz w:val="22"/>
              </w:rPr>
              <w:t>权重</w:t>
            </w:r>
          </w:p>
        </w:tc>
        <w:tc>
          <w:tcPr>
            <w:tcW w:w="338" w:type="pct"/>
            <w:vAlign w:val="center"/>
          </w:tcPr>
          <w:p w14:paraId="017ACC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
                <w:bCs w:val="0"/>
                <w:kern w:val="0"/>
                <w:sz w:val="22"/>
              </w:rPr>
            </w:pPr>
            <w:r>
              <w:rPr>
                <w:rFonts w:hint="eastAsia" w:ascii="Times New Roman" w:hAnsi="Times New Roman" w:eastAsia="仿宋_GB2312"/>
                <w:b/>
                <w:bCs w:val="0"/>
                <w:kern w:val="0"/>
                <w:sz w:val="22"/>
              </w:rPr>
              <w:t>指标解释</w:t>
            </w:r>
          </w:p>
        </w:tc>
        <w:tc>
          <w:tcPr>
            <w:tcW w:w="280" w:type="pct"/>
            <w:vAlign w:val="center"/>
          </w:tcPr>
          <w:p w14:paraId="5F094F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
                <w:bCs w:val="0"/>
                <w:kern w:val="0"/>
                <w:sz w:val="22"/>
              </w:rPr>
            </w:pPr>
            <w:r>
              <w:rPr>
                <w:rFonts w:hint="eastAsia" w:ascii="Times New Roman" w:hAnsi="Times New Roman" w:eastAsia="仿宋_GB2312"/>
                <w:b/>
                <w:bCs w:val="0"/>
                <w:kern w:val="0"/>
                <w:sz w:val="22"/>
              </w:rPr>
              <w:t>标杆值</w:t>
            </w:r>
          </w:p>
        </w:tc>
        <w:tc>
          <w:tcPr>
            <w:tcW w:w="427" w:type="pct"/>
            <w:gridSpan w:val="2"/>
            <w:vAlign w:val="center"/>
          </w:tcPr>
          <w:p w14:paraId="034443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
                <w:bCs w:val="0"/>
                <w:kern w:val="0"/>
                <w:sz w:val="22"/>
              </w:rPr>
            </w:pPr>
            <w:r>
              <w:rPr>
                <w:rFonts w:hint="eastAsia" w:ascii="Times New Roman" w:hAnsi="Times New Roman" w:eastAsia="仿宋_GB2312"/>
                <w:b/>
                <w:bCs w:val="0"/>
                <w:kern w:val="0"/>
                <w:sz w:val="22"/>
              </w:rPr>
              <w:t>评分标准</w:t>
            </w:r>
          </w:p>
        </w:tc>
        <w:tc>
          <w:tcPr>
            <w:tcW w:w="405" w:type="pct"/>
            <w:vAlign w:val="center"/>
          </w:tcPr>
          <w:p w14:paraId="6CCFFC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
                <w:bCs w:val="0"/>
                <w:kern w:val="0"/>
                <w:sz w:val="22"/>
              </w:rPr>
            </w:pPr>
            <w:r>
              <w:rPr>
                <w:rFonts w:hint="eastAsia" w:ascii="Times New Roman" w:hAnsi="Times New Roman" w:eastAsia="仿宋_GB2312"/>
                <w:b/>
                <w:bCs w:val="0"/>
                <w:kern w:val="0"/>
                <w:sz w:val="22"/>
              </w:rPr>
              <w:t>赋分规则</w:t>
            </w:r>
          </w:p>
        </w:tc>
        <w:tc>
          <w:tcPr>
            <w:tcW w:w="1141" w:type="pct"/>
            <w:vAlign w:val="center"/>
          </w:tcPr>
          <w:p w14:paraId="021812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
                <w:bCs w:val="0"/>
                <w:kern w:val="0"/>
                <w:sz w:val="22"/>
              </w:rPr>
            </w:pPr>
            <w:r>
              <w:rPr>
                <w:rFonts w:hint="eastAsia" w:ascii="Times New Roman" w:hAnsi="Times New Roman" w:eastAsia="仿宋_GB2312"/>
                <w:b/>
                <w:bCs w:val="0"/>
                <w:kern w:val="0"/>
                <w:sz w:val="22"/>
              </w:rPr>
              <w:t>评分过程</w:t>
            </w:r>
          </w:p>
        </w:tc>
        <w:tc>
          <w:tcPr>
            <w:tcW w:w="219" w:type="pct"/>
            <w:vAlign w:val="center"/>
          </w:tcPr>
          <w:p w14:paraId="709522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
                <w:bCs w:val="0"/>
                <w:kern w:val="0"/>
                <w:sz w:val="22"/>
              </w:rPr>
            </w:pPr>
            <w:r>
              <w:rPr>
                <w:rFonts w:hint="eastAsia" w:ascii="Times New Roman" w:hAnsi="Times New Roman" w:eastAsia="仿宋_GB2312"/>
                <w:b/>
                <w:bCs w:val="0"/>
                <w:kern w:val="0"/>
                <w:sz w:val="22"/>
              </w:rPr>
              <w:t>扣分</w:t>
            </w:r>
          </w:p>
        </w:tc>
        <w:tc>
          <w:tcPr>
            <w:tcW w:w="259" w:type="pct"/>
            <w:noWrap/>
            <w:vAlign w:val="center"/>
          </w:tcPr>
          <w:p w14:paraId="244DEA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
                <w:bCs w:val="0"/>
                <w:kern w:val="0"/>
                <w:sz w:val="22"/>
              </w:rPr>
            </w:pPr>
            <w:r>
              <w:rPr>
                <w:rFonts w:hint="eastAsia" w:ascii="Times New Roman" w:hAnsi="Times New Roman" w:eastAsia="仿宋_GB2312"/>
                <w:b/>
                <w:bCs w:val="0"/>
                <w:kern w:val="0"/>
                <w:sz w:val="22"/>
              </w:rPr>
              <w:t>得分</w:t>
            </w:r>
          </w:p>
        </w:tc>
        <w:tc>
          <w:tcPr>
            <w:tcW w:w="366" w:type="pct"/>
            <w:gridSpan w:val="2"/>
            <w:noWrap/>
            <w:vAlign w:val="center"/>
          </w:tcPr>
          <w:p w14:paraId="5C2737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
                <w:bCs w:val="0"/>
                <w:kern w:val="0"/>
                <w:sz w:val="22"/>
              </w:rPr>
            </w:pPr>
            <w:r>
              <w:rPr>
                <w:rFonts w:hint="eastAsia" w:ascii="Times New Roman" w:hAnsi="Times New Roman" w:eastAsia="仿宋_GB2312"/>
                <w:b/>
                <w:bCs w:val="0"/>
                <w:kern w:val="0"/>
                <w:sz w:val="22"/>
              </w:rPr>
              <w:t>得分率</w:t>
            </w:r>
          </w:p>
        </w:tc>
        <w:tc>
          <w:tcPr>
            <w:tcW w:w="369" w:type="pct"/>
            <w:vAlign w:val="center"/>
          </w:tcPr>
          <w:p w14:paraId="6791DC7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
                <w:bCs w:val="0"/>
                <w:sz w:val="22"/>
              </w:rPr>
            </w:pPr>
            <w:r>
              <w:rPr>
                <w:rFonts w:hint="eastAsia" w:ascii="Times New Roman" w:hAnsi="Times New Roman" w:eastAsia="仿宋_GB2312"/>
                <w:b/>
                <w:bCs w:val="0"/>
                <w:sz w:val="22"/>
              </w:rPr>
              <w:t>扣分原因</w:t>
            </w:r>
          </w:p>
        </w:tc>
      </w:tr>
      <w:tr w14:paraId="4D2B6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restart"/>
            <w:vAlign w:val="center"/>
          </w:tcPr>
          <w:p w14:paraId="55EB03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部门决策</w:t>
            </w:r>
          </w:p>
          <w:p w14:paraId="33FE66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（15分）</w:t>
            </w:r>
          </w:p>
        </w:tc>
        <w:tc>
          <w:tcPr>
            <w:tcW w:w="321" w:type="pct"/>
            <w:vMerge w:val="restart"/>
            <w:vAlign w:val="center"/>
          </w:tcPr>
          <w:p w14:paraId="41A0ED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职能设置科学合理性</w:t>
            </w:r>
          </w:p>
        </w:tc>
        <w:tc>
          <w:tcPr>
            <w:tcW w:w="454" w:type="pct"/>
            <w:vAlign w:val="center"/>
          </w:tcPr>
          <w:p w14:paraId="55D0E9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职能设定明确性</w:t>
            </w:r>
          </w:p>
        </w:tc>
        <w:tc>
          <w:tcPr>
            <w:tcW w:w="175" w:type="pct"/>
            <w:vAlign w:val="center"/>
          </w:tcPr>
          <w:p w14:paraId="4A8D89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1</w:t>
            </w:r>
          </w:p>
        </w:tc>
        <w:tc>
          <w:tcPr>
            <w:tcW w:w="338" w:type="pct"/>
            <w:vAlign w:val="center"/>
          </w:tcPr>
          <w:p w14:paraId="32D2C2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考察部门对下属单位（科室）职能设定的明确性。</w:t>
            </w:r>
          </w:p>
        </w:tc>
        <w:tc>
          <w:tcPr>
            <w:tcW w:w="280" w:type="pct"/>
            <w:vAlign w:val="center"/>
          </w:tcPr>
          <w:p w14:paraId="5A8B10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明确</w:t>
            </w:r>
          </w:p>
        </w:tc>
        <w:tc>
          <w:tcPr>
            <w:tcW w:w="427" w:type="pct"/>
            <w:gridSpan w:val="2"/>
            <w:vAlign w:val="center"/>
          </w:tcPr>
          <w:p w14:paraId="23FD16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评价要点：</w:t>
            </w:r>
          </w:p>
          <w:p w14:paraId="3F4CF7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①职能设置与“三定”方案一致，并分解到各部门，得1分；</w:t>
            </w:r>
          </w:p>
          <w:p w14:paraId="06B3D2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②职责不清晰，得0.5分；未进行职责分解的，得0分。</w:t>
            </w:r>
          </w:p>
        </w:tc>
        <w:tc>
          <w:tcPr>
            <w:tcW w:w="405" w:type="pct"/>
            <w:vAlign w:val="center"/>
          </w:tcPr>
          <w:p w14:paraId="3B964E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根据评分标准中的具体分值进行赋分</w:t>
            </w:r>
          </w:p>
        </w:tc>
        <w:tc>
          <w:tcPr>
            <w:tcW w:w="1141" w:type="pct"/>
            <w:vAlign w:val="center"/>
          </w:tcPr>
          <w:p w14:paraId="1058D4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根据《关于印发〈</w:t>
            </w:r>
            <w:r>
              <w:rPr>
                <w:rFonts w:hint="eastAsia" w:ascii="Times New Roman" w:hAnsi="Times New Roman" w:eastAsia="仿宋_GB2312"/>
                <w:bCs/>
                <w:kern w:val="0"/>
                <w:sz w:val="22"/>
              </w:rPr>
              <w:t>喀什市</w:t>
            </w:r>
            <w:r>
              <w:rPr>
                <w:rFonts w:hint="default" w:ascii="Times New Roman" w:hAnsi="Times New Roman" w:eastAsia="仿宋_GB2312"/>
                <w:bCs/>
                <w:kern w:val="0"/>
                <w:sz w:val="22"/>
              </w:rPr>
              <w:t>市场监督管理局职能配置、内设机构和人员编制规定〉的通知》（</w:t>
            </w:r>
            <w:r>
              <w:rPr>
                <w:rFonts w:hint="eastAsia" w:ascii="Times New Roman" w:hAnsi="Times New Roman" w:eastAsia="仿宋_GB2312"/>
                <w:bCs/>
                <w:kern w:val="0"/>
                <w:sz w:val="22"/>
              </w:rPr>
              <w:t>喀市</w:t>
            </w:r>
            <w:r>
              <w:rPr>
                <w:rFonts w:hint="default" w:ascii="Times New Roman" w:hAnsi="Times New Roman" w:eastAsia="仿宋_GB2312"/>
                <w:bCs/>
                <w:kern w:val="0"/>
                <w:sz w:val="22"/>
              </w:rPr>
              <w:t>党办字﹝2019﹞</w:t>
            </w:r>
            <w:r>
              <w:rPr>
                <w:rFonts w:hint="eastAsia" w:ascii="Times New Roman" w:hAnsi="Times New Roman" w:eastAsia="仿宋_GB2312"/>
                <w:bCs/>
                <w:kern w:val="0"/>
                <w:sz w:val="22"/>
              </w:rPr>
              <w:t>36</w:t>
            </w:r>
            <w:r>
              <w:rPr>
                <w:rFonts w:hint="default" w:ascii="Times New Roman" w:hAnsi="Times New Roman" w:eastAsia="仿宋_GB2312"/>
                <w:bCs/>
                <w:kern w:val="0"/>
                <w:sz w:val="22"/>
              </w:rPr>
              <w:t>号）显示，</w:t>
            </w:r>
            <w:r>
              <w:rPr>
                <w:rFonts w:hint="eastAsia" w:ascii="Times New Roman" w:hAnsi="Times New Roman" w:eastAsia="仿宋_GB2312"/>
                <w:bCs/>
                <w:kern w:val="0"/>
                <w:sz w:val="22"/>
              </w:rPr>
              <w:t>喀什市市场监督管理局内设党政办公室、计划财务股、纪检监察股、政策法规股、行政许可股、打假举报受理指挥中心等15个机构，</w:t>
            </w:r>
            <w:r>
              <w:rPr>
                <w:rFonts w:hint="default" w:ascii="Times New Roman" w:hAnsi="Times New Roman" w:eastAsia="仿宋_GB2312"/>
                <w:bCs/>
                <w:kern w:val="0"/>
                <w:sz w:val="22"/>
              </w:rPr>
              <w:t>各个岗位职能设定明确，职能设置与“三定”方案一致，并分解到各部门且职责清晰明了，相应的职责细化落实完整</w:t>
            </w:r>
            <w:r>
              <w:rPr>
                <w:rFonts w:hint="eastAsia" w:ascii="Times New Roman" w:hAnsi="Times New Roman" w:eastAsia="仿宋_GB2312"/>
                <w:bCs/>
                <w:kern w:val="0"/>
                <w:sz w:val="22"/>
              </w:rPr>
              <w:t>。</w:t>
            </w:r>
            <w:r>
              <w:rPr>
                <w:rFonts w:hint="default" w:ascii="Times New Roman" w:hAnsi="Times New Roman" w:eastAsia="仿宋_GB2312"/>
                <w:bCs/>
                <w:kern w:val="0"/>
                <w:sz w:val="22"/>
              </w:rPr>
              <w:t>综上所述，该指标得1分。</w:t>
            </w:r>
          </w:p>
        </w:tc>
        <w:tc>
          <w:tcPr>
            <w:tcW w:w="219" w:type="pct"/>
            <w:vAlign w:val="center"/>
          </w:tcPr>
          <w:p w14:paraId="3ACEB3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0</w:t>
            </w:r>
          </w:p>
        </w:tc>
        <w:tc>
          <w:tcPr>
            <w:tcW w:w="259" w:type="pct"/>
            <w:vAlign w:val="center"/>
          </w:tcPr>
          <w:p w14:paraId="26C65A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1</w:t>
            </w:r>
          </w:p>
        </w:tc>
        <w:tc>
          <w:tcPr>
            <w:tcW w:w="366" w:type="pct"/>
            <w:gridSpan w:val="2"/>
            <w:vAlign w:val="center"/>
          </w:tcPr>
          <w:p w14:paraId="229279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100.00%</w:t>
            </w:r>
          </w:p>
        </w:tc>
        <w:tc>
          <w:tcPr>
            <w:tcW w:w="369" w:type="pct"/>
            <w:vAlign w:val="center"/>
          </w:tcPr>
          <w:p w14:paraId="68562DE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4F90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1624FE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p>
        </w:tc>
        <w:tc>
          <w:tcPr>
            <w:tcW w:w="321" w:type="pct"/>
            <w:vMerge w:val="continue"/>
            <w:vAlign w:val="center"/>
          </w:tcPr>
          <w:p w14:paraId="244D19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p>
        </w:tc>
        <w:tc>
          <w:tcPr>
            <w:tcW w:w="454" w:type="pct"/>
            <w:vAlign w:val="center"/>
          </w:tcPr>
          <w:p w14:paraId="3CD4A3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人员岗位职责明确性</w:t>
            </w:r>
          </w:p>
        </w:tc>
        <w:tc>
          <w:tcPr>
            <w:tcW w:w="175" w:type="pct"/>
            <w:vAlign w:val="center"/>
          </w:tcPr>
          <w:p w14:paraId="44A223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1</w:t>
            </w:r>
          </w:p>
        </w:tc>
        <w:tc>
          <w:tcPr>
            <w:tcW w:w="338" w:type="pct"/>
            <w:vAlign w:val="center"/>
          </w:tcPr>
          <w:p w14:paraId="1B33F7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考察部门对人员岗位职责设定的明确性。</w:t>
            </w:r>
          </w:p>
        </w:tc>
        <w:tc>
          <w:tcPr>
            <w:tcW w:w="280" w:type="pct"/>
            <w:vAlign w:val="center"/>
          </w:tcPr>
          <w:p w14:paraId="3397FF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明确</w:t>
            </w:r>
          </w:p>
        </w:tc>
        <w:tc>
          <w:tcPr>
            <w:tcW w:w="427" w:type="pct"/>
            <w:gridSpan w:val="2"/>
            <w:vAlign w:val="center"/>
          </w:tcPr>
          <w:p w14:paraId="693035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评价要点：</w:t>
            </w:r>
          </w:p>
          <w:p w14:paraId="798ABF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①部门职责细化落实到岗位和人员，得1分；</w:t>
            </w:r>
          </w:p>
          <w:p w14:paraId="5AD1EC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②职责细化落实不完整，得0.5分；</w:t>
            </w:r>
          </w:p>
          <w:p w14:paraId="426479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③未细化落实，得0分。</w:t>
            </w:r>
          </w:p>
        </w:tc>
        <w:tc>
          <w:tcPr>
            <w:tcW w:w="405" w:type="pct"/>
            <w:vAlign w:val="center"/>
          </w:tcPr>
          <w:p w14:paraId="23916B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根据评分标准中的具体分值进行赋分</w:t>
            </w:r>
          </w:p>
        </w:tc>
        <w:tc>
          <w:tcPr>
            <w:tcW w:w="1141" w:type="pct"/>
            <w:vAlign w:val="center"/>
          </w:tcPr>
          <w:p w14:paraId="1CE0C6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根据</w:t>
            </w:r>
            <w:r>
              <w:rPr>
                <w:rFonts w:hint="eastAsia" w:ascii="Times New Roman" w:hAnsi="Times New Roman" w:eastAsia="仿宋_GB2312"/>
                <w:bCs/>
                <w:kern w:val="0"/>
                <w:sz w:val="22"/>
              </w:rPr>
              <w:t>喀什市市场监督管理局《科室职责清单及岗位设置》《喀什市市场监督管理局在职人员花名册》</w:t>
            </w:r>
            <w:r>
              <w:rPr>
                <w:rFonts w:hint="default" w:ascii="Times New Roman" w:hAnsi="Times New Roman" w:eastAsia="仿宋_GB2312"/>
                <w:bCs/>
                <w:kern w:val="0"/>
                <w:sz w:val="22"/>
              </w:rPr>
              <w:t>及《关于印发〈</w:t>
            </w:r>
            <w:r>
              <w:rPr>
                <w:rFonts w:hint="eastAsia" w:ascii="Times New Roman" w:hAnsi="Times New Roman" w:eastAsia="仿宋_GB2312"/>
                <w:bCs/>
                <w:kern w:val="0"/>
                <w:sz w:val="22"/>
              </w:rPr>
              <w:t>喀什市</w:t>
            </w:r>
            <w:r>
              <w:rPr>
                <w:rFonts w:hint="default" w:ascii="Times New Roman" w:hAnsi="Times New Roman" w:eastAsia="仿宋_GB2312"/>
                <w:bCs/>
                <w:kern w:val="0"/>
                <w:sz w:val="22"/>
              </w:rPr>
              <w:t>市场监督管理局职能配置、内设机构和人员编制规定〉的通知》（</w:t>
            </w:r>
            <w:r>
              <w:rPr>
                <w:rFonts w:hint="eastAsia" w:ascii="Times New Roman" w:hAnsi="Times New Roman" w:eastAsia="仿宋_GB2312"/>
                <w:bCs/>
                <w:kern w:val="0"/>
                <w:sz w:val="22"/>
              </w:rPr>
              <w:t>喀市</w:t>
            </w:r>
            <w:r>
              <w:rPr>
                <w:rFonts w:hint="default" w:ascii="Times New Roman" w:hAnsi="Times New Roman" w:eastAsia="仿宋_GB2312"/>
                <w:bCs/>
                <w:kern w:val="0"/>
                <w:sz w:val="22"/>
              </w:rPr>
              <w:t>党办字﹝2019﹞</w:t>
            </w:r>
            <w:r>
              <w:rPr>
                <w:rFonts w:hint="eastAsia" w:ascii="Times New Roman" w:hAnsi="Times New Roman" w:eastAsia="仿宋_GB2312"/>
                <w:bCs/>
                <w:kern w:val="0"/>
                <w:sz w:val="22"/>
              </w:rPr>
              <w:t>36</w:t>
            </w:r>
            <w:r>
              <w:rPr>
                <w:rFonts w:hint="default" w:ascii="Times New Roman" w:hAnsi="Times New Roman" w:eastAsia="仿宋_GB2312"/>
                <w:bCs/>
                <w:kern w:val="0"/>
                <w:sz w:val="22"/>
              </w:rPr>
              <w:t>号），喀什</w:t>
            </w:r>
            <w:r>
              <w:rPr>
                <w:rFonts w:hint="eastAsia" w:ascii="Times New Roman" w:hAnsi="Times New Roman" w:eastAsia="仿宋_GB2312"/>
                <w:bCs/>
                <w:kern w:val="0"/>
                <w:sz w:val="22"/>
              </w:rPr>
              <w:t>市市场监督管理局按照各股室职责，将工作任务</w:t>
            </w:r>
            <w:r>
              <w:rPr>
                <w:rFonts w:hint="default" w:ascii="Times New Roman" w:hAnsi="Times New Roman" w:eastAsia="仿宋_GB2312"/>
                <w:bCs/>
                <w:kern w:val="0"/>
                <w:sz w:val="22"/>
              </w:rPr>
              <w:t>落实到岗位和人员</w:t>
            </w:r>
            <w:r>
              <w:rPr>
                <w:rFonts w:hint="eastAsia" w:ascii="Times New Roman" w:hAnsi="Times New Roman" w:eastAsia="仿宋_GB2312"/>
                <w:bCs/>
                <w:kern w:val="0"/>
                <w:sz w:val="22"/>
              </w:rPr>
              <w:t>，形成责任清单，人员岗位职责明确</w:t>
            </w:r>
            <w:r>
              <w:rPr>
                <w:rFonts w:hint="default" w:ascii="Times New Roman" w:hAnsi="Times New Roman" w:eastAsia="仿宋_GB2312"/>
                <w:bCs/>
                <w:kern w:val="0"/>
                <w:sz w:val="22"/>
              </w:rPr>
              <w:t>。综上所述，该指标得1分。</w:t>
            </w:r>
          </w:p>
        </w:tc>
        <w:tc>
          <w:tcPr>
            <w:tcW w:w="219" w:type="pct"/>
            <w:vAlign w:val="center"/>
          </w:tcPr>
          <w:p w14:paraId="763C41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0</w:t>
            </w:r>
          </w:p>
        </w:tc>
        <w:tc>
          <w:tcPr>
            <w:tcW w:w="259" w:type="pct"/>
            <w:vAlign w:val="center"/>
          </w:tcPr>
          <w:p w14:paraId="00B5F9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1</w:t>
            </w:r>
          </w:p>
        </w:tc>
        <w:tc>
          <w:tcPr>
            <w:tcW w:w="366" w:type="pct"/>
            <w:gridSpan w:val="2"/>
            <w:vAlign w:val="center"/>
          </w:tcPr>
          <w:p w14:paraId="602A85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100.00%</w:t>
            </w:r>
          </w:p>
        </w:tc>
        <w:tc>
          <w:tcPr>
            <w:tcW w:w="369" w:type="pct"/>
            <w:vAlign w:val="center"/>
          </w:tcPr>
          <w:p w14:paraId="5A42CBC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1D8B6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239" w:type="pct"/>
            <w:vMerge w:val="continue"/>
            <w:vAlign w:val="center"/>
          </w:tcPr>
          <w:p w14:paraId="7F2956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p>
        </w:tc>
        <w:tc>
          <w:tcPr>
            <w:tcW w:w="321" w:type="pct"/>
            <w:vAlign w:val="center"/>
          </w:tcPr>
          <w:p w14:paraId="6FDE3E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部门中长期规划适应性</w:t>
            </w:r>
          </w:p>
        </w:tc>
        <w:tc>
          <w:tcPr>
            <w:tcW w:w="454" w:type="pct"/>
            <w:vAlign w:val="center"/>
          </w:tcPr>
          <w:p w14:paraId="3C0F79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中长期规划科学合理性</w:t>
            </w:r>
          </w:p>
        </w:tc>
        <w:tc>
          <w:tcPr>
            <w:tcW w:w="175" w:type="pct"/>
            <w:vAlign w:val="center"/>
          </w:tcPr>
          <w:p w14:paraId="38B14F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1</w:t>
            </w:r>
          </w:p>
        </w:tc>
        <w:tc>
          <w:tcPr>
            <w:tcW w:w="338" w:type="pct"/>
            <w:vAlign w:val="center"/>
          </w:tcPr>
          <w:p w14:paraId="053D9E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考察部门中长期规划的科学性，以及与本地区及上级部门中长期规划的匹配性。</w:t>
            </w:r>
          </w:p>
        </w:tc>
        <w:tc>
          <w:tcPr>
            <w:tcW w:w="280" w:type="pct"/>
            <w:vAlign w:val="center"/>
          </w:tcPr>
          <w:p w14:paraId="27E977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合理</w:t>
            </w:r>
          </w:p>
        </w:tc>
        <w:tc>
          <w:tcPr>
            <w:tcW w:w="427" w:type="pct"/>
            <w:gridSpan w:val="2"/>
            <w:vAlign w:val="center"/>
          </w:tcPr>
          <w:p w14:paraId="42A471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评价要点：</w:t>
            </w:r>
          </w:p>
          <w:p w14:paraId="399480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①中长期规划清晰、全面、完整，经相应的程序认定，得1分；</w:t>
            </w:r>
          </w:p>
          <w:p w14:paraId="111AA6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②缺失一项扣0.5分，扣完为止；</w:t>
            </w:r>
          </w:p>
          <w:p w14:paraId="467CDF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③未制定规划，不得分。</w:t>
            </w:r>
          </w:p>
        </w:tc>
        <w:tc>
          <w:tcPr>
            <w:tcW w:w="405" w:type="pct"/>
            <w:vAlign w:val="center"/>
          </w:tcPr>
          <w:p w14:paraId="3FA6A9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根据评分标准中的具体分值进行赋分</w:t>
            </w:r>
          </w:p>
        </w:tc>
        <w:tc>
          <w:tcPr>
            <w:tcW w:w="1141" w:type="pct"/>
            <w:vAlign w:val="center"/>
          </w:tcPr>
          <w:p w14:paraId="77B945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根据</w:t>
            </w:r>
            <w:r>
              <w:rPr>
                <w:rFonts w:hint="eastAsia" w:ascii="Times New Roman" w:hAnsi="Times New Roman" w:eastAsia="仿宋_GB2312"/>
                <w:bCs/>
                <w:kern w:val="0"/>
                <w:sz w:val="22"/>
              </w:rPr>
              <w:t>国务院关于印发《“十四五”市场监管现代化规划》的通知、《喀什市市场监督管理局2025年重点工作任务落实情况表》以及《2025年度喀什市市场监督管理局工作总结》</w:t>
            </w:r>
            <w:r>
              <w:rPr>
                <w:rFonts w:hint="default" w:ascii="Times New Roman" w:hAnsi="Times New Roman" w:eastAsia="仿宋_GB2312"/>
                <w:bCs/>
                <w:kern w:val="0"/>
                <w:sz w:val="22"/>
              </w:rPr>
              <w:t>分析，部门中长期规划清晰、全面、完整。综上所述，该指标得</w:t>
            </w:r>
            <w:r>
              <w:rPr>
                <w:rFonts w:hint="eastAsia" w:eastAsia="仿宋_GB2312"/>
                <w:bCs/>
                <w:kern w:val="0"/>
                <w:sz w:val="22"/>
                <w:lang w:val="en-US" w:eastAsia="zh-CN"/>
              </w:rPr>
              <w:t>1</w:t>
            </w:r>
            <w:r>
              <w:rPr>
                <w:rFonts w:hint="default" w:ascii="Times New Roman" w:hAnsi="Times New Roman" w:eastAsia="仿宋_GB2312"/>
                <w:bCs/>
                <w:kern w:val="0"/>
                <w:sz w:val="22"/>
              </w:rPr>
              <w:t>分。</w:t>
            </w:r>
          </w:p>
        </w:tc>
        <w:tc>
          <w:tcPr>
            <w:tcW w:w="219" w:type="pct"/>
            <w:vAlign w:val="center"/>
          </w:tcPr>
          <w:p w14:paraId="19B907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0</w:t>
            </w:r>
          </w:p>
        </w:tc>
        <w:tc>
          <w:tcPr>
            <w:tcW w:w="259" w:type="pct"/>
            <w:vAlign w:val="center"/>
          </w:tcPr>
          <w:p w14:paraId="6A59BF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1</w:t>
            </w:r>
          </w:p>
        </w:tc>
        <w:tc>
          <w:tcPr>
            <w:tcW w:w="366" w:type="pct"/>
            <w:gridSpan w:val="2"/>
            <w:vAlign w:val="center"/>
          </w:tcPr>
          <w:p w14:paraId="1012C4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100.00%</w:t>
            </w:r>
          </w:p>
        </w:tc>
        <w:tc>
          <w:tcPr>
            <w:tcW w:w="369" w:type="pct"/>
            <w:vAlign w:val="center"/>
          </w:tcPr>
          <w:p w14:paraId="3B1B334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1E117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07C245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p>
        </w:tc>
        <w:tc>
          <w:tcPr>
            <w:tcW w:w="321" w:type="pct"/>
            <w:vAlign w:val="center"/>
          </w:tcPr>
          <w:p w14:paraId="42E99E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年度工作计划科学完整性</w:t>
            </w:r>
          </w:p>
        </w:tc>
        <w:tc>
          <w:tcPr>
            <w:tcW w:w="454" w:type="pct"/>
            <w:vAlign w:val="center"/>
          </w:tcPr>
          <w:p w14:paraId="1779F8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工作计划的合理明确性</w:t>
            </w:r>
          </w:p>
        </w:tc>
        <w:tc>
          <w:tcPr>
            <w:tcW w:w="175" w:type="pct"/>
            <w:vAlign w:val="center"/>
          </w:tcPr>
          <w:p w14:paraId="3D500D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2</w:t>
            </w:r>
          </w:p>
        </w:tc>
        <w:tc>
          <w:tcPr>
            <w:tcW w:w="338" w:type="pct"/>
            <w:vAlign w:val="center"/>
          </w:tcPr>
          <w:p w14:paraId="431225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考察年度工作计划的合理性、明确性，与本部门规划及上级主管部门的适应性。</w:t>
            </w:r>
          </w:p>
        </w:tc>
        <w:tc>
          <w:tcPr>
            <w:tcW w:w="280" w:type="pct"/>
            <w:vAlign w:val="center"/>
          </w:tcPr>
          <w:p w14:paraId="2A22A3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明确</w:t>
            </w:r>
          </w:p>
        </w:tc>
        <w:tc>
          <w:tcPr>
            <w:tcW w:w="427" w:type="pct"/>
            <w:gridSpan w:val="2"/>
            <w:vAlign w:val="center"/>
          </w:tcPr>
          <w:p w14:paraId="0DF1F2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评价要点：</w:t>
            </w:r>
          </w:p>
          <w:p w14:paraId="15E806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①部门工作计划明确、全面、完整，并经集体决策正式下发文件，得2分；</w:t>
            </w:r>
          </w:p>
          <w:p w14:paraId="015D8A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②缺失一项扣0.5分，扣完为止；</w:t>
            </w:r>
          </w:p>
          <w:p w14:paraId="7C9684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③未制定并正式下发部门年度工作计划，不得分。</w:t>
            </w:r>
          </w:p>
        </w:tc>
        <w:tc>
          <w:tcPr>
            <w:tcW w:w="405" w:type="pct"/>
            <w:vAlign w:val="center"/>
          </w:tcPr>
          <w:p w14:paraId="355B5B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根据评分标准中的具体分值进行赋分</w:t>
            </w:r>
          </w:p>
        </w:tc>
        <w:tc>
          <w:tcPr>
            <w:tcW w:w="1141" w:type="pct"/>
            <w:vAlign w:val="center"/>
          </w:tcPr>
          <w:p w14:paraId="0CE50A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根据喀什市市场监督管理局制定的《喀什市市场监督管理局2025年度工作计划》</w:t>
            </w:r>
            <w:r>
              <w:rPr>
                <w:rFonts w:hint="default" w:ascii="Times New Roman" w:hAnsi="Times New Roman" w:eastAsia="仿宋_GB2312"/>
                <w:bCs/>
                <w:kern w:val="0"/>
                <w:sz w:val="22"/>
              </w:rPr>
              <w:t>中显示，202</w:t>
            </w:r>
            <w:r>
              <w:rPr>
                <w:rFonts w:hint="eastAsia" w:ascii="Times New Roman" w:hAnsi="Times New Roman" w:eastAsia="仿宋_GB2312"/>
                <w:bCs/>
                <w:kern w:val="0"/>
                <w:sz w:val="22"/>
              </w:rPr>
              <w:t>5</w:t>
            </w:r>
            <w:r>
              <w:rPr>
                <w:rFonts w:hint="default" w:ascii="Times New Roman" w:hAnsi="Times New Roman" w:eastAsia="仿宋_GB2312"/>
                <w:bCs/>
                <w:kern w:val="0"/>
                <w:sz w:val="22"/>
              </w:rPr>
              <w:t>年主要工作为：一是</w:t>
            </w:r>
            <w:r>
              <w:rPr>
                <w:rFonts w:hint="eastAsia" w:ascii="Times New Roman" w:hAnsi="Times New Roman" w:eastAsia="仿宋_GB2312"/>
                <w:bCs/>
                <w:kern w:val="0"/>
                <w:sz w:val="22"/>
              </w:rPr>
              <w:t>围绕“四个聚焦”筑牢市场监管防线，提升服务发展效能；二是持续优化营商环境，促进经济健康发展；</w:t>
            </w:r>
            <w:r>
              <w:rPr>
                <w:rFonts w:hint="default" w:ascii="Times New Roman" w:hAnsi="Times New Roman" w:eastAsia="仿宋_GB2312"/>
                <w:bCs/>
                <w:kern w:val="0"/>
                <w:sz w:val="22"/>
              </w:rPr>
              <w:t>三是</w:t>
            </w:r>
            <w:r>
              <w:rPr>
                <w:rFonts w:hint="eastAsia" w:ascii="Times New Roman" w:hAnsi="Times New Roman" w:eastAsia="仿宋_GB2312"/>
                <w:bCs/>
                <w:kern w:val="0"/>
                <w:sz w:val="22"/>
              </w:rPr>
              <w:t>强化信用监管，推进诚信体系建设</w:t>
            </w:r>
            <w:r>
              <w:rPr>
                <w:rFonts w:hint="default" w:ascii="Times New Roman" w:hAnsi="Times New Roman" w:eastAsia="仿宋_GB2312"/>
                <w:bCs/>
                <w:kern w:val="0"/>
                <w:sz w:val="22"/>
              </w:rPr>
              <w:t>。四是</w:t>
            </w:r>
            <w:r>
              <w:rPr>
                <w:rFonts w:hint="eastAsia" w:ascii="Times New Roman" w:hAnsi="Times New Roman" w:eastAsia="仿宋_GB2312"/>
                <w:bCs/>
                <w:kern w:val="0"/>
                <w:sz w:val="22"/>
              </w:rPr>
              <w:t>加强四大安全监管，守护安全生产底线；五是加强服务引导，推进质量提升；六是加强消费者权益保护举措，构建和谐消费环境；七是维护市场秩序，优化市场环境；八是排查化解风险隐患，落实维护社会稳定责任；九是强化法治建设，优化法治化营商环境</w:t>
            </w:r>
            <w:r>
              <w:rPr>
                <w:rFonts w:hint="default" w:ascii="Times New Roman" w:hAnsi="Times New Roman" w:eastAsia="仿宋_GB2312"/>
                <w:bCs/>
                <w:kern w:val="0"/>
                <w:sz w:val="22"/>
              </w:rPr>
              <w:t>。部门工作计划明确、全面、完整，与该单位实际相适应。综上所述，该指标得2分。</w:t>
            </w:r>
          </w:p>
        </w:tc>
        <w:tc>
          <w:tcPr>
            <w:tcW w:w="219" w:type="pct"/>
            <w:vAlign w:val="center"/>
          </w:tcPr>
          <w:p w14:paraId="49C501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0</w:t>
            </w:r>
          </w:p>
        </w:tc>
        <w:tc>
          <w:tcPr>
            <w:tcW w:w="259" w:type="pct"/>
            <w:vAlign w:val="center"/>
          </w:tcPr>
          <w:p w14:paraId="25DFDC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2</w:t>
            </w:r>
          </w:p>
        </w:tc>
        <w:tc>
          <w:tcPr>
            <w:tcW w:w="366" w:type="pct"/>
            <w:gridSpan w:val="2"/>
            <w:vAlign w:val="center"/>
          </w:tcPr>
          <w:p w14:paraId="18232F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100.00%</w:t>
            </w:r>
          </w:p>
        </w:tc>
        <w:tc>
          <w:tcPr>
            <w:tcW w:w="369" w:type="pct"/>
            <w:vAlign w:val="center"/>
          </w:tcPr>
          <w:p w14:paraId="18DE2A8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7BD8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1F230F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p>
        </w:tc>
        <w:tc>
          <w:tcPr>
            <w:tcW w:w="321" w:type="pct"/>
            <w:vMerge w:val="restart"/>
            <w:vAlign w:val="center"/>
          </w:tcPr>
          <w:p w14:paraId="1F0E92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年度绩效目标明确性</w:t>
            </w:r>
          </w:p>
        </w:tc>
        <w:tc>
          <w:tcPr>
            <w:tcW w:w="454" w:type="pct"/>
            <w:vAlign w:val="center"/>
          </w:tcPr>
          <w:p w14:paraId="0D0D91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绩效目标合理性</w:t>
            </w:r>
          </w:p>
        </w:tc>
        <w:tc>
          <w:tcPr>
            <w:tcW w:w="175" w:type="pct"/>
            <w:vAlign w:val="center"/>
          </w:tcPr>
          <w:p w14:paraId="5C964C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2</w:t>
            </w:r>
          </w:p>
        </w:tc>
        <w:tc>
          <w:tcPr>
            <w:tcW w:w="338" w:type="pct"/>
            <w:vAlign w:val="center"/>
          </w:tcPr>
          <w:p w14:paraId="0CF744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部门（单位）所设立的整体绩效目标依据是否充分，是否符合客观实际，用以反映和考核部门（单位）整体绩效目标与部门履职、年度工作任务的相符性情况。</w:t>
            </w:r>
          </w:p>
        </w:tc>
        <w:tc>
          <w:tcPr>
            <w:tcW w:w="280" w:type="pct"/>
            <w:vAlign w:val="center"/>
          </w:tcPr>
          <w:p w14:paraId="04FD97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合理</w:t>
            </w:r>
          </w:p>
        </w:tc>
        <w:tc>
          <w:tcPr>
            <w:tcW w:w="427" w:type="pct"/>
            <w:gridSpan w:val="2"/>
            <w:vAlign w:val="center"/>
          </w:tcPr>
          <w:p w14:paraId="0FB870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评价要点：</w:t>
            </w:r>
          </w:p>
          <w:p w14:paraId="31B435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①符合国家法律法规、国民经济和社会发展总体规划，得1分；</w:t>
            </w:r>
          </w:p>
          <w:p w14:paraId="696AEB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②符合部门“三定”方案确定的职责，得0.5分；</w:t>
            </w:r>
          </w:p>
          <w:p w14:paraId="45E604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③符合部门制定的中长期实施规划和年度工作计划，得0.5分。</w:t>
            </w:r>
          </w:p>
        </w:tc>
        <w:tc>
          <w:tcPr>
            <w:tcW w:w="405" w:type="pct"/>
            <w:vAlign w:val="center"/>
          </w:tcPr>
          <w:p w14:paraId="243CE1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根据评分标准中的具体分值进行赋分</w:t>
            </w:r>
          </w:p>
        </w:tc>
        <w:tc>
          <w:tcPr>
            <w:tcW w:w="1141" w:type="pct"/>
            <w:vAlign w:val="center"/>
          </w:tcPr>
          <w:p w14:paraId="4E99B5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根据</w:t>
            </w:r>
            <w:r>
              <w:rPr>
                <w:rFonts w:hint="eastAsia" w:ascii="Times New Roman" w:hAnsi="Times New Roman" w:eastAsia="仿宋_GB2312"/>
                <w:bCs/>
                <w:kern w:val="0"/>
                <w:sz w:val="22"/>
              </w:rPr>
              <w:t>对</w:t>
            </w:r>
            <w:r>
              <w:rPr>
                <w:rFonts w:hint="default" w:ascii="Times New Roman" w:hAnsi="Times New Roman" w:eastAsia="仿宋_GB2312"/>
                <w:bCs/>
                <w:kern w:val="0"/>
                <w:sz w:val="22"/>
              </w:rPr>
              <w:t>喀什</w:t>
            </w:r>
            <w:r>
              <w:rPr>
                <w:rFonts w:hint="eastAsia" w:ascii="Times New Roman" w:hAnsi="Times New Roman" w:eastAsia="仿宋_GB2312"/>
                <w:bCs/>
                <w:kern w:val="0"/>
                <w:sz w:val="22"/>
              </w:rPr>
              <w:t>市市场监督管理局</w:t>
            </w:r>
            <w:r>
              <w:rPr>
                <w:rFonts w:hint="default" w:ascii="Times New Roman" w:hAnsi="Times New Roman" w:eastAsia="仿宋_GB2312"/>
                <w:bCs/>
                <w:kern w:val="0"/>
                <w:sz w:val="22"/>
              </w:rPr>
              <w:t>设置</w:t>
            </w:r>
            <w:r>
              <w:rPr>
                <w:rFonts w:hint="eastAsia" w:ascii="Times New Roman" w:hAnsi="Times New Roman" w:eastAsia="仿宋_GB2312"/>
                <w:bCs/>
                <w:kern w:val="0"/>
                <w:sz w:val="22"/>
              </w:rPr>
              <w:t>的</w:t>
            </w:r>
            <w:r>
              <w:rPr>
                <w:rFonts w:hint="default" w:ascii="Times New Roman" w:hAnsi="Times New Roman" w:eastAsia="仿宋_GB2312"/>
                <w:bCs/>
                <w:kern w:val="0"/>
                <w:sz w:val="22"/>
              </w:rPr>
              <w:t>《部门（单位）整体支出绩效目标表》进行分析，各指标按照《</w:t>
            </w:r>
            <w:r>
              <w:rPr>
                <w:rFonts w:hint="eastAsia" w:ascii="Times New Roman" w:hAnsi="Times New Roman" w:eastAsia="仿宋_GB2312"/>
                <w:bCs/>
                <w:kern w:val="0"/>
                <w:sz w:val="22"/>
              </w:rPr>
              <w:t>喀什市</w:t>
            </w:r>
            <w:r>
              <w:rPr>
                <w:rFonts w:hint="default" w:ascii="Times New Roman" w:hAnsi="Times New Roman" w:eastAsia="仿宋_GB2312"/>
                <w:bCs/>
                <w:kern w:val="0"/>
                <w:sz w:val="22"/>
              </w:rPr>
              <w:t>市场监督管理局202</w:t>
            </w:r>
            <w:r>
              <w:rPr>
                <w:rFonts w:hint="eastAsia" w:ascii="Times New Roman" w:hAnsi="Times New Roman" w:eastAsia="仿宋_GB2312"/>
                <w:bCs/>
                <w:kern w:val="0"/>
                <w:sz w:val="22"/>
              </w:rPr>
              <w:t>5</w:t>
            </w:r>
            <w:r>
              <w:rPr>
                <w:rFonts w:hint="default" w:ascii="Times New Roman" w:hAnsi="Times New Roman" w:eastAsia="仿宋_GB2312"/>
                <w:bCs/>
                <w:kern w:val="0"/>
                <w:sz w:val="22"/>
              </w:rPr>
              <w:t>年工作计划》及《关于印发〈</w:t>
            </w:r>
            <w:r>
              <w:rPr>
                <w:rFonts w:hint="eastAsia" w:ascii="Times New Roman" w:hAnsi="Times New Roman" w:eastAsia="仿宋_GB2312"/>
                <w:bCs/>
                <w:kern w:val="0"/>
                <w:sz w:val="22"/>
              </w:rPr>
              <w:t>喀什市</w:t>
            </w:r>
            <w:r>
              <w:rPr>
                <w:rFonts w:hint="default" w:ascii="Times New Roman" w:hAnsi="Times New Roman" w:eastAsia="仿宋_GB2312"/>
                <w:bCs/>
                <w:kern w:val="0"/>
                <w:sz w:val="22"/>
              </w:rPr>
              <w:t>市场监督管理局职能配置、内设机构和人员编制规定〉的通知》（</w:t>
            </w:r>
            <w:r>
              <w:rPr>
                <w:rFonts w:hint="eastAsia" w:ascii="Times New Roman" w:hAnsi="Times New Roman" w:eastAsia="仿宋_GB2312"/>
                <w:bCs/>
                <w:kern w:val="0"/>
                <w:sz w:val="22"/>
              </w:rPr>
              <w:t>喀市</w:t>
            </w:r>
            <w:r>
              <w:rPr>
                <w:rFonts w:hint="default" w:ascii="Times New Roman" w:hAnsi="Times New Roman" w:eastAsia="仿宋_GB2312"/>
                <w:bCs/>
                <w:kern w:val="0"/>
                <w:sz w:val="22"/>
              </w:rPr>
              <w:t>党办字﹝2019﹞</w:t>
            </w:r>
            <w:r>
              <w:rPr>
                <w:rFonts w:hint="eastAsia" w:ascii="Times New Roman" w:hAnsi="Times New Roman" w:eastAsia="仿宋_GB2312"/>
                <w:bCs/>
                <w:kern w:val="0"/>
                <w:sz w:val="22"/>
              </w:rPr>
              <w:t>36</w:t>
            </w:r>
            <w:r>
              <w:rPr>
                <w:rFonts w:hint="default" w:ascii="Times New Roman" w:hAnsi="Times New Roman" w:eastAsia="仿宋_GB2312"/>
                <w:bCs/>
                <w:kern w:val="0"/>
                <w:sz w:val="22"/>
              </w:rPr>
              <w:t>号）设定，绩效目标指标制定依据充分，绩效指标清晰、细化，符合客观实际。综上所述，该项指标得</w:t>
            </w:r>
            <w:r>
              <w:rPr>
                <w:rFonts w:hint="eastAsia" w:ascii="Times New Roman" w:hAnsi="Times New Roman" w:eastAsia="仿宋_GB2312"/>
                <w:bCs/>
                <w:kern w:val="0"/>
                <w:sz w:val="22"/>
              </w:rPr>
              <w:t>2</w:t>
            </w:r>
            <w:r>
              <w:rPr>
                <w:rFonts w:hint="default" w:ascii="Times New Roman" w:hAnsi="Times New Roman" w:eastAsia="仿宋_GB2312"/>
                <w:bCs/>
                <w:kern w:val="0"/>
                <w:sz w:val="22"/>
              </w:rPr>
              <w:t>分。</w:t>
            </w:r>
          </w:p>
        </w:tc>
        <w:tc>
          <w:tcPr>
            <w:tcW w:w="219" w:type="pct"/>
            <w:vAlign w:val="center"/>
          </w:tcPr>
          <w:p w14:paraId="79D5EA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0</w:t>
            </w:r>
          </w:p>
        </w:tc>
        <w:tc>
          <w:tcPr>
            <w:tcW w:w="259" w:type="pct"/>
            <w:vAlign w:val="center"/>
          </w:tcPr>
          <w:p w14:paraId="1E832D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2</w:t>
            </w:r>
          </w:p>
        </w:tc>
        <w:tc>
          <w:tcPr>
            <w:tcW w:w="366" w:type="pct"/>
            <w:gridSpan w:val="2"/>
            <w:vAlign w:val="center"/>
          </w:tcPr>
          <w:p w14:paraId="298303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100.00%</w:t>
            </w:r>
          </w:p>
        </w:tc>
        <w:tc>
          <w:tcPr>
            <w:tcW w:w="369" w:type="pct"/>
            <w:vAlign w:val="center"/>
          </w:tcPr>
          <w:p w14:paraId="22358FC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3F9DB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4EDB7F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p>
        </w:tc>
        <w:tc>
          <w:tcPr>
            <w:tcW w:w="321" w:type="pct"/>
            <w:vMerge w:val="continue"/>
            <w:vAlign w:val="center"/>
          </w:tcPr>
          <w:p w14:paraId="55C935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p>
        </w:tc>
        <w:tc>
          <w:tcPr>
            <w:tcW w:w="454" w:type="pct"/>
            <w:vAlign w:val="center"/>
          </w:tcPr>
          <w:p w14:paraId="2303D8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绩效指标明确性</w:t>
            </w:r>
          </w:p>
        </w:tc>
        <w:tc>
          <w:tcPr>
            <w:tcW w:w="175" w:type="pct"/>
            <w:vAlign w:val="center"/>
          </w:tcPr>
          <w:p w14:paraId="658954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3</w:t>
            </w:r>
          </w:p>
        </w:tc>
        <w:tc>
          <w:tcPr>
            <w:tcW w:w="338" w:type="pct"/>
            <w:vAlign w:val="center"/>
          </w:tcPr>
          <w:p w14:paraId="608D9C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部门（单位）依据整体绩效目标所设定的绩效指标是否清晰、细化、可衡量，用以反映和考核部门（单位）整体绩效目标的细化情况。</w:t>
            </w:r>
          </w:p>
        </w:tc>
        <w:tc>
          <w:tcPr>
            <w:tcW w:w="280" w:type="pct"/>
            <w:vAlign w:val="center"/>
          </w:tcPr>
          <w:p w14:paraId="33B56A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明确</w:t>
            </w:r>
          </w:p>
        </w:tc>
        <w:tc>
          <w:tcPr>
            <w:tcW w:w="427" w:type="pct"/>
            <w:gridSpan w:val="2"/>
            <w:vAlign w:val="center"/>
          </w:tcPr>
          <w:p w14:paraId="51B7A6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评价要点：</w:t>
            </w:r>
          </w:p>
          <w:p w14:paraId="0D8222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①将部门整体的绩效目标细化分解为具体的绩效指标，得1分；</w:t>
            </w:r>
          </w:p>
          <w:p w14:paraId="54771D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②反映具体工作任务的绩效指标清晰、细化、可考量，得1分；</w:t>
            </w:r>
          </w:p>
          <w:p w14:paraId="78B5AA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③反映绩效指标实现程度的指标值具备明确性、可衡量性、可实现性并且能够对部门预算执行发挥引导和约束作用，得1分。</w:t>
            </w:r>
          </w:p>
        </w:tc>
        <w:tc>
          <w:tcPr>
            <w:tcW w:w="405" w:type="pct"/>
            <w:vAlign w:val="center"/>
          </w:tcPr>
          <w:p w14:paraId="6C6368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根据评分标准中的具体分值进行赋分</w:t>
            </w:r>
          </w:p>
        </w:tc>
        <w:tc>
          <w:tcPr>
            <w:tcW w:w="1141" w:type="pct"/>
            <w:vAlign w:val="center"/>
          </w:tcPr>
          <w:p w14:paraId="3CB67D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喀什市市场监督管理局对已</w:t>
            </w:r>
            <w:r>
              <w:rPr>
                <w:rFonts w:hint="default" w:ascii="Times New Roman" w:hAnsi="Times New Roman" w:eastAsia="仿宋_GB2312"/>
                <w:bCs/>
                <w:kern w:val="0"/>
                <w:sz w:val="22"/>
              </w:rPr>
              <w:t>设置的部门整体支出绩效目标中细化分解为具体的绩效指标。</w:t>
            </w:r>
            <w:r>
              <w:rPr>
                <w:rFonts w:hint="eastAsia" w:ascii="Times New Roman" w:hAnsi="Times New Roman" w:eastAsia="仿宋_GB2312"/>
                <w:bCs/>
                <w:kern w:val="0"/>
                <w:sz w:val="22"/>
              </w:rPr>
              <w:t>一是</w:t>
            </w:r>
            <w:r>
              <w:rPr>
                <w:rFonts w:hint="default" w:ascii="Times New Roman" w:hAnsi="Times New Roman" w:eastAsia="仿宋_GB2312"/>
                <w:bCs/>
                <w:kern w:val="0"/>
                <w:sz w:val="22"/>
              </w:rPr>
              <w:t>设置了“履职效能”</w:t>
            </w:r>
            <w:r>
              <w:rPr>
                <w:rFonts w:hint="eastAsia" w:ascii="Times New Roman" w:hAnsi="Times New Roman" w:eastAsia="仿宋_GB2312"/>
                <w:bCs/>
                <w:kern w:val="0"/>
                <w:sz w:val="22"/>
              </w:rPr>
              <w:t>一</w:t>
            </w:r>
            <w:r>
              <w:rPr>
                <w:rFonts w:hint="default" w:ascii="Times New Roman" w:hAnsi="Times New Roman" w:eastAsia="仿宋_GB2312"/>
                <w:bCs/>
                <w:kern w:val="0"/>
                <w:sz w:val="22"/>
              </w:rPr>
              <w:t>级指标，并进一步在其下细分出2个二级指标（数量、质量指标）及</w:t>
            </w:r>
            <w:r>
              <w:rPr>
                <w:rFonts w:hint="eastAsia" w:ascii="Times New Roman" w:hAnsi="Times New Roman" w:eastAsia="仿宋_GB2312"/>
                <w:bCs/>
                <w:kern w:val="0"/>
                <w:sz w:val="22"/>
              </w:rPr>
              <w:t>8</w:t>
            </w:r>
            <w:r>
              <w:rPr>
                <w:rFonts w:hint="default" w:ascii="Times New Roman" w:hAnsi="Times New Roman" w:eastAsia="仿宋_GB2312"/>
                <w:bCs/>
                <w:kern w:val="0"/>
                <w:sz w:val="22"/>
              </w:rPr>
              <w:t>个三级指标，这些具体的指标与年度绩效目标紧密相关</w:t>
            </w:r>
            <w:r>
              <w:rPr>
                <w:rFonts w:hint="eastAsia" w:ascii="Times New Roman" w:hAnsi="Times New Roman" w:eastAsia="仿宋_GB2312"/>
                <w:bCs/>
                <w:kern w:val="0"/>
                <w:sz w:val="22"/>
              </w:rPr>
              <w:t>。二是</w:t>
            </w:r>
            <w:r>
              <w:rPr>
                <w:rFonts w:hint="default" w:ascii="Times New Roman" w:hAnsi="Times New Roman" w:eastAsia="仿宋_GB2312"/>
                <w:bCs/>
                <w:kern w:val="0"/>
                <w:sz w:val="22"/>
              </w:rPr>
              <w:t>绩效指标均通过清晰、可衡量的指标值进行了体现</w:t>
            </w:r>
            <w:r>
              <w:rPr>
                <w:rFonts w:hint="eastAsia" w:ascii="Times New Roman" w:hAnsi="Times New Roman" w:eastAsia="仿宋_GB2312"/>
                <w:bCs/>
                <w:kern w:val="0"/>
                <w:sz w:val="22"/>
              </w:rPr>
              <w:t>。</w:t>
            </w:r>
            <w:r>
              <w:rPr>
                <w:rFonts w:hint="default" w:ascii="Times New Roman" w:hAnsi="Times New Roman" w:eastAsia="仿宋_GB2312"/>
                <w:bCs/>
                <w:kern w:val="0"/>
                <w:sz w:val="22"/>
              </w:rPr>
              <w:t>对于各项三级指标，都明确给出了相应的指标值，且指标值清晰、具体，便于在实际工作中进行量化考核与评估，能够有效反映工作的完成程度。</w:t>
            </w:r>
            <w:r>
              <w:rPr>
                <w:rFonts w:hint="eastAsia" w:ascii="Times New Roman" w:hAnsi="Times New Roman" w:eastAsia="仿宋_GB2312"/>
                <w:bCs/>
                <w:kern w:val="0"/>
                <w:sz w:val="22"/>
              </w:rPr>
              <w:t>三是</w:t>
            </w:r>
            <w:r>
              <w:rPr>
                <w:rFonts w:hint="default" w:ascii="Times New Roman" w:hAnsi="Times New Roman" w:eastAsia="仿宋_GB2312"/>
                <w:bCs/>
                <w:kern w:val="0"/>
                <w:sz w:val="22"/>
              </w:rPr>
              <w:t>已设置的绩效指标在部门年度工作任务数或计划数可以体现，在年度绩效目标中提到的工作任务，在绩效指标中有所体现并对应了具体的量化要求，这充分说明绩效指标紧密围绕年度工作任务设置，两者具有高度的对应性。综上所述，该指标得3分。</w:t>
            </w:r>
          </w:p>
        </w:tc>
        <w:tc>
          <w:tcPr>
            <w:tcW w:w="219" w:type="pct"/>
            <w:vAlign w:val="center"/>
          </w:tcPr>
          <w:p w14:paraId="3FECB8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0</w:t>
            </w:r>
          </w:p>
        </w:tc>
        <w:tc>
          <w:tcPr>
            <w:tcW w:w="259" w:type="pct"/>
            <w:vAlign w:val="center"/>
          </w:tcPr>
          <w:p w14:paraId="77695D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3</w:t>
            </w:r>
          </w:p>
        </w:tc>
        <w:tc>
          <w:tcPr>
            <w:tcW w:w="366" w:type="pct"/>
            <w:gridSpan w:val="2"/>
            <w:vAlign w:val="center"/>
          </w:tcPr>
          <w:p w14:paraId="2040DD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100.00%</w:t>
            </w:r>
          </w:p>
        </w:tc>
        <w:tc>
          <w:tcPr>
            <w:tcW w:w="369" w:type="pct"/>
            <w:vAlign w:val="center"/>
          </w:tcPr>
          <w:p w14:paraId="738B3C8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22D2C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2145AF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p>
        </w:tc>
        <w:tc>
          <w:tcPr>
            <w:tcW w:w="321" w:type="pct"/>
            <w:vMerge w:val="restart"/>
            <w:vAlign w:val="center"/>
          </w:tcPr>
          <w:p w14:paraId="0961E0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年度部门预算编制合理性</w:t>
            </w:r>
          </w:p>
        </w:tc>
        <w:tc>
          <w:tcPr>
            <w:tcW w:w="454" w:type="pct"/>
            <w:vAlign w:val="center"/>
          </w:tcPr>
          <w:p w14:paraId="0ADB5C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年度部门预算编制完整合理性</w:t>
            </w:r>
          </w:p>
        </w:tc>
        <w:tc>
          <w:tcPr>
            <w:tcW w:w="175" w:type="pct"/>
            <w:vAlign w:val="center"/>
          </w:tcPr>
          <w:p w14:paraId="1C76C3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仿宋_GB2312"/>
                <w:bCs/>
                <w:kern w:val="0"/>
                <w:sz w:val="22"/>
                <w:lang w:val="en-US" w:eastAsia="zh-CN"/>
              </w:rPr>
            </w:pPr>
            <w:r>
              <w:rPr>
                <w:rFonts w:hint="eastAsia" w:eastAsia="仿宋_GB2312"/>
                <w:bCs/>
                <w:kern w:val="0"/>
                <w:sz w:val="22"/>
                <w:lang w:val="en-US" w:eastAsia="zh-CN"/>
              </w:rPr>
              <w:t>3</w:t>
            </w:r>
          </w:p>
        </w:tc>
        <w:tc>
          <w:tcPr>
            <w:tcW w:w="338" w:type="pct"/>
            <w:vAlign w:val="center"/>
          </w:tcPr>
          <w:p w14:paraId="1324CB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考察部门预算安排和工作计划的匹配性；对重点工作任务资金的保障程度，项目支出预算安排是否遵循轻重缓急按序保障。</w:t>
            </w:r>
          </w:p>
        </w:tc>
        <w:tc>
          <w:tcPr>
            <w:tcW w:w="280" w:type="pct"/>
            <w:vAlign w:val="center"/>
          </w:tcPr>
          <w:p w14:paraId="059312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合理</w:t>
            </w:r>
          </w:p>
        </w:tc>
        <w:tc>
          <w:tcPr>
            <w:tcW w:w="427" w:type="pct"/>
            <w:gridSpan w:val="2"/>
            <w:vAlign w:val="center"/>
          </w:tcPr>
          <w:p w14:paraId="7638B4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评价要点：①预算与部门工作任务匹配，体现部门工作内容的全面情况，得1分；②基本支出与项目支出预算边界界定清晰明确，不存在相互挤占的情况，得0.5分；③专项支出立项依据充分、支出内容与工作计划一一对应、重点工作重点保障、遵循轻重缓急按序保障，得0.5分。</w:t>
            </w:r>
          </w:p>
        </w:tc>
        <w:tc>
          <w:tcPr>
            <w:tcW w:w="405" w:type="pct"/>
            <w:vAlign w:val="center"/>
          </w:tcPr>
          <w:p w14:paraId="787923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eastAsia" w:ascii="Times New Roman" w:hAnsi="Times New Roman" w:eastAsia="仿宋_GB2312"/>
                <w:bCs/>
                <w:kern w:val="0"/>
                <w:sz w:val="22"/>
              </w:rPr>
              <w:t>根据评分标准中的具体分值进行赋分</w:t>
            </w:r>
          </w:p>
        </w:tc>
        <w:tc>
          <w:tcPr>
            <w:tcW w:w="1141" w:type="pct"/>
            <w:vAlign w:val="center"/>
          </w:tcPr>
          <w:p w14:paraId="5A6025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喀什</w:t>
            </w:r>
            <w:r>
              <w:rPr>
                <w:rFonts w:hint="eastAsia" w:ascii="Times New Roman" w:hAnsi="Times New Roman" w:eastAsia="仿宋_GB2312"/>
                <w:bCs/>
                <w:kern w:val="0"/>
                <w:sz w:val="22"/>
              </w:rPr>
              <w:t>市市场监督管理局</w:t>
            </w:r>
            <w:r>
              <w:rPr>
                <w:rFonts w:hint="default" w:ascii="Times New Roman" w:hAnsi="Times New Roman" w:eastAsia="仿宋_GB2312"/>
                <w:bCs/>
                <w:kern w:val="0"/>
                <w:sz w:val="22"/>
              </w:rPr>
              <w:t>编制的部门预算与部门工作任务匹配较好，202</w:t>
            </w:r>
            <w:r>
              <w:rPr>
                <w:rFonts w:hint="eastAsia" w:ascii="Times New Roman" w:hAnsi="Times New Roman" w:eastAsia="仿宋_GB2312"/>
                <w:bCs/>
                <w:kern w:val="0"/>
                <w:sz w:val="22"/>
              </w:rPr>
              <w:t>5</w:t>
            </w:r>
            <w:r>
              <w:rPr>
                <w:rFonts w:hint="default" w:ascii="Times New Roman" w:hAnsi="Times New Roman" w:eastAsia="仿宋_GB2312"/>
                <w:bCs/>
                <w:kern w:val="0"/>
                <w:sz w:val="22"/>
              </w:rPr>
              <w:t>年度部门预算总额为</w:t>
            </w:r>
            <w:r>
              <w:rPr>
                <w:rFonts w:hint="eastAsia" w:ascii="Times New Roman" w:hAnsi="Times New Roman" w:eastAsia="仿宋_GB2312"/>
                <w:bCs/>
                <w:kern w:val="0"/>
                <w:sz w:val="22"/>
              </w:rPr>
              <w:t>3350.24</w:t>
            </w:r>
            <w:r>
              <w:rPr>
                <w:rFonts w:hint="default" w:ascii="Times New Roman" w:hAnsi="Times New Roman" w:eastAsia="仿宋_GB2312"/>
                <w:bCs/>
                <w:kern w:val="0"/>
                <w:sz w:val="22"/>
              </w:rPr>
              <w:t>万元，其中，财政资金总额</w:t>
            </w:r>
            <w:r>
              <w:rPr>
                <w:rFonts w:hint="eastAsia" w:ascii="Times New Roman" w:hAnsi="Times New Roman" w:eastAsia="仿宋_GB2312"/>
                <w:bCs/>
                <w:kern w:val="0"/>
                <w:sz w:val="22"/>
              </w:rPr>
              <w:t>3350.24</w:t>
            </w:r>
            <w:r>
              <w:rPr>
                <w:rFonts w:hint="default" w:ascii="Times New Roman" w:hAnsi="Times New Roman" w:eastAsia="仿宋_GB2312"/>
                <w:bCs/>
                <w:kern w:val="0"/>
                <w:sz w:val="22"/>
              </w:rPr>
              <w:t>万元，非财政资金</w:t>
            </w:r>
            <w:r>
              <w:rPr>
                <w:rFonts w:hint="eastAsia" w:ascii="Times New Roman" w:hAnsi="Times New Roman" w:eastAsia="仿宋_GB2312"/>
                <w:bCs/>
                <w:kern w:val="0"/>
                <w:sz w:val="22"/>
              </w:rPr>
              <w:t>0</w:t>
            </w:r>
            <w:r>
              <w:rPr>
                <w:rFonts w:hint="default" w:ascii="Times New Roman" w:hAnsi="Times New Roman" w:eastAsia="仿宋_GB2312"/>
                <w:bCs/>
                <w:kern w:val="0"/>
                <w:sz w:val="22"/>
              </w:rPr>
              <w:t>万元</w:t>
            </w:r>
            <w:r>
              <w:rPr>
                <w:rFonts w:hint="eastAsia" w:ascii="Times New Roman" w:hAnsi="Times New Roman" w:eastAsia="仿宋_GB2312"/>
                <w:bCs/>
                <w:kern w:val="0"/>
                <w:sz w:val="22"/>
              </w:rPr>
              <w:t>；</w:t>
            </w:r>
            <w:r>
              <w:rPr>
                <w:rFonts w:hint="default" w:ascii="Times New Roman" w:hAnsi="Times New Roman" w:eastAsia="仿宋_GB2312"/>
                <w:bCs/>
                <w:kern w:val="0"/>
                <w:sz w:val="22"/>
              </w:rPr>
              <w:t>基本支出</w:t>
            </w:r>
            <w:r>
              <w:rPr>
                <w:rFonts w:hint="eastAsia" w:ascii="Times New Roman" w:hAnsi="Times New Roman" w:eastAsia="仿宋_GB2312"/>
                <w:bCs/>
                <w:kern w:val="0"/>
                <w:sz w:val="22"/>
              </w:rPr>
              <w:t>3067.98万元</w:t>
            </w:r>
            <w:r>
              <w:rPr>
                <w:rFonts w:hint="default" w:ascii="Times New Roman" w:hAnsi="Times New Roman" w:eastAsia="仿宋_GB2312"/>
                <w:bCs/>
                <w:kern w:val="0"/>
                <w:sz w:val="22"/>
              </w:rPr>
              <w:t>与项目支出</w:t>
            </w:r>
            <w:r>
              <w:rPr>
                <w:rFonts w:hint="eastAsia" w:ascii="Times New Roman" w:hAnsi="Times New Roman" w:eastAsia="仿宋_GB2312"/>
                <w:bCs/>
                <w:kern w:val="0"/>
                <w:sz w:val="22"/>
              </w:rPr>
              <w:t>282.</w:t>
            </w:r>
            <w:r>
              <w:rPr>
                <w:rFonts w:hint="eastAsia" w:eastAsia="仿宋_GB2312"/>
                <w:bCs/>
                <w:kern w:val="0"/>
                <w:sz w:val="22"/>
                <w:lang w:val="en-US" w:eastAsia="zh-CN"/>
              </w:rPr>
              <w:t>2</w:t>
            </w:r>
            <w:r>
              <w:rPr>
                <w:rFonts w:hint="eastAsia" w:ascii="Times New Roman" w:hAnsi="Times New Roman" w:eastAsia="仿宋_GB2312"/>
                <w:bCs/>
                <w:kern w:val="0"/>
                <w:sz w:val="22"/>
              </w:rPr>
              <w:t>6万元，</w:t>
            </w:r>
            <w:r>
              <w:rPr>
                <w:rFonts w:hint="default" w:ascii="Times New Roman" w:hAnsi="Times New Roman" w:eastAsia="仿宋_GB2312"/>
                <w:bCs/>
                <w:kern w:val="0"/>
                <w:sz w:val="22"/>
              </w:rPr>
              <w:t>预算边界界定清晰明确，未发现存在相互挤占的情况。各</w:t>
            </w:r>
            <w:r>
              <w:rPr>
                <w:rFonts w:hint="eastAsia" w:ascii="Times New Roman" w:hAnsi="Times New Roman" w:eastAsia="仿宋_GB2312"/>
                <w:bCs/>
                <w:kern w:val="0"/>
                <w:sz w:val="22"/>
              </w:rPr>
              <w:t>项</w:t>
            </w:r>
            <w:r>
              <w:rPr>
                <w:rFonts w:hint="default" w:ascii="Times New Roman" w:hAnsi="Times New Roman" w:eastAsia="仿宋_GB2312"/>
                <w:bCs/>
                <w:kern w:val="0"/>
                <w:sz w:val="22"/>
              </w:rPr>
              <w:t>支出立项依据充分、支出内容与工作计划一一对应，项目支出预算安排能够体现出重点工作重点保障，并且遵循了轻重缓急按需保障原则，年度预算编制完整。综上所述，该指标得</w:t>
            </w:r>
            <w:r>
              <w:rPr>
                <w:rFonts w:hint="eastAsia" w:eastAsia="仿宋_GB2312"/>
                <w:bCs/>
                <w:kern w:val="0"/>
                <w:sz w:val="22"/>
                <w:lang w:val="en-US" w:eastAsia="zh-CN"/>
              </w:rPr>
              <w:t>3</w:t>
            </w:r>
            <w:r>
              <w:rPr>
                <w:rFonts w:hint="default" w:ascii="Times New Roman" w:hAnsi="Times New Roman" w:eastAsia="仿宋_GB2312"/>
                <w:bCs/>
                <w:kern w:val="0"/>
                <w:sz w:val="22"/>
              </w:rPr>
              <w:t>分。</w:t>
            </w:r>
          </w:p>
        </w:tc>
        <w:tc>
          <w:tcPr>
            <w:tcW w:w="219" w:type="pct"/>
            <w:vAlign w:val="center"/>
          </w:tcPr>
          <w:p w14:paraId="358F57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0</w:t>
            </w:r>
          </w:p>
        </w:tc>
        <w:tc>
          <w:tcPr>
            <w:tcW w:w="259" w:type="pct"/>
            <w:vAlign w:val="center"/>
          </w:tcPr>
          <w:p w14:paraId="572023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3</w:t>
            </w:r>
          </w:p>
        </w:tc>
        <w:tc>
          <w:tcPr>
            <w:tcW w:w="366" w:type="pct"/>
            <w:gridSpan w:val="2"/>
            <w:vAlign w:val="center"/>
          </w:tcPr>
          <w:p w14:paraId="06EFA8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kern w:val="0"/>
                <w:sz w:val="22"/>
              </w:rPr>
            </w:pPr>
            <w:r>
              <w:rPr>
                <w:rFonts w:hint="default" w:ascii="Times New Roman" w:hAnsi="Times New Roman" w:eastAsia="仿宋_GB2312"/>
                <w:bCs/>
                <w:kern w:val="0"/>
                <w:sz w:val="22"/>
              </w:rPr>
              <w:t>100.00%</w:t>
            </w:r>
          </w:p>
        </w:tc>
        <w:tc>
          <w:tcPr>
            <w:tcW w:w="369" w:type="pct"/>
            <w:vAlign w:val="center"/>
          </w:tcPr>
          <w:p w14:paraId="33140A1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6C0D6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0BF73A1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267B8B0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6C92224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年度部门预算编制规范性</w:t>
            </w:r>
          </w:p>
        </w:tc>
        <w:tc>
          <w:tcPr>
            <w:tcW w:w="175" w:type="pct"/>
            <w:vAlign w:val="center"/>
          </w:tcPr>
          <w:p w14:paraId="3D39CC3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2</w:t>
            </w:r>
          </w:p>
        </w:tc>
        <w:tc>
          <w:tcPr>
            <w:tcW w:w="338" w:type="pct"/>
            <w:vAlign w:val="center"/>
          </w:tcPr>
          <w:p w14:paraId="6D5D474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考察部门年度预算决策程序是否规范。</w:t>
            </w:r>
          </w:p>
        </w:tc>
        <w:tc>
          <w:tcPr>
            <w:tcW w:w="280" w:type="pct"/>
            <w:vAlign w:val="center"/>
          </w:tcPr>
          <w:p w14:paraId="2E83758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规范</w:t>
            </w:r>
          </w:p>
        </w:tc>
        <w:tc>
          <w:tcPr>
            <w:tcW w:w="427" w:type="pct"/>
            <w:gridSpan w:val="2"/>
            <w:vAlign w:val="center"/>
          </w:tcPr>
          <w:p w14:paraId="0441CCF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评价要点：①部门预算编制内容完整，按照国家行政事业单位相关支出标准进行费用测算，得1分；②部门预算申报程序合规、审批流程严谨、经部门集体决策确定，得1分。</w:t>
            </w:r>
          </w:p>
        </w:tc>
        <w:tc>
          <w:tcPr>
            <w:tcW w:w="405" w:type="pct"/>
            <w:vAlign w:val="center"/>
          </w:tcPr>
          <w:p w14:paraId="6B61B7C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根据评分标准中的具体分值进行赋分</w:t>
            </w:r>
          </w:p>
        </w:tc>
        <w:tc>
          <w:tcPr>
            <w:tcW w:w="1141" w:type="pct"/>
            <w:vAlign w:val="center"/>
          </w:tcPr>
          <w:p w14:paraId="7F8382F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default" w:ascii="Times New Roman" w:hAnsi="Times New Roman" w:eastAsia="仿宋_GB2312"/>
                <w:bCs/>
                <w:sz w:val="22"/>
              </w:rPr>
              <w:t>喀什</w:t>
            </w:r>
            <w:r>
              <w:rPr>
                <w:rFonts w:hint="eastAsia" w:ascii="Times New Roman" w:hAnsi="Times New Roman" w:eastAsia="仿宋_GB2312"/>
                <w:bCs/>
                <w:sz w:val="22"/>
              </w:rPr>
              <w:t>市市场监督管理局</w:t>
            </w:r>
            <w:r>
              <w:rPr>
                <w:rFonts w:hint="default" w:ascii="Times New Roman" w:hAnsi="Times New Roman" w:eastAsia="仿宋_GB2312"/>
                <w:bCs/>
                <w:sz w:val="22"/>
              </w:rPr>
              <w:t>年度部门预算编制内容完整，按照国家行政事业单位相关支出标准进行费用测算，部门预算申报程序合规、审批流程严谨、经部门党组会议集体决策确定。综上所述，该指标得2分。</w:t>
            </w:r>
          </w:p>
        </w:tc>
        <w:tc>
          <w:tcPr>
            <w:tcW w:w="219" w:type="pct"/>
            <w:vAlign w:val="center"/>
          </w:tcPr>
          <w:p w14:paraId="73447E2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25A83CA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2</w:t>
            </w:r>
          </w:p>
        </w:tc>
        <w:tc>
          <w:tcPr>
            <w:tcW w:w="366" w:type="pct"/>
            <w:gridSpan w:val="2"/>
            <w:vAlign w:val="center"/>
          </w:tcPr>
          <w:p w14:paraId="422C1CE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315D86E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7A8C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restart"/>
            <w:vAlign w:val="center"/>
          </w:tcPr>
          <w:p w14:paraId="5A191A4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部门管理（35分）</w:t>
            </w:r>
          </w:p>
        </w:tc>
        <w:tc>
          <w:tcPr>
            <w:tcW w:w="321" w:type="pct"/>
            <w:vAlign w:val="center"/>
          </w:tcPr>
          <w:p w14:paraId="1012605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预算管理</w:t>
            </w:r>
          </w:p>
        </w:tc>
        <w:tc>
          <w:tcPr>
            <w:tcW w:w="454" w:type="pct"/>
            <w:vAlign w:val="center"/>
          </w:tcPr>
          <w:p w14:paraId="2C06290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预算、决算信息公开</w:t>
            </w:r>
          </w:p>
        </w:tc>
        <w:tc>
          <w:tcPr>
            <w:tcW w:w="175" w:type="pct"/>
            <w:vAlign w:val="center"/>
          </w:tcPr>
          <w:p w14:paraId="036068A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2</w:t>
            </w:r>
          </w:p>
        </w:tc>
        <w:tc>
          <w:tcPr>
            <w:tcW w:w="338" w:type="pct"/>
            <w:vAlign w:val="center"/>
          </w:tcPr>
          <w:p w14:paraId="249AAAB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考察预决算信息是否按时公开</w:t>
            </w:r>
          </w:p>
        </w:tc>
        <w:tc>
          <w:tcPr>
            <w:tcW w:w="280" w:type="pct"/>
            <w:vAlign w:val="center"/>
          </w:tcPr>
          <w:p w14:paraId="5C946AE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公开</w:t>
            </w:r>
          </w:p>
        </w:tc>
        <w:tc>
          <w:tcPr>
            <w:tcW w:w="427" w:type="pct"/>
            <w:gridSpan w:val="2"/>
            <w:vAlign w:val="center"/>
          </w:tcPr>
          <w:p w14:paraId="44D6D94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1.是否按规定内容公开预决算信息，得1分；</w:t>
            </w:r>
          </w:p>
          <w:p w14:paraId="0159F76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2.是否按规定时限公开预决算信息，得1分；</w:t>
            </w:r>
          </w:p>
          <w:p w14:paraId="7373C00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预决算信息是指与部门预算、执行、决算、监督、绩效等管理相关的信息。</w:t>
            </w:r>
          </w:p>
        </w:tc>
        <w:tc>
          <w:tcPr>
            <w:tcW w:w="405" w:type="pct"/>
            <w:vAlign w:val="center"/>
          </w:tcPr>
          <w:p w14:paraId="3A9B393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bookmarkStart w:id="105" w:name="OLE_LINK7"/>
            <w:r>
              <w:rPr>
                <w:rFonts w:hint="eastAsia" w:ascii="Times New Roman" w:hAnsi="Times New Roman" w:eastAsia="仿宋_GB2312"/>
                <w:sz w:val="22"/>
              </w:rPr>
              <w:t>根据评分标准中的具体分值进行赋分</w:t>
            </w:r>
            <w:bookmarkEnd w:id="105"/>
          </w:p>
        </w:tc>
        <w:tc>
          <w:tcPr>
            <w:tcW w:w="1141" w:type="pct"/>
            <w:vAlign w:val="center"/>
          </w:tcPr>
          <w:p w14:paraId="600DCF7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default" w:ascii="Times New Roman" w:hAnsi="Times New Roman" w:eastAsia="仿宋_GB2312"/>
                <w:bCs/>
                <w:sz w:val="22"/>
              </w:rPr>
              <w:t>经查看喀什</w:t>
            </w:r>
            <w:r>
              <w:rPr>
                <w:rFonts w:hint="eastAsia" w:ascii="Times New Roman" w:hAnsi="Times New Roman" w:eastAsia="仿宋_GB2312"/>
                <w:bCs/>
                <w:sz w:val="22"/>
              </w:rPr>
              <w:t>市人民政府</w:t>
            </w:r>
            <w:r>
              <w:rPr>
                <w:rFonts w:hint="default" w:ascii="Times New Roman" w:hAnsi="Times New Roman" w:eastAsia="仿宋_GB2312"/>
                <w:bCs/>
                <w:sz w:val="22"/>
              </w:rPr>
              <w:t>官方网站，喀什</w:t>
            </w:r>
            <w:r>
              <w:rPr>
                <w:rFonts w:hint="eastAsia" w:ascii="Times New Roman" w:hAnsi="Times New Roman" w:eastAsia="仿宋_GB2312"/>
                <w:bCs/>
                <w:sz w:val="22"/>
              </w:rPr>
              <w:t>市市场监督管理局</w:t>
            </w:r>
            <w:r>
              <w:rPr>
                <w:rFonts w:hint="default" w:ascii="Times New Roman" w:hAnsi="Times New Roman" w:eastAsia="仿宋_GB2312"/>
                <w:bCs/>
                <w:sz w:val="22"/>
              </w:rPr>
              <w:t>能够按照政府财政预算管理的要求，将部门预算、</w:t>
            </w:r>
            <w:r>
              <w:rPr>
                <w:rFonts w:hint="eastAsia" w:ascii="Times New Roman" w:hAnsi="Times New Roman" w:eastAsia="仿宋_GB2312"/>
                <w:bCs/>
                <w:sz w:val="22"/>
              </w:rPr>
              <w:t>“三公”经费</w:t>
            </w:r>
            <w:r>
              <w:rPr>
                <w:rFonts w:hint="default" w:ascii="Times New Roman" w:hAnsi="Times New Roman" w:eastAsia="仿宋_GB2312"/>
                <w:bCs/>
                <w:sz w:val="22"/>
              </w:rPr>
              <w:t>等相关信息在喀什</w:t>
            </w:r>
            <w:r>
              <w:rPr>
                <w:rFonts w:hint="eastAsia" w:ascii="Times New Roman" w:hAnsi="Times New Roman" w:eastAsia="仿宋_GB2312"/>
                <w:bCs/>
                <w:sz w:val="22"/>
              </w:rPr>
              <w:t>市</w:t>
            </w:r>
            <w:r>
              <w:rPr>
                <w:rFonts w:hint="default" w:ascii="Times New Roman" w:hAnsi="Times New Roman" w:eastAsia="仿宋_GB2312"/>
                <w:bCs/>
                <w:sz w:val="22"/>
              </w:rPr>
              <w:t>财政门户网站进行公开，接受群众监督，信息公开内容完整、公开信息真实有效。综上所述，该指标分值2分，根据评分标准得2分。</w:t>
            </w:r>
          </w:p>
        </w:tc>
        <w:tc>
          <w:tcPr>
            <w:tcW w:w="219" w:type="pct"/>
            <w:vAlign w:val="center"/>
          </w:tcPr>
          <w:p w14:paraId="0CDD35F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1D6D0D5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2</w:t>
            </w:r>
          </w:p>
        </w:tc>
        <w:tc>
          <w:tcPr>
            <w:tcW w:w="366" w:type="pct"/>
            <w:gridSpan w:val="2"/>
            <w:vAlign w:val="center"/>
          </w:tcPr>
          <w:p w14:paraId="7BA69C8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41D0990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22E93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757F2EE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restart"/>
            <w:vAlign w:val="center"/>
          </w:tcPr>
          <w:p w14:paraId="2B36692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资金管理</w:t>
            </w:r>
          </w:p>
        </w:tc>
        <w:tc>
          <w:tcPr>
            <w:tcW w:w="454" w:type="pct"/>
            <w:vAlign w:val="center"/>
          </w:tcPr>
          <w:p w14:paraId="616C909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支出预算执行率</w:t>
            </w:r>
          </w:p>
        </w:tc>
        <w:tc>
          <w:tcPr>
            <w:tcW w:w="175" w:type="pct"/>
            <w:vAlign w:val="center"/>
          </w:tcPr>
          <w:p w14:paraId="1CF332F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4</w:t>
            </w:r>
          </w:p>
        </w:tc>
        <w:tc>
          <w:tcPr>
            <w:tcW w:w="338" w:type="pct"/>
            <w:vAlign w:val="center"/>
          </w:tcPr>
          <w:p w14:paraId="38F7063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考察部门（单位）年度基本支出及项目支出预算执行数与预算数的比率，用以反映和考核部门（单位）支出预算完成程度。</w:t>
            </w:r>
          </w:p>
        </w:tc>
        <w:tc>
          <w:tcPr>
            <w:tcW w:w="280" w:type="pct"/>
            <w:vAlign w:val="center"/>
          </w:tcPr>
          <w:p w14:paraId="77B6800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100%</w:t>
            </w:r>
          </w:p>
        </w:tc>
        <w:tc>
          <w:tcPr>
            <w:tcW w:w="427" w:type="pct"/>
            <w:gridSpan w:val="2"/>
            <w:vAlign w:val="center"/>
          </w:tcPr>
          <w:p w14:paraId="2F5AD67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支出预算执行率</w:t>
            </w:r>
            <w:r>
              <w:rPr>
                <w:rFonts w:hint="default" w:ascii="Times New Roman" w:hAnsi="Times New Roman" w:eastAsia="仿宋_GB2312"/>
                <w:sz w:val="22"/>
              </w:rPr>
              <w:t>=</w:t>
            </w:r>
            <w:r>
              <w:rPr>
                <w:rFonts w:hint="eastAsia" w:ascii="Times New Roman" w:hAnsi="Times New Roman" w:eastAsia="仿宋_GB2312"/>
                <w:sz w:val="22"/>
              </w:rPr>
              <w:t>（支出决算数</w:t>
            </w:r>
            <w:r>
              <w:rPr>
                <w:rFonts w:hint="default" w:ascii="Times New Roman" w:hAnsi="Times New Roman" w:eastAsia="仿宋_GB2312"/>
                <w:sz w:val="22"/>
              </w:rPr>
              <w:t>/</w:t>
            </w:r>
            <w:r>
              <w:rPr>
                <w:rFonts w:hint="eastAsia" w:ascii="Times New Roman" w:hAnsi="Times New Roman" w:eastAsia="仿宋_GB2312"/>
                <w:sz w:val="22"/>
              </w:rPr>
              <w:t>调整后预算数）</w:t>
            </w:r>
            <w:r>
              <w:rPr>
                <w:rFonts w:hint="default" w:ascii="Times New Roman" w:hAnsi="Times New Roman" w:eastAsia="仿宋_GB2312"/>
                <w:sz w:val="22"/>
              </w:rPr>
              <w:t>×100%</w:t>
            </w:r>
            <w:r>
              <w:rPr>
                <w:rFonts w:hint="eastAsia" w:ascii="Times New Roman" w:hAnsi="Times New Roman" w:eastAsia="仿宋_GB2312"/>
                <w:sz w:val="22"/>
              </w:rPr>
              <w:t>。</w:t>
            </w:r>
          </w:p>
          <w:p w14:paraId="4AE2CDE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评价要点：预算执行率100%，得4分，执行率不足100%，每减0.1%扣0.1分，扣完为止。（基本支出中职工福利费、医疗保险可剔除）</w:t>
            </w:r>
          </w:p>
        </w:tc>
        <w:tc>
          <w:tcPr>
            <w:tcW w:w="405" w:type="pct"/>
            <w:vAlign w:val="center"/>
          </w:tcPr>
          <w:p w14:paraId="7A00F61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预算执行率100%，得4分，执行率不足100%，每减0.1%扣0.1分，扣完为止。</w:t>
            </w:r>
          </w:p>
        </w:tc>
        <w:tc>
          <w:tcPr>
            <w:tcW w:w="1141" w:type="pct"/>
            <w:vAlign w:val="center"/>
          </w:tcPr>
          <w:p w14:paraId="11EEE4B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default" w:ascii="Times New Roman" w:hAnsi="Times New Roman" w:eastAsia="仿宋_GB2312"/>
                <w:bCs/>
                <w:sz w:val="22"/>
              </w:rPr>
              <w:t>根据喀什</w:t>
            </w:r>
            <w:r>
              <w:rPr>
                <w:rFonts w:hint="eastAsia" w:ascii="Times New Roman" w:hAnsi="Times New Roman" w:eastAsia="仿宋_GB2312"/>
                <w:bCs/>
                <w:sz w:val="22"/>
              </w:rPr>
              <w:t>市市场监督管理局</w:t>
            </w:r>
            <w:r>
              <w:rPr>
                <w:rFonts w:hint="default" w:ascii="Times New Roman" w:hAnsi="Times New Roman" w:eastAsia="仿宋_GB2312"/>
                <w:bCs/>
                <w:sz w:val="22"/>
              </w:rPr>
              <w:t>提供的202</w:t>
            </w:r>
            <w:r>
              <w:rPr>
                <w:rFonts w:hint="eastAsia" w:ascii="Times New Roman" w:hAnsi="Times New Roman" w:eastAsia="仿宋_GB2312"/>
                <w:bCs/>
                <w:sz w:val="22"/>
              </w:rPr>
              <w:t>5</w:t>
            </w:r>
            <w:r>
              <w:rPr>
                <w:rFonts w:hint="default" w:ascii="Times New Roman" w:hAnsi="Times New Roman" w:eastAsia="仿宋_GB2312"/>
                <w:bCs/>
                <w:sz w:val="22"/>
              </w:rPr>
              <w:t>年部门决算分析报告及决算报表显示，年初部门预算批复预算金额为</w:t>
            </w:r>
            <w:r>
              <w:rPr>
                <w:rFonts w:hint="eastAsia" w:ascii="Times New Roman" w:hAnsi="Times New Roman" w:eastAsia="仿宋_GB2312"/>
                <w:bCs/>
                <w:sz w:val="22"/>
              </w:rPr>
              <w:t>3375.76</w:t>
            </w:r>
            <w:r>
              <w:rPr>
                <w:rFonts w:hint="default" w:ascii="Times New Roman" w:hAnsi="Times New Roman" w:eastAsia="仿宋_GB2312"/>
                <w:bCs/>
                <w:sz w:val="22"/>
              </w:rPr>
              <w:t>万元，调整后全年预算数为</w:t>
            </w:r>
            <w:r>
              <w:rPr>
                <w:rFonts w:hint="eastAsia" w:ascii="Times New Roman" w:hAnsi="Times New Roman" w:eastAsia="仿宋_GB2312"/>
                <w:bCs/>
                <w:sz w:val="22"/>
              </w:rPr>
              <w:t>3350.24</w:t>
            </w:r>
            <w:r>
              <w:rPr>
                <w:rFonts w:hint="default" w:ascii="Times New Roman" w:hAnsi="Times New Roman" w:eastAsia="仿宋_GB2312"/>
                <w:bCs/>
                <w:sz w:val="22"/>
              </w:rPr>
              <w:t>万元。截至202</w:t>
            </w:r>
            <w:r>
              <w:rPr>
                <w:rFonts w:hint="eastAsia" w:ascii="Times New Roman" w:hAnsi="Times New Roman" w:eastAsia="仿宋_GB2312"/>
                <w:bCs/>
                <w:sz w:val="22"/>
              </w:rPr>
              <w:t>5</w:t>
            </w:r>
            <w:r>
              <w:rPr>
                <w:rFonts w:hint="default" w:ascii="Times New Roman" w:hAnsi="Times New Roman" w:eastAsia="仿宋_GB2312"/>
                <w:bCs/>
                <w:sz w:val="22"/>
              </w:rPr>
              <w:t>年12月31日，全年支出全年预算执行数</w:t>
            </w:r>
            <w:r>
              <w:rPr>
                <w:rFonts w:hint="eastAsia" w:ascii="Times New Roman" w:hAnsi="Times New Roman" w:eastAsia="仿宋_GB2312"/>
                <w:bCs/>
                <w:sz w:val="22"/>
              </w:rPr>
              <w:t>3350.24</w:t>
            </w:r>
            <w:r>
              <w:rPr>
                <w:rFonts w:hint="default" w:ascii="Times New Roman" w:hAnsi="Times New Roman" w:eastAsia="仿宋_GB2312"/>
                <w:bCs/>
                <w:sz w:val="22"/>
              </w:rPr>
              <w:t>万元，预算执行率</w:t>
            </w:r>
            <w:r>
              <w:rPr>
                <w:rFonts w:hint="eastAsia" w:ascii="Times New Roman" w:hAnsi="Times New Roman" w:eastAsia="仿宋_GB2312"/>
                <w:bCs/>
                <w:sz w:val="22"/>
              </w:rPr>
              <w:t>100</w:t>
            </w:r>
            <w:r>
              <w:rPr>
                <w:rFonts w:hint="default" w:ascii="Times New Roman" w:hAnsi="Times New Roman" w:eastAsia="仿宋_GB2312"/>
                <w:bCs/>
                <w:sz w:val="22"/>
              </w:rPr>
              <w:t>%；其中，人员经费支出</w:t>
            </w:r>
            <w:r>
              <w:rPr>
                <w:rFonts w:hint="eastAsia" w:ascii="Times New Roman" w:hAnsi="Times New Roman" w:eastAsia="仿宋_GB2312"/>
                <w:bCs/>
                <w:sz w:val="22"/>
              </w:rPr>
              <w:t>3005.1</w:t>
            </w:r>
            <w:r>
              <w:rPr>
                <w:rFonts w:hint="default" w:ascii="Times New Roman" w:hAnsi="Times New Roman" w:eastAsia="仿宋_GB2312"/>
                <w:bCs/>
                <w:sz w:val="22"/>
              </w:rPr>
              <w:t>万元，公用经费支出</w:t>
            </w:r>
            <w:r>
              <w:rPr>
                <w:rFonts w:hint="eastAsia" w:ascii="Times New Roman" w:hAnsi="Times New Roman" w:eastAsia="仿宋_GB2312"/>
                <w:bCs/>
                <w:sz w:val="22"/>
              </w:rPr>
              <w:t>62.88</w:t>
            </w:r>
            <w:r>
              <w:rPr>
                <w:rFonts w:hint="default" w:ascii="Times New Roman" w:hAnsi="Times New Roman" w:eastAsia="仿宋_GB2312"/>
                <w:bCs/>
                <w:sz w:val="22"/>
              </w:rPr>
              <w:t>万元，项目支出</w:t>
            </w:r>
            <w:r>
              <w:rPr>
                <w:rFonts w:hint="eastAsia" w:ascii="Times New Roman" w:hAnsi="Times New Roman" w:eastAsia="仿宋_GB2312"/>
                <w:bCs/>
                <w:sz w:val="22"/>
              </w:rPr>
              <w:t>282.26</w:t>
            </w:r>
            <w:r>
              <w:rPr>
                <w:rFonts w:hint="default" w:ascii="Times New Roman" w:hAnsi="Times New Roman" w:eastAsia="仿宋_GB2312"/>
                <w:bCs/>
                <w:sz w:val="22"/>
              </w:rPr>
              <w:t>万元</w:t>
            </w:r>
            <w:r>
              <w:rPr>
                <w:rFonts w:hint="eastAsia" w:ascii="Times New Roman" w:hAnsi="Times New Roman" w:eastAsia="仿宋_GB2312"/>
                <w:bCs/>
                <w:sz w:val="22"/>
              </w:rPr>
              <w:t>。</w:t>
            </w:r>
            <w:r>
              <w:rPr>
                <w:rFonts w:hint="default" w:ascii="Times New Roman" w:hAnsi="Times New Roman" w:eastAsia="仿宋_GB2312"/>
                <w:bCs/>
                <w:sz w:val="22"/>
              </w:rPr>
              <w:t>综上所述，根据评分标准“预算执行率</w:t>
            </w:r>
            <w:r>
              <w:rPr>
                <w:rFonts w:hint="eastAsia" w:ascii="Times New Roman" w:hAnsi="Times New Roman" w:eastAsia="仿宋_GB2312"/>
                <w:bCs/>
                <w:sz w:val="22"/>
              </w:rPr>
              <w:t>100%，得4分</w:t>
            </w:r>
            <w:r>
              <w:rPr>
                <w:rFonts w:hint="default" w:ascii="Times New Roman" w:hAnsi="Times New Roman" w:eastAsia="仿宋_GB2312"/>
                <w:bCs/>
                <w:sz w:val="22"/>
              </w:rPr>
              <w:t>”，该指标</w:t>
            </w:r>
            <w:r>
              <w:rPr>
                <w:rFonts w:hint="eastAsia" w:ascii="Times New Roman" w:hAnsi="Times New Roman" w:eastAsia="仿宋_GB2312"/>
                <w:bCs/>
                <w:sz w:val="22"/>
              </w:rPr>
              <w:t>不扣分</w:t>
            </w:r>
            <w:r>
              <w:rPr>
                <w:rFonts w:hint="default" w:ascii="Times New Roman" w:hAnsi="Times New Roman" w:eastAsia="仿宋_GB2312"/>
                <w:bCs/>
                <w:sz w:val="22"/>
              </w:rPr>
              <w:t>，得</w:t>
            </w:r>
            <w:r>
              <w:rPr>
                <w:rFonts w:hint="eastAsia" w:ascii="Times New Roman" w:hAnsi="Times New Roman" w:eastAsia="仿宋_GB2312"/>
                <w:bCs/>
                <w:sz w:val="22"/>
              </w:rPr>
              <w:t>4</w:t>
            </w:r>
            <w:r>
              <w:rPr>
                <w:rFonts w:hint="default" w:ascii="Times New Roman" w:hAnsi="Times New Roman" w:eastAsia="仿宋_GB2312"/>
                <w:bCs/>
                <w:sz w:val="22"/>
              </w:rPr>
              <w:t>分。</w:t>
            </w:r>
          </w:p>
        </w:tc>
        <w:tc>
          <w:tcPr>
            <w:tcW w:w="219" w:type="pct"/>
            <w:vAlign w:val="center"/>
          </w:tcPr>
          <w:p w14:paraId="14CA330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2C13690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4</w:t>
            </w:r>
          </w:p>
        </w:tc>
        <w:tc>
          <w:tcPr>
            <w:tcW w:w="366" w:type="pct"/>
            <w:gridSpan w:val="2"/>
            <w:vAlign w:val="center"/>
          </w:tcPr>
          <w:p w14:paraId="7FB03BA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w:t>
            </w:r>
          </w:p>
        </w:tc>
        <w:tc>
          <w:tcPr>
            <w:tcW w:w="369" w:type="pct"/>
            <w:vAlign w:val="center"/>
          </w:tcPr>
          <w:p w14:paraId="26EE66C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3D37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68FE522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7FA3D0A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4A879E7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预算调整率</w:t>
            </w:r>
          </w:p>
        </w:tc>
        <w:tc>
          <w:tcPr>
            <w:tcW w:w="175" w:type="pct"/>
            <w:vAlign w:val="center"/>
          </w:tcPr>
          <w:p w14:paraId="4FD7C76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2</w:t>
            </w:r>
          </w:p>
        </w:tc>
        <w:tc>
          <w:tcPr>
            <w:tcW w:w="338" w:type="pct"/>
            <w:vAlign w:val="center"/>
          </w:tcPr>
          <w:p w14:paraId="2409716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考察部门（单位）本年度预算调整数与预算数的比率，用以反映和考核部门（单位）预算的调整程度。</w:t>
            </w:r>
          </w:p>
        </w:tc>
        <w:tc>
          <w:tcPr>
            <w:tcW w:w="280" w:type="pct"/>
            <w:vAlign w:val="center"/>
          </w:tcPr>
          <w:p w14:paraId="1950D5C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0%</w:t>
            </w:r>
          </w:p>
        </w:tc>
        <w:tc>
          <w:tcPr>
            <w:tcW w:w="427" w:type="pct"/>
            <w:gridSpan w:val="2"/>
            <w:vAlign w:val="center"/>
          </w:tcPr>
          <w:p w14:paraId="4D26578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预算调整率</w:t>
            </w:r>
            <w:r>
              <w:rPr>
                <w:rFonts w:hint="default" w:ascii="Times New Roman" w:hAnsi="Times New Roman" w:eastAsia="仿宋_GB2312"/>
                <w:sz w:val="22"/>
              </w:rPr>
              <w:t>=</w:t>
            </w:r>
            <w:r>
              <w:rPr>
                <w:rFonts w:hint="eastAsia" w:ascii="Times New Roman" w:hAnsi="Times New Roman" w:eastAsia="仿宋_GB2312"/>
                <w:sz w:val="22"/>
              </w:rPr>
              <w:t>（预算调整数</w:t>
            </w:r>
            <w:r>
              <w:rPr>
                <w:rFonts w:hint="default" w:ascii="Times New Roman" w:hAnsi="Times New Roman" w:eastAsia="仿宋_GB2312"/>
                <w:sz w:val="22"/>
              </w:rPr>
              <w:t>/</w:t>
            </w:r>
            <w:r>
              <w:rPr>
                <w:rFonts w:hint="eastAsia" w:ascii="Times New Roman" w:hAnsi="Times New Roman" w:eastAsia="仿宋_GB2312"/>
                <w:sz w:val="22"/>
              </w:rPr>
              <w:t>年初预算数）</w:t>
            </w:r>
            <w:r>
              <w:rPr>
                <w:rFonts w:hint="default" w:ascii="Times New Roman" w:hAnsi="Times New Roman" w:eastAsia="仿宋_GB2312"/>
                <w:sz w:val="22"/>
              </w:rPr>
              <w:t>×100%</w:t>
            </w:r>
            <w:r>
              <w:rPr>
                <w:rFonts w:hint="eastAsia" w:ascii="Times New Roman" w:hAnsi="Times New Roman" w:eastAsia="仿宋_GB2312"/>
                <w:sz w:val="22"/>
              </w:rPr>
              <w:t>。预算调整数：部门（单位）在本年度内涉及预算的追加、追减或结构调整的资金总和（因落实国家政策、发生不可抗力、上级部门或本级党委、政府临时交办而产生的调整除外）。</w:t>
            </w:r>
          </w:p>
          <w:p w14:paraId="52F9029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评价要点：①部门预算总额调整幅度在±1%以内，得2分，每增减1%扣0.1分，2分扣完为止。</w:t>
            </w:r>
          </w:p>
        </w:tc>
        <w:tc>
          <w:tcPr>
            <w:tcW w:w="405" w:type="pct"/>
            <w:vAlign w:val="center"/>
          </w:tcPr>
          <w:p w14:paraId="35E5B40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①部门预算总额调整幅度在±1%以内，得2分，每增减1%扣0.1分，2分扣完为止。</w:t>
            </w:r>
          </w:p>
        </w:tc>
        <w:tc>
          <w:tcPr>
            <w:tcW w:w="1141" w:type="pct"/>
            <w:vAlign w:val="center"/>
          </w:tcPr>
          <w:p w14:paraId="4837269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default" w:ascii="Times New Roman" w:hAnsi="Times New Roman" w:eastAsia="仿宋_GB2312"/>
                <w:bCs/>
                <w:sz w:val="22"/>
              </w:rPr>
              <w:t>根据喀什</w:t>
            </w:r>
            <w:r>
              <w:rPr>
                <w:rFonts w:hint="eastAsia" w:ascii="Times New Roman" w:hAnsi="Times New Roman" w:eastAsia="仿宋_GB2312"/>
                <w:bCs/>
                <w:sz w:val="22"/>
              </w:rPr>
              <w:t>市市场监督管理局</w:t>
            </w:r>
            <w:r>
              <w:rPr>
                <w:rFonts w:hint="default" w:ascii="Times New Roman" w:hAnsi="Times New Roman" w:eastAsia="仿宋_GB2312"/>
                <w:bCs/>
                <w:sz w:val="22"/>
              </w:rPr>
              <w:t>提供的202</w:t>
            </w:r>
            <w:r>
              <w:rPr>
                <w:rFonts w:hint="eastAsia" w:ascii="Times New Roman" w:hAnsi="Times New Roman" w:eastAsia="仿宋_GB2312"/>
                <w:bCs/>
                <w:sz w:val="22"/>
              </w:rPr>
              <w:t>5</w:t>
            </w:r>
            <w:r>
              <w:rPr>
                <w:rFonts w:hint="default" w:ascii="Times New Roman" w:hAnsi="Times New Roman" w:eastAsia="仿宋_GB2312"/>
                <w:bCs/>
                <w:sz w:val="22"/>
              </w:rPr>
              <w:t>年部门决算分析报告及决算报表显示，202</w:t>
            </w:r>
            <w:r>
              <w:rPr>
                <w:rFonts w:hint="eastAsia" w:ascii="Times New Roman" w:hAnsi="Times New Roman" w:eastAsia="仿宋_GB2312"/>
                <w:bCs/>
                <w:sz w:val="22"/>
              </w:rPr>
              <w:t>5</w:t>
            </w:r>
            <w:r>
              <w:rPr>
                <w:rFonts w:hint="default" w:ascii="Times New Roman" w:hAnsi="Times New Roman" w:eastAsia="仿宋_GB2312"/>
                <w:bCs/>
                <w:sz w:val="22"/>
              </w:rPr>
              <w:t>年年初部门预算批复预算金额为</w:t>
            </w:r>
            <w:r>
              <w:rPr>
                <w:rFonts w:hint="eastAsia" w:ascii="Times New Roman" w:hAnsi="Times New Roman" w:eastAsia="仿宋_GB2312"/>
                <w:bCs/>
                <w:sz w:val="22"/>
              </w:rPr>
              <w:t>3375.76</w:t>
            </w:r>
            <w:r>
              <w:rPr>
                <w:rFonts w:hint="default" w:ascii="Times New Roman" w:hAnsi="Times New Roman" w:eastAsia="仿宋_GB2312"/>
                <w:bCs/>
                <w:sz w:val="22"/>
              </w:rPr>
              <w:t>万元，其中，基本支出年初预算</w:t>
            </w:r>
            <w:r>
              <w:rPr>
                <w:rFonts w:hint="eastAsia" w:ascii="Times New Roman" w:hAnsi="Times New Roman" w:eastAsia="仿宋_GB2312"/>
                <w:bCs/>
                <w:sz w:val="22"/>
              </w:rPr>
              <w:t>3208.25</w:t>
            </w:r>
            <w:r>
              <w:rPr>
                <w:rFonts w:hint="default" w:ascii="Times New Roman" w:hAnsi="Times New Roman" w:eastAsia="仿宋_GB2312"/>
                <w:bCs/>
                <w:sz w:val="22"/>
              </w:rPr>
              <w:t>万元，项目支出年初预算</w:t>
            </w:r>
            <w:r>
              <w:rPr>
                <w:rFonts w:hint="eastAsia" w:ascii="Times New Roman" w:hAnsi="Times New Roman" w:eastAsia="仿宋_GB2312"/>
                <w:bCs/>
                <w:sz w:val="22"/>
              </w:rPr>
              <w:t>167.51</w:t>
            </w:r>
            <w:r>
              <w:rPr>
                <w:rFonts w:hint="default" w:ascii="Times New Roman" w:hAnsi="Times New Roman" w:eastAsia="仿宋_GB2312"/>
                <w:bCs/>
                <w:sz w:val="22"/>
              </w:rPr>
              <w:t>万元，年中调整金额为</w:t>
            </w:r>
            <w:r>
              <w:rPr>
                <w:rFonts w:hint="eastAsia" w:ascii="Times New Roman" w:hAnsi="Times New Roman" w:eastAsia="仿宋_GB2312"/>
                <w:bCs/>
                <w:sz w:val="22"/>
              </w:rPr>
              <w:t>25.52</w:t>
            </w:r>
            <w:r>
              <w:rPr>
                <w:rFonts w:hint="default" w:ascii="Times New Roman" w:hAnsi="Times New Roman" w:eastAsia="仿宋_GB2312"/>
                <w:bCs/>
                <w:sz w:val="22"/>
              </w:rPr>
              <w:t>万元，调整后全年预算数为</w:t>
            </w:r>
            <w:r>
              <w:rPr>
                <w:rFonts w:hint="eastAsia" w:ascii="Times New Roman" w:hAnsi="Times New Roman" w:eastAsia="仿宋_GB2312"/>
                <w:bCs/>
                <w:sz w:val="22"/>
              </w:rPr>
              <w:t>3350.24</w:t>
            </w:r>
            <w:r>
              <w:rPr>
                <w:rFonts w:hint="default" w:ascii="Times New Roman" w:hAnsi="Times New Roman" w:eastAsia="仿宋_GB2312"/>
                <w:bCs/>
                <w:sz w:val="22"/>
              </w:rPr>
              <w:t>万元，其中，基本支出全年预算数为</w:t>
            </w:r>
            <w:r>
              <w:rPr>
                <w:rFonts w:hint="eastAsia" w:ascii="Times New Roman" w:hAnsi="Times New Roman" w:eastAsia="仿宋_GB2312"/>
                <w:bCs/>
                <w:sz w:val="22"/>
              </w:rPr>
              <w:t>3067.98</w:t>
            </w:r>
            <w:r>
              <w:rPr>
                <w:rFonts w:hint="default" w:ascii="Times New Roman" w:hAnsi="Times New Roman" w:eastAsia="仿宋_GB2312"/>
                <w:bCs/>
                <w:sz w:val="22"/>
              </w:rPr>
              <w:t>万元，项目支出全年预算数为</w:t>
            </w:r>
            <w:r>
              <w:rPr>
                <w:rFonts w:hint="eastAsia" w:ascii="Times New Roman" w:hAnsi="Times New Roman" w:eastAsia="仿宋_GB2312"/>
                <w:bCs/>
                <w:sz w:val="22"/>
              </w:rPr>
              <w:t>282.26</w:t>
            </w:r>
            <w:r>
              <w:rPr>
                <w:rFonts w:hint="default" w:ascii="Times New Roman" w:hAnsi="Times New Roman" w:eastAsia="仿宋_GB2312"/>
                <w:bCs/>
                <w:sz w:val="22"/>
              </w:rPr>
              <w:t>万元，部门总体预算调整率=（预算调整数/年初预算数）×100%=（</w:t>
            </w:r>
            <w:r>
              <w:rPr>
                <w:rFonts w:hint="eastAsia" w:ascii="Times New Roman" w:hAnsi="Times New Roman" w:eastAsia="仿宋_GB2312"/>
                <w:bCs/>
                <w:sz w:val="22"/>
              </w:rPr>
              <w:t>25.52万元</w:t>
            </w:r>
            <w:r>
              <w:rPr>
                <w:rFonts w:hint="default" w:ascii="Times New Roman" w:hAnsi="Times New Roman" w:eastAsia="仿宋_GB2312"/>
                <w:bCs/>
                <w:sz w:val="22"/>
              </w:rPr>
              <w:t>/</w:t>
            </w:r>
            <w:r>
              <w:rPr>
                <w:rFonts w:hint="eastAsia" w:ascii="Times New Roman" w:hAnsi="Times New Roman" w:eastAsia="仿宋_GB2312"/>
                <w:bCs/>
                <w:sz w:val="22"/>
              </w:rPr>
              <w:t>3375.76</w:t>
            </w:r>
            <w:r>
              <w:rPr>
                <w:rFonts w:hint="default" w:ascii="Times New Roman" w:hAnsi="Times New Roman" w:eastAsia="仿宋_GB2312"/>
                <w:bCs/>
                <w:sz w:val="22"/>
              </w:rPr>
              <w:t>万元）×100%=</w:t>
            </w:r>
            <w:r>
              <w:rPr>
                <w:rFonts w:hint="eastAsia" w:ascii="Times New Roman" w:hAnsi="Times New Roman" w:eastAsia="仿宋_GB2312"/>
                <w:bCs/>
                <w:sz w:val="22"/>
              </w:rPr>
              <w:t>0.76%</w:t>
            </w:r>
            <w:r>
              <w:rPr>
                <w:rFonts w:hint="default" w:ascii="Times New Roman" w:hAnsi="Times New Roman" w:eastAsia="仿宋_GB2312"/>
                <w:bCs/>
                <w:sz w:val="22"/>
              </w:rPr>
              <w:t>。根据评分标准“部门预算总额调整幅度在1%以内，得2分，每增减1%扣0.1分”，部门预算总额调整幅度</w:t>
            </w:r>
            <w:r>
              <w:rPr>
                <w:rFonts w:hint="eastAsia" w:ascii="Times New Roman" w:hAnsi="Times New Roman" w:eastAsia="仿宋_GB2312"/>
                <w:bCs/>
                <w:sz w:val="22"/>
              </w:rPr>
              <w:t>不扣</w:t>
            </w:r>
            <w:r>
              <w:rPr>
                <w:rFonts w:hint="default" w:ascii="Times New Roman" w:hAnsi="Times New Roman" w:eastAsia="仿宋_GB2312"/>
                <w:bCs/>
                <w:sz w:val="22"/>
              </w:rPr>
              <w:t>分，得</w:t>
            </w:r>
            <w:r>
              <w:rPr>
                <w:rFonts w:hint="eastAsia" w:ascii="Times New Roman" w:hAnsi="Times New Roman" w:eastAsia="仿宋_GB2312"/>
                <w:bCs/>
                <w:sz w:val="22"/>
              </w:rPr>
              <w:t>2</w:t>
            </w:r>
            <w:r>
              <w:rPr>
                <w:rFonts w:hint="default" w:ascii="Times New Roman" w:hAnsi="Times New Roman" w:eastAsia="仿宋_GB2312"/>
                <w:bCs/>
                <w:sz w:val="22"/>
              </w:rPr>
              <w:t>分。</w:t>
            </w:r>
          </w:p>
        </w:tc>
        <w:tc>
          <w:tcPr>
            <w:tcW w:w="219" w:type="pct"/>
            <w:vAlign w:val="center"/>
          </w:tcPr>
          <w:p w14:paraId="06D11AD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0</w:t>
            </w:r>
          </w:p>
        </w:tc>
        <w:tc>
          <w:tcPr>
            <w:tcW w:w="259" w:type="pct"/>
            <w:vAlign w:val="center"/>
          </w:tcPr>
          <w:p w14:paraId="1F009B9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2</w:t>
            </w:r>
          </w:p>
        </w:tc>
        <w:tc>
          <w:tcPr>
            <w:tcW w:w="366" w:type="pct"/>
            <w:gridSpan w:val="2"/>
            <w:vAlign w:val="center"/>
          </w:tcPr>
          <w:p w14:paraId="755D49F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w:t>
            </w:r>
          </w:p>
        </w:tc>
        <w:tc>
          <w:tcPr>
            <w:tcW w:w="369" w:type="pct"/>
            <w:vAlign w:val="center"/>
          </w:tcPr>
          <w:p w14:paraId="16EA7FD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0E18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050BF23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36589CC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Merge w:val="restart"/>
            <w:vAlign w:val="center"/>
          </w:tcPr>
          <w:p w14:paraId="00831B8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结转结余率</w:t>
            </w:r>
          </w:p>
        </w:tc>
        <w:tc>
          <w:tcPr>
            <w:tcW w:w="175" w:type="pct"/>
            <w:vMerge w:val="restart"/>
            <w:vAlign w:val="center"/>
          </w:tcPr>
          <w:p w14:paraId="40C36AA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2</w:t>
            </w:r>
          </w:p>
        </w:tc>
        <w:tc>
          <w:tcPr>
            <w:tcW w:w="338" w:type="pct"/>
            <w:vMerge w:val="restart"/>
            <w:vAlign w:val="center"/>
          </w:tcPr>
          <w:p w14:paraId="23DF380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考察部门（单位）本年度结转结余总额与支出预算数的比率，用以反映和考核部门（单位）对本年度结转结余资金的实际控制程度。</w:t>
            </w:r>
          </w:p>
        </w:tc>
        <w:tc>
          <w:tcPr>
            <w:tcW w:w="280" w:type="pct"/>
            <w:vMerge w:val="restart"/>
            <w:vAlign w:val="center"/>
          </w:tcPr>
          <w:p w14:paraId="45751BB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0%</w:t>
            </w:r>
          </w:p>
        </w:tc>
        <w:tc>
          <w:tcPr>
            <w:tcW w:w="427" w:type="pct"/>
            <w:gridSpan w:val="2"/>
            <w:vAlign w:val="center"/>
          </w:tcPr>
          <w:p w14:paraId="38B4232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结转结余率</w:t>
            </w:r>
            <w:r>
              <w:rPr>
                <w:rFonts w:hint="default" w:ascii="Times New Roman" w:hAnsi="Times New Roman" w:eastAsia="仿宋_GB2312"/>
                <w:sz w:val="22"/>
              </w:rPr>
              <w:t>=</w:t>
            </w:r>
            <w:r>
              <w:rPr>
                <w:rFonts w:hint="eastAsia" w:ascii="Times New Roman" w:hAnsi="Times New Roman" w:eastAsia="仿宋_GB2312"/>
                <w:sz w:val="22"/>
              </w:rPr>
              <w:t>（本年结转结余数</w:t>
            </w:r>
            <w:r>
              <w:rPr>
                <w:rFonts w:hint="default" w:ascii="Times New Roman" w:hAnsi="Times New Roman" w:eastAsia="仿宋_GB2312"/>
                <w:sz w:val="22"/>
              </w:rPr>
              <w:t>/</w:t>
            </w:r>
            <w:r>
              <w:rPr>
                <w:rFonts w:hint="eastAsia" w:ascii="Times New Roman" w:hAnsi="Times New Roman" w:eastAsia="仿宋_GB2312"/>
                <w:sz w:val="22"/>
              </w:rPr>
              <w:t>决算收入数）</w:t>
            </w:r>
            <w:r>
              <w:rPr>
                <w:rFonts w:hint="default" w:ascii="Times New Roman" w:hAnsi="Times New Roman" w:eastAsia="仿宋_GB2312"/>
                <w:sz w:val="22"/>
              </w:rPr>
              <w:t>×100%</w:t>
            </w:r>
            <w:r>
              <w:rPr>
                <w:rFonts w:hint="eastAsia" w:ascii="Times New Roman" w:hAnsi="Times New Roman" w:eastAsia="仿宋_GB2312"/>
                <w:sz w:val="22"/>
              </w:rPr>
              <w:t>。结转结余总额：部门（单位）本年度的结转资金与结余资金之和（以决算数为准）。</w:t>
            </w:r>
          </w:p>
        </w:tc>
        <w:tc>
          <w:tcPr>
            <w:tcW w:w="405" w:type="pct"/>
            <w:vMerge w:val="restart"/>
            <w:vAlign w:val="center"/>
          </w:tcPr>
          <w:p w14:paraId="71B55E7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①结余结转率＜5%的，得2分；②5%＜结余结转率≤10%的，得1.5分；③10%＜结余结转率≤20%的，得1分；④结余结转率＞20%的，得0分。</w:t>
            </w:r>
          </w:p>
        </w:tc>
        <w:tc>
          <w:tcPr>
            <w:tcW w:w="1141" w:type="pct"/>
            <w:vMerge w:val="restart"/>
            <w:vAlign w:val="center"/>
          </w:tcPr>
          <w:p w14:paraId="55F4F5A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default" w:ascii="Times New Roman" w:hAnsi="Times New Roman" w:eastAsia="仿宋_GB2312"/>
                <w:bCs/>
                <w:sz w:val="22"/>
              </w:rPr>
              <w:t>根据喀什</w:t>
            </w:r>
            <w:r>
              <w:rPr>
                <w:rFonts w:hint="eastAsia" w:ascii="Times New Roman" w:hAnsi="Times New Roman" w:eastAsia="仿宋_GB2312"/>
                <w:bCs/>
                <w:sz w:val="22"/>
              </w:rPr>
              <w:t>市市场监督管理局</w:t>
            </w:r>
            <w:r>
              <w:rPr>
                <w:rFonts w:hint="default" w:ascii="Times New Roman" w:hAnsi="Times New Roman" w:eastAsia="仿宋_GB2312"/>
                <w:bCs/>
                <w:sz w:val="22"/>
              </w:rPr>
              <w:t>提供的202</w:t>
            </w:r>
            <w:r>
              <w:rPr>
                <w:rFonts w:hint="eastAsia" w:ascii="Times New Roman" w:hAnsi="Times New Roman" w:eastAsia="仿宋_GB2312"/>
                <w:bCs/>
                <w:sz w:val="22"/>
              </w:rPr>
              <w:t>5</w:t>
            </w:r>
            <w:r>
              <w:rPr>
                <w:rFonts w:hint="default" w:ascii="Times New Roman" w:hAnsi="Times New Roman" w:eastAsia="仿宋_GB2312"/>
                <w:bCs/>
                <w:sz w:val="22"/>
              </w:rPr>
              <w:t>年部门决算分析报告及决算报表显示，</w:t>
            </w:r>
            <w:r>
              <w:rPr>
                <w:rFonts w:hint="eastAsia" w:ascii="Times New Roman" w:hAnsi="Times New Roman" w:eastAsia="仿宋_GB2312"/>
                <w:bCs/>
                <w:sz w:val="22"/>
              </w:rPr>
              <w:t>喀什市市场监督管理局</w:t>
            </w:r>
            <w:r>
              <w:rPr>
                <w:rFonts w:hint="default" w:ascii="Times New Roman" w:hAnsi="Times New Roman" w:eastAsia="仿宋_GB2312"/>
                <w:bCs/>
                <w:sz w:val="22"/>
              </w:rPr>
              <w:t>202</w:t>
            </w:r>
            <w:r>
              <w:rPr>
                <w:rFonts w:hint="eastAsia" w:ascii="Times New Roman" w:hAnsi="Times New Roman" w:eastAsia="仿宋_GB2312"/>
                <w:bCs/>
                <w:sz w:val="22"/>
              </w:rPr>
              <w:t>5</w:t>
            </w:r>
            <w:r>
              <w:rPr>
                <w:rFonts w:hint="default" w:ascii="Times New Roman" w:hAnsi="Times New Roman" w:eastAsia="仿宋_GB2312"/>
                <w:bCs/>
                <w:sz w:val="22"/>
              </w:rPr>
              <w:t>年部门决算收入数为</w:t>
            </w:r>
            <w:r>
              <w:rPr>
                <w:rFonts w:hint="eastAsia" w:ascii="Times New Roman" w:hAnsi="Times New Roman" w:eastAsia="仿宋_GB2312"/>
                <w:bCs/>
                <w:sz w:val="22"/>
              </w:rPr>
              <w:t>3350.24</w:t>
            </w:r>
            <w:r>
              <w:rPr>
                <w:rFonts w:hint="default" w:ascii="Times New Roman" w:hAnsi="Times New Roman" w:eastAsia="仿宋_GB2312"/>
                <w:bCs/>
                <w:sz w:val="22"/>
              </w:rPr>
              <w:t>万元，无年末结转和结余，202</w:t>
            </w:r>
            <w:r>
              <w:rPr>
                <w:rFonts w:hint="eastAsia" w:ascii="Times New Roman" w:hAnsi="Times New Roman" w:eastAsia="仿宋_GB2312"/>
                <w:bCs/>
                <w:sz w:val="22"/>
              </w:rPr>
              <w:t>5</w:t>
            </w:r>
            <w:r>
              <w:rPr>
                <w:rFonts w:hint="default" w:ascii="Times New Roman" w:hAnsi="Times New Roman" w:eastAsia="仿宋_GB2312"/>
                <w:bCs/>
                <w:sz w:val="22"/>
              </w:rPr>
              <w:t>年结转结余率为0%，根据评分标准，该指标不扣分，得2分。</w:t>
            </w:r>
          </w:p>
        </w:tc>
        <w:tc>
          <w:tcPr>
            <w:tcW w:w="219" w:type="pct"/>
            <w:vMerge w:val="restart"/>
            <w:vAlign w:val="center"/>
          </w:tcPr>
          <w:p w14:paraId="318026F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Merge w:val="restart"/>
            <w:vAlign w:val="center"/>
          </w:tcPr>
          <w:p w14:paraId="1C628BE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2</w:t>
            </w:r>
          </w:p>
        </w:tc>
        <w:tc>
          <w:tcPr>
            <w:tcW w:w="366" w:type="pct"/>
            <w:gridSpan w:val="2"/>
            <w:vMerge w:val="restart"/>
            <w:vAlign w:val="center"/>
          </w:tcPr>
          <w:p w14:paraId="0B9EA23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Merge w:val="restart"/>
            <w:vAlign w:val="center"/>
          </w:tcPr>
          <w:p w14:paraId="5FC11A4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241E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6CFD6D5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5157AD5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Merge w:val="continue"/>
            <w:vAlign w:val="center"/>
          </w:tcPr>
          <w:p w14:paraId="2BA1D89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175" w:type="pct"/>
            <w:vMerge w:val="continue"/>
            <w:vAlign w:val="center"/>
          </w:tcPr>
          <w:p w14:paraId="7B00027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38" w:type="pct"/>
            <w:vMerge w:val="continue"/>
            <w:vAlign w:val="center"/>
          </w:tcPr>
          <w:p w14:paraId="4A6B334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280" w:type="pct"/>
            <w:vMerge w:val="continue"/>
            <w:vAlign w:val="center"/>
          </w:tcPr>
          <w:p w14:paraId="0D9AC62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27" w:type="pct"/>
            <w:gridSpan w:val="2"/>
            <w:vAlign w:val="center"/>
          </w:tcPr>
          <w:p w14:paraId="05B0386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default" w:ascii="Times New Roman" w:hAnsi="Times New Roman" w:eastAsia="仿宋_GB2312"/>
                <w:sz w:val="22"/>
              </w:rPr>
            </w:pPr>
            <w:r>
              <w:rPr>
                <w:rFonts w:hint="eastAsia" w:ascii="Times New Roman" w:hAnsi="Times New Roman" w:eastAsia="仿宋_GB2312"/>
                <w:sz w:val="22"/>
              </w:rPr>
              <w:t>评价要点：①结余结转率＜5%的，得2分；②5%＜结余结转率≤10%的，得1.5分；③10%＜结余结转率≤20%的，得1分；④结余结转率＞20%的，得0分。</w:t>
            </w:r>
          </w:p>
        </w:tc>
        <w:tc>
          <w:tcPr>
            <w:tcW w:w="405" w:type="pct"/>
            <w:vMerge w:val="continue"/>
            <w:vAlign w:val="center"/>
          </w:tcPr>
          <w:p w14:paraId="546FD14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1141" w:type="pct"/>
            <w:vMerge w:val="continue"/>
            <w:vAlign w:val="center"/>
          </w:tcPr>
          <w:p w14:paraId="60BB99A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219" w:type="pct"/>
            <w:vMerge w:val="continue"/>
            <w:vAlign w:val="center"/>
          </w:tcPr>
          <w:p w14:paraId="1802A33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259" w:type="pct"/>
            <w:vMerge w:val="continue"/>
            <w:vAlign w:val="center"/>
          </w:tcPr>
          <w:p w14:paraId="383C3F0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66" w:type="pct"/>
            <w:gridSpan w:val="2"/>
            <w:vMerge w:val="continue"/>
            <w:vAlign w:val="center"/>
          </w:tcPr>
          <w:p w14:paraId="7A4A1B3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69" w:type="pct"/>
            <w:vMerge w:val="continue"/>
            <w:vAlign w:val="center"/>
          </w:tcPr>
          <w:p w14:paraId="080432D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315E7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49FB630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4C12D3F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Merge w:val="restart"/>
            <w:vAlign w:val="center"/>
          </w:tcPr>
          <w:p w14:paraId="09599A9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结转结余变动率</w:t>
            </w:r>
          </w:p>
        </w:tc>
        <w:tc>
          <w:tcPr>
            <w:tcW w:w="175" w:type="pct"/>
            <w:vMerge w:val="restart"/>
            <w:vAlign w:val="center"/>
          </w:tcPr>
          <w:p w14:paraId="4D8B9A9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w:t>
            </w:r>
          </w:p>
        </w:tc>
        <w:tc>
          <w:tcPr>
            <w:tcW w:w="338" w:type="pct"/>
            <w:vMerge w:val="restart"/>
            <w:vAlign w:val="center"/>
          </w:tcPr>
          <w:p w14:paraId="7FB6A4F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考察部门（单位）本年度结转结余资金总额与上年度结转结余资金总额的变动比率，用以反映和考核部门（单位）对控制结转结余资金的努力程度。</w:t>
            </w:r>
          </w:p>
        </w:tc>
        <w:tc>
          <w:tcPr>
            <w:tcW w:w="280" w:type="pct"/>
            <w:vMerge w:val="restart"/>
            <w:vAlign w:val="center"/>
          </w:tcPr>
          <w:p w14:paraId="1CE3793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0%</w:t>
            </w:r>
          </w:p>
        </w:tc>
        <w:tc>
          <w:tcPr>
            <w:tcW w:w="427" w:type="pct"/>
            <w:gridSpan w:val="2"/>
            <w:vAlign w:val="center"/>
          </w:tcPr>
          <w:p w14:paraId="5DADF29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结转结余变动率</w:t>
            </w:r>
            <w:r>
              <w:rPr>
                <w:rFonts w:hint="default" w:ascii="Times New Roman" w:hAnsi="Times New Roman" w:eastAsia="仿宋_GB2312"/>
                <w:sz w:val="22"/>
              </w:rPr>
              <w:t>=</w:t>
            </w:r>
            <w:r>
              <w:rPr>
                <w:rFonts w:hint="eastAsia" w:ascii="Times New Roman" w:hAnsi="Times New Roman" w:eastAsia="仿宋_GB2312"/>
                <w:sz w:val="22"/>
              </w:rPr>
              <w:t>〔（本年度累计结转结余资金总额</w:t>
            </w:r>
            <w:r>
              <w:rPr>
                <w:rFonts w:hint="default" w:ascii="Times New Roman" w:hAnsi="Times New Roman" w:eastAsia="仿宋_GB2312"/>
                <w:sz w:val="22"/>
              </w:rPr>
              <w:t>-</w:t>
            </w:r>
            <w:r>
              <w:rPr>
                <w:rFonts w:hint="eastAsia" w:ascii="Times New Roman" w:hAnsi="Times New Roman" w:eastAsia="仿宋_GB2312"/>
                <w:sz w:val="22"/>
              </w:rPr>
              <w:t>上年度累计结转结余资金总额）</w:t>
            </w:r>
            <w:r>
              <w:rPr>
                <w:rFonts w:hint="default" w:ascii="Times New Roman" w:hAnsi="Times New Roman" w:eastAsia="仿宋_GB2312"/>
                <w:sz w:val="22"/>
              </w:rPr>
              <w:t>/</w:t>
            </w:r>
            <w:r>
              <w:rPr>
                <w:rFonts w:hint="eastAsia" w:ascii="Times New Roman" w:hAnsi="Times New Roman" w:eastAsia="仿宋_GB2312"/>
                <w:sz w:val="22"/>
              </w:rPr>
              <w:t>上年度累计结转结余资金总额〕</w:t>
            </w:r>
            <w:r>
              <w:rPr>
                <w:rFonts w:hint="default" w:ascii="Times New Roman" w:hAnsi="Times New Roman" w:eastAsia="仿宋_GB2312"/>
                <w:sz w:val="22"/>
              </w:rPr>
              <w:t>×100%</w:t>
            </w:r>
            <w:r>
              <w:rPr>
                <w:rFonts w:hint="eastAsia" w:ascii="Times New Roman" w:hAnsi="Times New Roman" w:eastAsia="仿宋_GB2312"/>
                <w:sz w:val="22"/>
              </w:rPr>
              <w:t>。</w:t>
            </w:r>
          </w:p>
        </w:tc>
        <w:tc>
          <w:tcPr>
            <w:tcW w:w="405" w:type="pct"/>
            <w:vMerge w:val="restart"/>
            <w:vAlign w:val="center"/>
          </w:tcPr>
          <w:p w14:paraId="7540933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①结转结余变动率小于5%，得1分；②5%＜结转结余变动率＜10%，得0.5分；③结余结转变动率大于10%，得0分；④结转结余变动率为负值（年末结转结余较年初下降）时，如下降幅度合理，可</w:t>
            </w:r>
            <w:r>
              <w:rPr>
                <w:rFonts w:hint="eastAsia" w:ascii="Times New Roman" w:hAnsi="Times New Roman" w:eastAsia="仿宋_GB2312" w:cs="宋体"/>
                <w:sz w:val="22"/>
              </w:rPr>
              <w:t>酌</w:t>
            </w:r>
            <w:r>
              <w:rPr>
                <w:rFonts w:hint="eastAsia" w:ascii="Times New Roman" w:hAnsi="Times New Roman" w:eastAsia="仿宋_GB2312" w:cs="___WRD_EMBED_SUB_47"/>
                <w:sz w:val="22"/>
              </w:rPr>
              <w:t>情给分</w:t>
            </w:r>
            <w:r>
              <w:rPr>
                <w:rFonts w:hint="eastAsia" w:ascii="Times New Roman" w:hAnsi="Times New Roman" w:eastAsia="仿宋_GB2312"/>
                <w:sz w:val="22"/>
              </w:rPr>
              <w:t>。</w:t>
            </w:r>
          </w:p>
        </w:tc>
        <w:tc>
          <w:tcPr>
            <w:tcW w:w="1141" w:type="pct"/>
            <w:vMerge w:val="restart"/>
            <w:vAlign w:val="center"/>
          </w:tcPr>
          <w:p w14:paraId="495CE20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default" w:ascii="Times New Roman" w:hAnsi="Times New Roman" w:eastAsia="仿宋_GB2312"/>
                <w:bCs/>
                <w:sz w:val="22"/>
              </w:rPr>
              <w:t>根据</w:t>
            </w:r>
            <w:r>
              <w:rPr>
                <w:rFonts w:hint="eastAsia" w:ascii="Times New Roman" w:hAnsi="Times New Roman" w:eastAsia="仿宋_GB2312"/>
                <w:bCs/>
                <w:sz w:val="22"/>
              </w:rPr>
              <w:t>喀什市市场监督管理局</w:t>
            </w:r>
            <w:r>
              <w:rPr>
                <w:rFonts w:hint="default" w:ascii="Times New Roman" w:hAnsi="Times New Roman" w:eastAsia="仿宋_GB2312"/>
                <w:bCs/>
                <w:sz w:val="22"/>
              </w:rPr>
              <w:t>提供的202</w:t>
            </w:r>
            <w:r>
              <w:rPr>
                <w:rFonts w:hint="eastAsia" w:ascii="Times New Roman" w:hAnsi="Times New Roman" w:eastAsia="仿宋_GB2312"/>
                <w:bCs/>
                <w:sz w:val="22"/>
              </w:rPr>
              <w:t>5</w:t>
            </w:r>
            <w:r>
              <w:rPr>
                <w:rFonts w:hint="default" w:ascii="Times New Roman" w:hAnsi="Times New Roman" w:eastAsia="仿宋_GB2312"/>
                <w:bCs/>
                <w:sz w:val="22"/>
              </w:rPr>
              <w:t>年部门决算分析报告及决算报表显示，</w:t>
            </w:r>
            <w:r>
              <w:rPr>
                <w:rFonts w:hint="eastAsia" w:ascii="Times New Roman" w:hAnsi="Times New Roman" w:eastAsia="仿宋_GB2312"/>
                <w:bCs/>
                <w:sz w:val="22"/>
              </w:rPr>
              <w:t>喀什市市场监督管理局</w:t>
            </w:r>
            <w:r>
              <w:rPr>
                <w:rFonts w:hint="default" w:ascii="Times New Roman" w:hAnsi="Times New Roman" w:eastAsia="仿宋_GB2312"/>
                <w:bCs/>
                <w:sz w:val="22"/>
              </w:rPr>
              <w:t>202</w:t>
            </w:r>
            <w:r>
              <w:rPr>
                <w:rFonts w:hint="eastAsia" w:ascii="Times New Roman" w:hAnsi="Times New Roman" w:eastAsia="仿宋_GB2312"/>
                <w:bCs/>
                <w:sz w:val="22"/>
              </w:rPr>
              <w:t>5</w:t>
            </w:r>
            <w:r>
              <w:rPr>
                <w:rFonts w:hint="default" w:ascii="Times New Roman" w:hAnsi="Times New Roman" w:eastAsia="仿宋_GB2312"/>
                <w:bCs/>
                <w:sz w:val="22"/>
              </w:rPr>
              <w:t>年初结转和结余为</w:t>
            </w:r>
            <w:r>
              <w:rPr>
                <w:rFonts w:hint="eastAsia" w:ascii="Times New Roman" w:hAnsi="Times New Roman" w:eastAsia="仿宋_GB2312"/>
                <w:bCs/>
                <w:sz w:val="22"/>
              </w:rPr>
              <w:t>7.05</w:t>
            </w:r>
            <w:r>
              <w:rPr>
                <w:rFonts w:hint="default" w:ascii="Times New Roman" w:hAnsi="Times New Roman" w:eastAsia="仿宋_GB2312"/>
                <w:bCs/>
                <w:sz w:val="22"/>
              </w:rPr>
              <w:t>万元，年末无结转和结余，结转结余变动率=〔（本年度累计结转结余资金总额-上年度累计结转结余资金总额）/上年度累计结转结余资金总额〕×100%=〔（0万元-</w:t>
            </w:r>
            <w:r>
              <w:rPr>
                <w:rFonts w:hint="eastAsia" w:ascii="Times New Roman" w:hAnsi="Times New Roman" w:eastAsia="仿宋_GB2312"/>
                <w:bCs/>
                <w:sz w:val="22"/>
              </w:rPr>
              <w:t>7.05</w:t>
            </w:r>
            <w:r>
              <w:rPr>
                <w:rFonts w:hint="default" w:ascii="Times New Roman" w:hAnsi="Times New Roman" w:eastAsia="仿宋_GB2312"/>
                <w:bCs/>
                <w:sz w:val="22"/>
              </w:rPr>
              <w:t>万元）/</w:t>
            </w:r>
            <w:r>
              <w:rPr>
                <w:rFonts w:hint="eastAsia" w:ascii="Times New Roman" w:hAnsi="Times New Roman" w:eastAsia="仿宋_GB2312"/>
                <w:bCs/>
                <w:sz w:val="22"/>
              </w:rPr>
              <w:t>7.05</w:t>
            </w:r>
            <w:r>
              <w:rPr>
                <w:rFonts w:hint="default" w:ascii="Times New Roman" w:hAnsi="Times New Roman" w:eastAsia="仿宋_GB2312"/>
                <w:bCs/>
                <w:sz w:val="22"/>
              </w:rPr>
              <w:t>万元〕×</w:t>
            </w:r>
            <w:r>
              <w:rPr>
                <w:rFonts w:hint="default" w:ascii="Times New Roman" w:hAnsi="Times New Roman" w:eastAsia="仿宋_GB2312"/>
                <w:sz w:val="22"/>
              </w:rPr>
              <w:t>100%=</w:t>
            </w:r>
            <w:r>
              <w:rPr>
                <w:rFonts w:hint="eastAsia" w:ascii="Times New Roman" w:hAnsi="Times New Roman" w:eastAsia="仿宋_GB2312"/>
                <w:sz w:val="22"/>
              </w:rPr>
              <w:t>-</w:t>
            </w:r>
            <w:r>
              <w:rPr>
                <w:rFonts w:hint="default" w:ascii="Times New Roman" w:hAnsi="Times New Roman" w:eastAsia="仿宋_GB2312"/>
                <w:sz w:val="22"/>
              </w:rPr>
              <w:t>100%，根据评分标准，结转结余变动率指标</w:t>
            </w:r>
            <w:r>
              <w:rPr>
                <w:rFonts w:hint="eastAsia" w:ascii="Times New Roman" w:hAnsi="Times New Roman" w:eastAsia="仿宋_GB2312"/>
                <w:sz w:val="22"/>
              </w:rPr>
              <w:t>不扣</w:t>
            </w:r>
            <w:r>
              <w:rPr>
                <w:rFonts w:hint="default" w:ascii="Times New Roman" w:hAnsi="Times New Roman" w:eastAsia="仿宋_GB2312"/>
                <w:sz w:val="22"/>
              </w:rPr>
              <w:t>分，得</w:t>
            </w:r>
            <w:r>
              <w:rPr>
                <w:rFonts w:hint="eastAsia" w:ascii="Times New Roman" w:hAnsi="Times New Roman" w:eastAsia="仿宋_GB2312"/>
                <w:sz w:val="22"/>
              </w:rPr>
              <w:t>1</w:t>
            </w:r>
            <w:r>
              <w:rPr>
                <w:rFonts w:hint="default" w:ascii="Times New Roman" w:hAnsi="Times New Roman" w:eastAsia="仿宋_GB2312"/>
                <w:sz w:val="22"/>
              </w:rPr>
              <w:t>分。</w:t>
            </w:r>
          </w:p>
        </w:tc>
        <w:tc>
          <w:tcPr>
            <w:tcW w:w="219" w:type="pct"/>
            <w:vMerge w:val="restart"/>
            <w:vAlign w:val="center"/>
          </w:tcPr>
          <w:p w14:paraId="0B57E4D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0</w:t>
            </w:r>
          </w:p>
        </w:tc>
        <w:tc>
          <w:tcPr>
            <w:tcW w:w="259" w:type="pct"/>
            <w:vMerge w:val="restart"/>
            <w:vAlign w:val="center"/>
          </w:tcPr>
          <w:p w14:paraId="45F1B0D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w:t>
            </w:r>
          </w:p>
        </w:tc>
        <w:tc>
          <w:tcPr>
            <w:tcW w:w="366" w:type="pct"/>
            <w:gridSpan w:val="2"/>
            <w:vMerge w:val="restart"/>
            <w:vAlign w:val="center"/>
          </w:tcPr>
          <w:p w14:paraId="641AFC0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w:t>
            </w:r>
            <w:r>
              <w:rPr>
                <w:rFonts w:hint="default" w:ascii="Times New Roman" w:hAnsi="Times New Roman" w:eastAsia="仿宋_GB2312"/>
                <w:sz w:val="22"/>
              </w:rPr>
              <w:t>00%</w:t>
            </w:r>
          </w:p>
        </w:tc>
        <w:tc>
          <w:tcPr>
            <w:tcW w:w="369" w:type="pct"/>
            <w:vMerge w:val="restart"/>
            <w:vAlign w:val="center"/>
          </w:tcPr>
          <w:p w14:paraId="7A4482E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p>
        </w:tc>
      </w:tr>
      <w:tr w14:paraId="611E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0FB81A3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24D358D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Merge w:val="continue"/>
            <w:vAlign w:val="center"/>
          </w:tcPr>
          <w:p w14:paraId="5B0449A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175" w:type="pct"/>
            <w:vMerge w:val="continue"/>
            <w:vAlign w:val="center"/>
          </w:tcPr>
          <w:p w14:paraId="4E89ACA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38" w:type="pct"/>
            <w:vMerge w:val="continue"/>
            <w:vAlign w:val="center"/>
          </w:tcPr>
          <w:p w14:paraId="12B19CF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280" w:type="pct"/>
            <w:vMerge w:val="continue"/>
            <w:vAlign w:val="center"/>
          </w:tcPr>
          <w:p w14:paraId="42DEC9A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27" w:type="pct"/>
            <w:gridSpan w:val="2"/>
            <w:vAlign w:val="center"/>
          </w:tcPr>
          <w:p w14:paraId="77EBE2E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评价要点：①结转结余变动率小于5%，得1分；②5%＜结转结余变动率＜10%，得0.5分；③结余结转变动率大于10%，得0分；④结转结余变动率为负值（年末结转结余较年初下降）时，如下降幅度合理，可</w:t>
            </w:r>
            <w:r>
              <w:rPr>
                <w:rFonts w:hint="eastAsia" w:ascii="Times New Roman" w:hAnsi="Times New Roman" w:eastAsia="仿宋_GB2312" w:cs="宋体"/>
                <w:sz w:val="22"/>
              </w:rPr>
              <w:t>酌</w:t>
            </w:r>
            <w:r>
              <w:rPr>
                <w:rFonts w:hint="eastAsia" w:ascii="Times New Roman" w:hAnsi="Times New Roman" w:eastAsia="仿宋_GB2312" w:cs="___WRD_EMBED_SUB_47"/>
                <w:sz w:val="22"/>
              </w:rPr>
              <w:t>情给分</w:t>
            </w:r>
            <w:r>
              <w:rPr>
                <w:rFonts w:hint="eastAsia" w:ascii="Times New Roman" w:hAnsi="Times New Roman" w:eastAsia="仿宋_GB2312"/>
                <w:sz w:val="22"/>
              </w:rPr>
              <w:t>。</w:t>
            </w:r>
          </w:p>
        </w:tc>
        <w:tc>
          <w:tcPr>
            <w:tcW w:w="405" w:type="pct"/>
            <w:vMerge w:val="continue"/>
            <w:vAlign w:val="center"/>
          </w:tcPr>
          <w:p w14:paraId="2F6D088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1141" w:type="pct"/>
            <w:vMerge w:val="continue"/>
            <w:vAlign w:val="center"/>
          </w:tcPr>
          <w:p w14:paraId="04ECA42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219" w:type="pct"/>
            <w:vMerge w:val="continue"/>
            <w:vAlign w:val="center"/>
          </w:tcPr>
          <w:p w14:paraId="0562D4E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259" w:type="pct"/>
            <w:vMerge w:val="continue"/>
            <w:vAlign w:val="center"/>
          </w:tcPr>
          <w:p w14:paraId="3B8E35C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66" w:type="pct"/>
            <w:gridSpan w:val="2"/>
            <w:vMerge w:val="continue"/>
            <w:vAlign w:val="center"/>
          </w:tcPr>
          <w:p w14:paraId="59B1CBF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69" w:type="pct"/>
            <w:vMerge w:val="continue"/>
            <w:vAlign w:val="center"/>
          </w:tcPr>
          <w:p w14:paraId="14E99C5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62C8C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6DE0A37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5DEAE4F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175FADE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r>
              <w:rPr>
                <w:rFonts w:hint="default" w:ascii="Times New Roman" w:hAnsi="Times New Roman" w:eastAsia="仿宋_GB2312"/>
                <w:bCs/>
                <w:sz w:val="22"/>
              </w:rPr>
              <w:t>政府</w:t>
            </w:r>
            <w:r>
              <w:rPr>
                <w:rFonts w:hint="eastAsia" w:ascii="Times New Roman" w:hAnsi="Times New Roman" w:eastAsia="仿宋_GB2312"/>
                <w:bCs/>
                <w:sz w:val="22"/>
              </w:rPr>
              <w:t>采购招投标信息公开及时完备率</w:t>
            </w:r>
          </w:p>
        </w:tc>
        <w:tc>
          <w:tcPr>
            <w:tcW w:w="175" w:type="pct"/>
            <w:vAlign w:val="center"/>
          </w:tcPr>
          <w:p w14:paraId="4CA04C2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2</w:t>
            </w:r>
          </w:p>
        </w:tc>
        <w:tc>
          <w:tcPr>
            <w:tcW w:w="338" w:type="pct"/>
            <w:vAlign w:val="center"/>
          </w:tcPr>
          <w:p w14:paraId="3C95E24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w:t>
            </w:r>
            <w:r>
              <w:rPr>
                <w:rFonts w:hint="default" w:ascii="Times New Roman" w:hAnsi="Times New Roman" w:eastAsia="仿宋_GB2312"/>
                <w:sz w:val="22"/>
              </w:rPr>
              <w:t>建立健全责任明确的工作机制、简便顺畅的操作流程和集中统一的发布渠道，确保政府采购</w:t>
            </w:r>
            <w:r>
              <w:rPr>
                <w:rFonts w:hint="eastAsia" w:ascii="Times New Roman" w:hAnsi="Times New Roman" w:eastAsia="仿宋_GB2312"/>
                <w:sz w:val="22"/>
              </w:rPr>
              <w:t>信息</w:t>
            </w:r>
            <w:r>
              <w:rPr>
                <w:rFonts w:hint="default" w:ascii="Times New Roman" w:hAnsi="Times New Roman" w:eastAsia="仿宋_GB2312"/>
                <w:sz w:val="22"/>
              </w:rPr>
              <w:t>发布的及时、完整、准确，实现政府采购信息的全流程公开透明。</w:t>
            </w:r>
          </w:p>
        </w:tc>
        <w:tc>
          <w:tcPr>
            <w:tcW w:w="280" w:type="pct"/>
            <w:vAlign w:val="center"/>
          </w:tcPr>
          <w:p w14:paraId="5D15EE5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及时、完备</w:t>
            </w:r>
          </w:p>
        </w:tc>
        <w:tc>
          <w:tcPr>
            <w:tcW w:w="427" w:type="pct"/>
            <w:gridSpan w:val="2"/>
            <w:vAlign w:val="center"/>
          </w:tcPr>
          <w:p w14:paraId="2D6677A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default" w:ascii="Times New Roman" w:hAnsi="Times New Roman" w:eastAsia="仿宋_GB2312"/>
                <w:sz w:val="22"/>
              </w:rPr>
              <w:t>政府采购意向、招标公告、中标结果、合同公告等内容是否及时完整地进行了公开公示，及时率、完整率各占1/2的权重分，符合条件即得相应权重分值，不符合不得分</w:t>
            </w:r>
          </w:p>
        </w:tc>
        <w:tc>
          <w:tcPr>
            <w:tcW w:w="405" w:type="pct"/>
            <w:vAlign w:val="center"/>
          </w:tcPr>
          <w:p w14:paraId="4F09CE0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根据评分标准中的具体分值进行赋分</w:t>
            </w:r>
          </w:p>
        </w:tc>
        <w:tc>
          <w:tcPr>
            <w:tcW w:w="1141" w:type="pct"/>
            <w:vAlign w:val="center"/>
          </w:tcPr>
          <w:p w14:paraId="463307B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default" w:ascii="Times New Roman" w:hAnsi="Times New Roman" w:eastAsia="仿宋_GB2312"/>
                <w:bCs/>
                <w:sz w:val="22"/>
              </w:rPr>
              <w:t>根据查看</w:t>
            </w:r>
            <w:r>
              <w:rPr>
                <w:rFonts w:hint="eastAsia" w:ascii="Times New Roman" w:hAnsi="Times New Roman" w:eastAsia="仿宋_GB2312"/>
                <w:bCs/>
                <w:sz w:val="22"/>
              </w:rPr>
              <w:t>喀什市</w:t>
            </w:r>
            <w:r>
              <w:rPr>
                <w:rFonts w:hint="default" w:ascii="Times New Roman" w:hAnsi="Times New Roman" w:eastAsia="仿宋_GB2312"/>
                <w:bCs/>
                <w:sz w:val="22"/>
              </w:rPr>
              <w:t>市场监督管理局部门整体相关资料发现：</w:t>
            </w:r>
            <w:r>
              <w:rPr>
                <w:rFonts w:hint="eastAsia" w:ascii="Times New Roman" w:hAnsi="Times New Roman" w:eastAsia="仿宋_GB2312"/>
                <w:bCs/>
                <w:sz w:val="22"/>
              </w:rPr>
              <w:t>喀什市</w:t>
            </w:r>
            <w:r>
              <w:rPr>
                <w:rFonts w:hint="default" w:ascii="Times New Roman" w:hAnsi="Times New Roman" w:eastAsia="仿宋_GB2312"/>
                <w:bCs/>
                <w:sz w:val="22"/>
              </w:rPr>
              <w:t>市场监督管理局严格执行《</w:t>
            </w:r>
            <w:r>
              <w:rPr>
                <w:rFonts w:hint="eastAsia" w:ascii="Times New Roman" w:hAnsi="Times New Roman" w:eastAsia="仿宋_GB2312"/>
                <w:bCs/>
                <w:sz w:val="22"/>
              </w:rPr>
              <w:t>喀什市</w:t>
            </w:r>
            <w:r>
              <w:rPr>
                <w:rFonts w:hint="default" w:ascii="Times New Roman" w:hAnsi="Times New Roman" w:eastAsia="仿宋_GB2312"/>
                <w:bCs/>
                <w:sz w:val="22"/>
              </w:rPr>
              <w:t>市场监督管理局政府采购内控制度》开展政府采购工作，从采购需求的合理性论证、采购预算的严格审核</w:t>
            </w:r>
            <w:r>
              <w:rPr>
                <w:rFonts w:hint="eastAsia" w:ascii="Times New Roman" w:hAnsi="Times New Roman" w:eastAsia="仿宋_GB2312"/>
                <w:bCs/>
                <w:sz w:val="22"/>
              </w:rPr>
              <w:t>，</w:t>
            </w:r>
            <w:r>
              <w:rPr>
                <w:rFonts w:hint="default" w:ascii="Times New Roman" w:hAnsi="Times New Roman" w:eastAsia="仿宋_GB2312"/>
                <w:bCs/>
                <w:sz w:val="22"/>
              </w:rPr>
              <w:t>到采购方式的合规选择、招标过程的全程监督，再到采购物资的验收入库和资金支付，均设定了闭环管理流程，通过明确各环节责任主体，有效防范了采购过程中的暗箱操作和廉政风险，保障了政府采购资金的安全高效使用。综上所述，根据评分标准，该指标不扣分，得</w:t>
            </w:r>
            <w:r>
              <w:rPr>
                <w:rFonts w:hint="eastAsia" w:ascii="Times New Roman" w:hAnsi="Times New Roman" w:eastAsia="仿宋_GB2312"/>
                <w:bCs/>
                <w:sz w:val="22"/>
              </w:rPr>
              <w:t>2</w:t>
            </w:r>
            <w:r>
              <w:rPr>
                <w:rFonts w:hint="default" w:ascii="Times New Roman" w:hAnsi="Times New Roman" w:eastAsia="仿宋_GB2312"/>
                <w:bCs/>
                <w:sz w:val="22"/>
              </w:rPr>
              <w:t>分。</w:t>
            </w:r>
          </w:p>
        </w:tc>
        <w:tc>
          <w:tcPr>
            <w:tcW w:w="219" w:type="pct"/>
            <w:vAlign w:val="center"/>
          </w:tcPr>
          <w:p w14:paraId="2EBBD16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0</w:t>
            </w:r>
          </w:p>
        </w:tc>
        <w:tc>
          <w:tcPr>
            <w:tcW w:w="259" w:type="pct"/>
            <w:vAlign w:val="center"/>
          </w:tcPr>
          <w:p w14:paraId="765CE85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2</w:t>
            </w:r>
          </w:p>
        </w:tc>
        <w:tc>
          <w:tcPr>
            <w:tcW w:w="366" w:type="pct"/>
            <w:gridSpan w:val="2"/>
            <w:vAlign w:val="center"/>
          </w:tcPr>
          <w:p w14:paraId="6549DA2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w:t>
            </w:r>
          </w:p>
        </w:tc>
        <w:tc>
          <w:tcPr>
            <w:tcW w:w="369" w:type="pct"/>
            <w:vAlign w:val="center"/>
          </w:tcPr>
          <w:p w14:paraId="5D42B28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24B4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4BA40C9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6F8479D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484202C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财务制度健全性</w:t>
            </w:r>
          </w:p>
        </w:tc>
        <w:tc>
          <w:tcPr>
            <w:tcW w:w="175" w:type="pct"/>
            <w:vAlign w:val="center"/>
          </w:tcPr>
          <w:p w14:paraId="277204A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3</w:t>
            </w:r>
          </w:p>
        </w:tc>
        <w:tc>
          <w:tcPr>
            <w:tcW w:w="338" w:type="pct"/>
            <w:vAlign w:val="center"/>
          </w:tcPr>
          <w:p w14:paraId="5C2A665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考察部门（单位）为加强预算管理、规范财务行为而制定的管理制度是否健全完整，用以反映和考核部门（单位）预算管理制度对完成主要职责或促进事业发展的保障情况。</w:t>
            </w:r>
          </w:p>
        </w:tc>
        <w:tc>
          <w:tcPr>
            <w:tcW w:w="280" w:type="pct"/>
            <w:vAlign w:val="center"/>
          </w:tcPr>
          <w:p w14:paraId="61A6183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健全</w:t>
            </w:r>
          </w:p>
        </w:tc>
        <w:tc>
          <w:tcPr>
            <w:tcW w:w="427" w:type="pct"/>
            <w:gridSpan w:val="2"/>
            <w:vAlign w:val="center"/>
          </w:tcPr>
          <w:p w14:paraId="3BFBB75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评价要点：①已制定或具有预算资金管理办法、内部财务管理制度、会计核算制度等管理制度，得1分；②相关管理制度合法、合规、完整，得1分；③相关管理制度具备可操作性，得1分。</w:t>
            </w:r>
          </w:p>
        </w:tc>
        <w:tc>
          <w:tcPr>
            <w:tcW w:w="405" w:type="pct"/>
            <w:vAlign w:val="center"/>
          </w:tcPr>
          <w:p w14:paraId="42B4874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根据评分标准中的具体分值进行赋分</w:t>
            </w:r>
          </w:p>
        </w:tc>
        <w:tc>
          <w:tcPr>
            <w:tcW w:w="1141" w:type="pct"/>
            <w:vAlign w:val="center"/>
          </w:tcPr>
          <w:p w14:paraId="22B5808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eastAsia" w:ascii="Times New Roman" w:hAnsi="Times New Roman" w:eastAsia="仿宋_GB2312"/>
                <w:bCs/>
                <w:sz w:val="22"/>
              </w:rPr>
              <w:t>喀什市市场监督管理局</w:t>
            </w:r>
            <w:r>
              <w:rPr>
                <w:rFonts w:hint="default" w:ascii="Times New Roman" w:hAnsi="Times New Roman" w:eastAsia="仿宋_GB2312"/>
                <w:bCs/>
                <w:sz w:val="22"/>
              </w:rPr>
              <w:t>根据《</w:t>
            </w:r>
            <w:r>
              <w:rPr>
                <w:rFonts w:hint="eastAsia" w:ascii="Times New Roman" w:hAnsi="Times New Roman" w:eastAsia="仿宋_GB2312"/>
                <w:bCs/>
                <w:sz w:val="22"/>
              </w:rPr>
              <w:t>中华人民共和国预算法</w:t>
            </w:r>
            <w:r>
              <w:rPr>
                <w:rFonts w:hint="default" w:ascii="Times New Roman" w:hAnsi="Times New Roman" w:eastAsia="仿宋_GB2312"/>
                <w:bCs/>
                <w:sz w:val="22"/>
              </w:rPr>
              <w:t>》《</w:t>
            </w:r>
            <w:r>
              <w:rPr>
                <w:rFonts w:hint="eastAsia" w:ascii="Times New Roman" w:hAnsi="Times New Roman" w:eastAsia="仿宋_GB2312"/>
                <w:bCs/>
                <w:sz w:val="22"/>
              </w:rPr>
              <w:t>中华人民共和国会计法</w:t>
            </w:r>
            <w:r>
              <w:rPr>
                <w:rFonts w:hint="default" w:ascii="Times New Roman" w:hAnsi="Times New Roman" w:eastAsia="仿宋_GB2312"/>
                <w:bCs/>
                <w:sz w:val="22"/>
              </w:rPr>
              <w:t>》《行政单位财务规则》《事业单位财务规则》等有关规定，对货币资金加强管理，统一设立银行存款账户，未经财政主管部门同意不允许单独设立财政监管以外的银行存款账户。同时，制定印发了《</w:t>
            </w:r>
            <w:r>
              <w:rPr>
                <w:rFonts w:hint="eastAsia" w:ascii="Times New Roman" w:hAnsi="Times New Roman" w:eastAsia="仿宋_GB2312"/>
                <w:bCs/>
                <w:sz w:val="22"/>
              </w:rPr>
              <w:t>喀什市市场监督管理局内部控制评价与监督制度</w:t>
            </w:r>
            <w:r>
              <w:rPr>
                <w:rFonts w:hint="default" w:ascii="Times New Roman" w:hAnsi="Times New Roman" w:eastAsia="仿宋_GB2312"/>
                <w:bCs/>
                <w:sz w:val="22"/>
              </w:rPr>
              <w:t>》《</w:t>
            </w:r>
            <w:r>
              <w:rPr>
                <w:rFonts w:hint="eastAsia" w:ascii="Times New Roman" w:hAnsi="Times New Roman" w:eastAsia="仿宋_GB2312"/>
                <w:bCs/>
                <w:sz w:val="22"/>
              </w:rPr>
              <w:t>喀什市市场监督管理局计财股岗位职责及管理制度</w:t>
            </w:r>
            <w:r>
              <w:rPr>
                <w:rFonts w:hint="default" w:ascii="Times New Roman" w:hAnsi="Times New Roman" w:eastAsia="仿宋_GB2312"/>
                <w:bCs/>
                <w:sz w:val="22"/>
              </w:rPr>
              <w:t>》《</w:t>
            </w:r>
            <w:r>
              <w:rPr>
                <w:rFonts w:hint="eastAsia" w:ascii="Times New Roman" w:hAnsi="Times New Roman" w:eastAsia="仿宋_GB2312"/>
                <w:bCs/>
                <w:sz w:val="22"/>
              </w:rPr>
              <w:t>喀什市市场监督管理局货币资金管理制度</w:t>
            </w:r>
            <w:r>
              <w:rPr>
                <w:rFonts w:hint="default" w:ascii="Times New Roman" w:hAnsi="Times New Roman" w:eastAsia="仿宋_GB2312"/>
                <w:bCs/>
                <w:sz w:val="22"/>
              </w:rPr>
              <w:t>》</w:t>
            </w:r>
            <w:r>
              <w:rPr>
                <w:rFonts w:hint="eastAsia" w:ascii="Times New Roman" w:hAnsi="Times New Roman" w:eastAsia="仿宋_GB2312"/>
                <w:bCs/>
                <w:sz w:val="22"/>
              </w:rPr>
              <w:t>《喀什市市场监督管理局合同拟定与审批制度》</w:t>
            </w:r>
            <w:r>
              <w:rPr>
                <w:rFonts w:hint="default" w:ascii="Times New Roman" w:hAnsi="Times New Roman" w:eastAsia="仿宋_GB2312"/>
                <w:bCs/>
                <w:sz w:val="22"/>
              </w:rPr>
              <w:t>等一系列内部管理制度文件，规范和强化财务管理工作，相关管理制度合法、合规、完整，且具备可操作性。综上所述，根据评分标准，该指标不扣分，得3分。</w:t>
            </w:r>
          </w:p>
        </w:tc>
        <w:tc>
          <w:tcPr>
            <w:tcW w:w="219" w:type="pct"/>
            <w:vAlign w:val="center"/>
          </w:tcPr>
          <w:p w14:paraId="280FE86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05535D7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3</w:t>
            </w:r>
          </w:p>
        </w:tc>
        <w:tc>
          <w:tcPr>
            <w:tcW w:w="366" w:type="pct"/>
            <w:gridSpan w:val="2"/>
            <w:vAlign w:val="center"/>
          </w:tcPr>
          <w:p w14:paraId="6A361C0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38DD813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4570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2E1A1F9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3B3B4EC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6D492CF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资金使用合规性</w:t>
            </w:r>
          </w:p>
        </w:tc>
        <w:tc>
          <w:tcPr>
            <w:tcW w:w="175" w:type="pct"/>
            <w:vAlign w:val="center"/>
          </w:tcPr>
          <w:p w14:paraId="2B4EB3F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3</w:t>
            </w:r>
          </w:p>
        </w:tc>
        <w:tc>
          <w:tcPr>
            <w:tcW w:w="338" w:type="pct"/>
            <w:vAlign w:val="center"/>
          </w:tcPr>
          <w:p w14:paraId="055A88B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考察部门（单位）使用预算资金是否符合相关的预算财务管理制度的规定，用以反映和考核部门（单位）预算资金的规范运行情况。</w:t>
            </w:r>
          </w:p>
        </w:tc>
        <w:tc>
          <w:tcPr>
            <w:tcW w:w="280" w:type="pct"/>
            <w:vAlign w:val="center"/>
          </w:tcPr>
          <w:p w14:paraId="7D3B654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合规</w:t>
            </w:r>
          </w:p>
        </w:tc>
        <w:tc>
          <w:tcPr>
            <w:tcW w:w="427" w:type="pct"/>
            <w:gridSpan w:val="2"/>
            <w:vAlign w:val="center"/>
          </w:tcPr>
          <w:p w14:paraId="6AA8AF8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评价要点：①资金使用符合国家财经法规和财务管理制度规定以及有关专项资金管理办法的规定，得1分；②资金的拨付具备完整的审批程序和手续，得0.5分；③项目的重大开支经过评估论证，得0.5分；④资金使用符合部门预算批复的用途，得0.5分；⑤不存在截留、挤占、挪用、虚列支出等情况，得0.5分。</w:t>
            </w:r>
          </w:p>
        </w:tc>
        <w:tc>
          <w:tcPr>
            <w:tcW w:w="405" w:type="pct"/>
            <w:vAlign w:val="center"/>
          </w:tcPr>
          <w:p w14:paraId="6463A9E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根据评分标准中的具体分值进行赋分</w:t>
            </w:r>
          </w:p>
        </w:tc>
        <w:tc>
          <w:tcPr>
            <w:tcW w:w="1141" w:type="pct"/>
            <w:vAlign w:val="center"/>
          </w:tcPr>
          <w:p w14:paraId="5E7B1D6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default" w:ascii="Times New Roman" w:hAnsi="Times New Roman" w:eastAsia="仿宋_GB2312"/>
                <w:bCs/>
                <w:sz w:val="22"/>
              </w:rPr>
              <w:t>根据《关于</w:t>
            </w:r>
            <w:r>
              <w:rPr>
                <w:rFonts w:hint="eastAsia" w:ascii="Times New Roman" w:hAnsi="Times New Roman" w:eastAsia="仿宋_GB2312"/>
                <w:bCs/>
                <w:sz w:val="22"/>
              </w:rPr>
              <w:t>下达喀什市</w:t>
            </w:r>
            <w:r>
              <w:rPr>
                <w:rFonts w:hint="default" w:ascii="Times New Roman" w:hAnsi="Times New Roman" w:eastAsia="仿宋_GB2312"/>
                <w:bCs/>
                <w:sz w:val="22"/>
              </w:rPr>
              <w:t>202</w:t>
            </w:r>
            <w:r>
              <w:rPr>
                <w:rFonts w:hint="eastAsia" w:ascii="Times New Roman" w:hAnsi="Times New Roman" w:eastAsia="仿宋_GB2312"/>
                <w:bCs/>
                <w:sz w:val="22"/>
              </w:rPr>
              <w:t>5</w:t>
            </w:r>
            <w:r>
              <w:rPr>
                <w:rFonts w:hint="default" w:ascii="Times New Roman" w:hAnsi="Times New Roman" w:eastAsia="仿宋_GB2312"/>
                <w:bCs/>
                <w:sz w:val="22"/>
              </w:rPr>
              <w:t>年度部门预算批复</w:t>
            </w:r>
            <w:r>
              <w:rPr>
                <w:rFonts w:hint="eastAsia" w:ascii="Times New Roman" w:hAnsi="Times New Roman" w:eastAsia="仿宋_GB2312"/>
                <w:bCs/>
                <w:sz w:val="22"/>
              </w:rPr>
              <w:t>的通知</w:t>
            </w:r>
            <w:r>
              <w:rPr>
                <w:rFonts w:hint="default" w:ascii="Times New Roman" w:hAnsi="Times New Roman" w:eastAsia="仿宋_GB2312"/>
                <w:bCs/>
                <w:sz w:val="22"/>
              </w:rPr>
              <w:t>》、202</w:t>
            </w:r>
            <w:r>
              <w:rPr>
                <w:rFonts w:hint="eastAsia" w:ascii="Times New Roman" w:hAnsi="Times New Roman" w:eastAsia="仿宋_GB2312"/>
                <w:bCs/>
                <w:sz w:val="22"/>
              </w:rPr>
              <w:t>5</w:t>
            </w:r>
            <w:r>
              <w:rPr>
                <w:rFonts w:hint="default" w:ascii="Times New Roman" w:hAnsi="Times New Roman" w:eastAsia="仿宋_GB2312"/>
                <w:bCs/>
                <w:sz w:val="22"/>
              </w:rPr>
              <w:t>年部门决算收入支出决算表、访谈调研，资金使用符合市监局预算管理办法及财务管理制度，资金的拨付审批程序完整、项目的重大开支经集体决策程序、资金实际用途与预算批复相一致、不存在截留、挤占、挪用、虚列支出。综上所述，根据评分标准，该指标不扣分，得3分。</w:t>
            </w:r>
          </w:p>
        </w:tc>
        <w:tc>
          <w:tcPr>
            <w:tcW w:w="219" w:type="pct"/>
            <w:vAlign w:val="center"/>
          </w:tcPr>
          <w:p w14:paraId="3422C6C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35300D5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3</w:t>
            </w:r>
          </w:p>
        </w:tc>
        <w:tc>
          <w:tcPr>
            <w:tcW w:w="366" w:type="pct"/>
            <w:gridSpan w:val="2"/>
            <w:vAlign w:val="center"/>
          </w:tcPr>
          <w:p w14:paraId="0F7CAF0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3D53730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79890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79B90C1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restart"/>
            <w:vAlign w:val="center"/>
          </w:tcPr>
          <w:p w14:paraId="4B12894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项目管理</w:t>
            </w:r>
          </w:p>
        </w:tc>
        <w:tc>
          <w:tcPr>
            <w:tcW w:w="454" w:type="pct"/>
            <w:vMerge w:val="restart"/>
            <w:vAlign w:val="center"/>
          </w:tcPr>
          <w:p w14:paraId="2129536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项目质量达标率</w:t>
            </w:r>
          </w:p>
        </w:tc>
        <w:tc>
          <w:tcPr>
            <w:tcW w:w="175" w:type="pct"/>
            <w:vMerge w:val="restart"/>
            <w:vAlign w:val="center"/>
          </w:tcPr>
          <w:p w14:paraId="4971F58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3</w:t>
            </w:r>
          </w:p>
        </w:tc>
        <w:tc>
          <w:tcPr>
            <w:tcW w:w="338" w:type="pct"/>
            <w:vMerge w:val="restart"/>
            <w:vAlign w:val="center"/>
          </w:tcPr>
          <w:p w14:paraId="33E61F9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考察部门（单位）年度项目考察项目质量达标情况</w:t>
            </w:r>
          </w:p>
        </w:tc>
        <w:tc>
          <w:tcPr>
            <w:tcW w:w="280" w:type="pct"/>
            <w:vMerge w:val="restart"/>
            <w:vAlign w:val="center"/>
          </w:tcPr>
          <w:p w14:paraId="1E56463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100%</w:t>
            </w:r>
          </w:p>
        </w:tc>
        <w:tc>
          <w:tcPr>
            <w:tcW w:w="427" w:type="pct"/>
            <w:gridSpan w:val="2"/>
            <w:vAlign w:val="center"/>
          </w:tcPr>
          <w:p w14:paraId="6ECF559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项目数量完成率</w:t>
            </w:r>
            <w:r>
              <w:rPr>
                <w:rFonts w:hint="default" w:ascii="Times New Roman" w:hAnsi="Times New Roman" w:eastAsia="仿宋_GB2312"/>
                <w:sz w:val="22"/>
              </w:rPr>
              <w:t>=</w:t>
            </w:r>
            <w:r>
              <w:rPr>
                <w:rFonts w:hint="eastAsia" w:ascii="Times New Roman" w:hAnsi="Times New Roman" w:eastAsia="仿宋_GB2312"/>
                <w:sz w:val="22"/>
              </w:rPr>
              <w:t>项目实际完成数量</w:t>
            </w:r>
            <w:r>
              <w:rPr>
                <w:rFonts w:hint="default" w:ascii="Times New Roman" w:hAnsi="Times New Roman" w:eastAsia="仿宋_GB2312"/>
                <w:sz w:val="22"/>
              </w:rPr>
              <w:t>/</w:t>
            </w:r>
            <w:r>
              <w:rPr>
                <w:rFonts w:hint="eastAsia" w:ascii="Times New Roman" w:hAnsi="Times New Roman" w:eastAsia="仿宋_GB2312"/>
                <w:sz w:val="22"/>
              </w:rPr>
              <w:t>计划完成数量。</w:t>
            </w:r>
          </w:p>
        </w:tc>
        <w:tc>
          <w:tcPr>
            <w:tcW w:w="405" w:type="pct"/>
            <w:vMerge w:val="restart"/>
            <w:vAlign w:val="center"/>
          </w:tcPr>
          <w:p w14:paraId="2314280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①预算执行率在95%以上，得1.5分，每下降1%扣0.1分，扣完为止；②项目数量完成率在95%以上，得1.5分，每下降1%扣0.1分，1.5分扣完为止。</w:t>
            </w:r>
          </w:p>
        </w:tc>
        <w:tc>
          <w:tcPr>
            <w:tcW w:w="1141" w:type="pct"/>
            <w:vMerge w:val="restart"/>
            <w:vAlign w:val="center"/>
          </w:tcPr>
          <w:p w14:paraId="57504CD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default" w:ascii="Times New Roman" w:hAnsi="Times New Roman" w:eastAsia="仿宋_GB2312"/>
                <w:bCs/>
                <w:sz w:val="22"/>
              </w:rPr>
              <w:t>根据线上访谈和查看相关资料发现，</w:t>
            </w:r>
            <w:r>
              <w:rPr>
                <w:rFonts w:hint="eastAsia" w:ascii="Times New Roman" w:hAnsi="Times New Roman" w:eastAsia="仿宋_GB2312"/>
                <w:bCs/>
                <w:sz w:val="22"/>
              </w:rPr>
              <w:t>喀什市</w:t>
            </w:r>
            <w:r>
              <w:rPr>
                <w:rFonts w:hint="default" w:ascii="Times New Roman" w:hAnsi="Times New Roman" w:eastAsia="仿宋_GB2312"/>
                <w:bCs/>
                <w:sz w:val="22"/>
              </w:rPr>
              <w:t>市场监督管理局202</w:t>
            </w:r>
            <w:r>
              <w:rPr>
                <w:rFonts w:hint="eastAsia" w:ascii="Times New Roman" w:hAnsi="Times New Roman" w:eastAsia="仿宋_GB2312"/>
                <w:bCs/>
                <w:sz w:val="22"/>
              </w:rPr>
              <w:t>5</w:t>
            </w:r>
            <w:r>
              <w:rPr>
                <w:rFonts w:hint="default" w:ascii="Times New Roman" w:hAnsi="Times New Roman" w:eastAsia="仿宋_GB2312"/>
                <w:bCs/>
                <w:sz w:val="22"/>
              </w:rPr>
              <w:t>年全年共实施各类项目</w:t>
            </w:r>
            <w:r>
              <w:rPr>
                <w:rFonts w:hint="eastAsia" w:ascii="Times New Roman" w:hAnsi="Times New Roman" w:eastAsia="仿宋_GB2312"/>
                <w:bCs/>
                <w:sz w:val="22"/>
              </w:rPr>
              <w:t>11</w:t>
            </w:r>
            <w:r>
              <w:rPr>
                <w:rFonts w:hint="default" w:ascii="Times New Roman" w:hAnsi="Times New Roman" w:eastAsia="仿宋_GB2312"/>
                <w:bCs/>
                <w:sz w:val="22"/>
              </w:rPr>
              <w:t>个，涉及总预算资金</w:t>
            </w:r>
            <w:r>
              <w:rPr>
                <w:rFonts w:hint="eastAsia" w:ascii="Times New Roman" w:hAnsi="Times New Roman" w:eastAsia="仿宋_GB2312"/>
                <w:bCs/>
                <w:sz w:val="22"/>
              </w:rPr>
              <w:t>282.26</w:t>
            </w:r>
            <w:r>
              <w:rPr>
                <w:rFonts w:hint="default" w:ascii="Times New Roman" w:hAnsi="Times New Roman" w:eastAsia="仿宋_GB2312"/>
                <w:bCs/>
                <w:sz w:val="22"/>
              </w:rPr>
              <w:t>万元</w:t>
            </w:r>
            <w:r>
              <w:rPr>
                <w:rFonts w:hint="eastAsia" w:ascii="Times New Roman" w:hAnsi="Times New Roman" w:eastAsia="仿宋_GB2312"/>
                <w:bCs/>
                <w:sz w:val="22"/>
              </w:rPr>
              <w:t>：一是</w:t>
            </w:r>
            <w:r>
              <w:rPr>
                <w:rFonts w:hint="default" w:ascii="Times New Roman" w:hAnsi="Times New Roman" w:eastAsia="仿宋_GB2312"/>
                <w:bCs/>
                <w:sz w:val="22"/>
              </w:rPr>
              <w:t>年初预算项目作为主体，共计</w:t>
            </w:r>
            <w:r>
              <w:rPr>
                <w:rFonts w:hint="eastAsia" w:ascii="Times New Roman" w:hAnsi="Times New Roman" w:eastAsia="仿宋_GB2312"/>
                <w:bCs/>
                <w:sz w:val="22"/>
              </w:rPr>
              <w:t>3</w:t>
            </w:r>
            <w:r>
              <w:rPr>
                <w:rFonts w:hint="default" w:ascii="Times New Roman" w:hAnsi="Times New Roman" w:eastAsia="仿宋_GB2312"/>
                <w:bCs/>
                <w:sz w:val="22"/>
              </w:rPr>
              <w:t>个，预算</w:t>
            </w:r>
            <w:r>
              <w:rPr>
                <w:rFonts w:hint="eastAsia" w:ascii="Times New Roman" w:hAnsi="Times New Roman" w:eastAsia="仿宋_GB2312"/>
                <w:bCs/>
                <w:sz w:val="22"/>
              </w:rPr>
              <w:t>总额为145.29</w:t>
            </w:r>
            <w:r>
              <w:rPr>
                <w:rFonts w:hint="default" w:ascii="Times New Roman" w:hAnsi="Times New Roman" w:eastAsia="仿宋_GB2312"/>
                <w:bCs/>
                <w:sz w:val="22"/>
              </w:rPr>
              <w:t>万元，执行率</w:t>
            </w:r>
            <w:r>
              <w:rPr>
                <w:rFonts w:hint="eastAsia" w:ascii="Times New Roman" w:hAnsi="Times New Roman" w:eastAsia="仿宋_GB2312"/>
                <w:bCs/>
                <w:sz w:val="22"/>
              </w:rPr>
              <w:t>100</w:t>
            </w:r>
            <w:r>
              <w:rPr>
                <w:rFonts w:hint="default" w:ascii="Times New Roman" w:hAnsi="Times New Roman" w:eastAsia="仿宋_GB2312"/>
                <w:bCs/>
                <w:sz w:val="22"/>
              </w:rPr>
              <w:t>%</w:t>
            </w:r>
            <w:r>
              <w:rPr>
                <w:rFonts w:hint="eastAsia" w:ascii="Times New Roman" w:hAnsi="Times New Roman" w:eastAsia="仿宋_GB2312"/>
                <w:bCs/>
                <w:sz w:val="22"/>
              </w:rPr>
              <w:t>；</w:t>
            </w:r>
            <w:r>
              <w:rPr>
                <w:rFonts w:hint="default" w:ascii="Times New Roman" w:hAnsi="Times New Roman" w:eastAsia="仿宋_GB2312"/>
                <w:bCs/>
                <w:sz w:val="22"/>
              </w:rPr>
              <w:t>二是年中追加项目共计</w:t>
            </w:r>
            <w:r>
              <w:rPr>
                <w:rFonts w:hint="eastAsia" w:ascii="Times New Roman" w:hAnsi="Times New Roman" w:eastAsia="仿宋_GB2312"/>
                <w:bCs/>
                <w:sz w:val="22"/>
              </w:rPr>
              <w:t>5</w:t>
            </w:r>
            <w:r>
              <w:rPr>
                <w:rFonts w:hint="default" w:ascii="Times New Roman" w:hAnsi="Times New Roman" w:eastAsia="仿宋_GB2312"/>
                <w:bCs/>
                <w:sz w:val="22"/>
              </w:rPr>
              <w:t>个，预算</w:t>
            </w:r>
            <w:r>
              <w:rPr>
                <w:rFonts w:hint="eastAsia" w:ascii="Times New Roman" w:hAnsi="Times New Roman" w:eastAsia="仿宋_GB2312"/>
                <w:bCs/>
                <w:sz w:val="22"/>
              </w:rPr>
              <w:t>129.92</w:t>
            </w:r>
            <w:r>
              <w:rPr>
                <w:rFonts w:hint="default" w:ascii="Times New Roman" w:hAnsi="Times New Roman" w:eastAsia="仿宋_GB2312"/>
                <w:bCs/>
                <w:sz w:val="22"/>
              </w:rPr>
              <w:t>万元，主要为应对上级新部署、新政策或突发应急任务，执行率</w:t>
            </w:r>
            <w:r>
              <w:rPr>
                <w:rFonts w:hint="eastAsia" w:ascii="Times New Roman" w:hAnsi="Times New Roman" w:eastAsia="仿宋_GB2312"/>
                <w:bCs/>
                <w:sz w:val="22"/>
              </w:rPr>
              <w:t>100</w:t>
            </w:r>
            <w:r>
              <w:rPr>
                <w:rFonts w:hint="default" w:ascii="Times New Roman" w:hAnsi="Times New Roman" w:eastAsia="仿宋_GB2312"/>
                <w:bCs/>
                <w:sz w:val="22"/>
              </w:rPr>
              <w:t>%</w:t>
            </w:r>
            <w:r>
              <w:rPr>
                <w:rFonts w:hint="eastAsia" w:ascii="Times New Roman" w:hAnsi="Times New Roman" w:eastAsia="仿宋_GB2312"/>
                <w:bCs/>
                <w:sz w:val="22"/>
              </w:rPr>
              <w:t>；</w:t>
            </w:r>
            <w:r>
              <w:rPr>
                <w:rFonts w:hint="default" w:ascii="Times New Roman" w:hAnsi="Times New Roman" w:eastAsia="仿宋_GB2312"/>
                <w:bCs/>
                <w:sz w:val="22"/>
              </w:rPr>
              <w:t>三是上年结转项目共计</w:t>
            </w:r>
            <w:r>
              <w:rPr>
                <w:rFonts w:hint="eastAsia" w:ascii="Times New Roman" w:hAnsi="Times New Roman" w:eastAsia="仿宋_GB2312"/>
                <w:bCs/>
                <w:sz w:val="22"/>
              </w:rPr>
              <w:t>3</w:t>
            </w:r>
            <w:r>
              <w:rPr>
                <w:rFonts w:hint="default" w:ascii="Times New Roman" w:hAnsi="Times New Roman" w:eastAsia="仿宋_GB2312"/>
                <w:bCs/>
                <w:sz w:val="22"/>
              </w:rPr>
              <w:t>个，预算</w:t>
            </w:r>
            <w:r>
              <w:rPr>
                <w:rFonts w:hint="eastAsia" w:ascii="Times New Roman" w:hAnsi="Times New Roman" w:eastAsia="仿宋_GB2312"/>
                <w:bCs/>
                <w:sz w:val="22"/>
              </w:rPr>
              <w:t>7.05</w:t>
            </w:r>
            <w:r>
              <w:rPr>
                <w:rFonts w:hint="default" w:ascii="Times New Roman" w:hAnsi="Times New Roman" w:eastAsia="仿宋_GB2312"/>
                <w:bCs/>
                <w:sz w:val="22"/>
              </w:rPr>
              <w:t>万元，均为跨年度实施的延续性项目，执行率</w:t>
            </w:r>
            <w:r>
              <w:rPr>
                <w:rFonts w:hint="eastAsia" w:ascii="Times New Roman" w:hAnsi="Times New Roman" w:eastAsia="仿宋_GB2312"/>
                <w:bCs/>
                <w:sz w:val="22"/>
              </w:rPr>
              <w:t>100</w:t>
            </w:r>
            <w:r>
              <w:rPr>
                <w:rFonts w:hint="default" w:ascii="Times New Roman" w:hAnsi="Times New Roman" w:eastAsia="仿宋_GB2312"/>
                <w:bCs/>
                <w:sz w:val="22"/>
              </w:rPr>
              <w:t>%</w:t>
            </w:r>
            <w:r>
              <w:rPr>
                <w:rFonts w:hint="eastAsia" w:ascii="Times New Roman" w:hAnsi="Times New Roman" w:eastAsia="仿宋_GB2312"/>
                <w:bCs/>
                <w:sz w:val="22"/>
              </w:rPr>
              <w:t>。</w:t>
            </w:r>
            <w:r>
              <w:rPr>
                <w:rFonts w:hint="default" w:ascii="Times New Roman" w:hAnsi="Times New Roman" w:eastAsia="仿宋_GB2312"/>
                <w:bCs/>
                <w:sz w:val="22"/>
              </w:rPr>
              <w:t>根据评分标准，喀什</w:t>
            </w:r>
            <w:r>
              <w:rPr>
                <w:rFonts w:hint="eastAsia" w:ascii="Times New Roman" w:hAnsi="Times New Roman" w:eastAsia="仿宋_GB2312"/>
                <w:bCs/>
                <w:sz w:val="22"/>
              </w:rPr>
              <w:t>市市场监督管理局11</w:t>
            </w:r>
            <w:r>
              <w:rPr>
                <w:rFonts w:hint="default" w:ascii="Times New Roman" w:hAnsi="Times New Roman" w:eastAsia="仿宋_GB2312"/>
                <w:bCs/>
                <w:sz w:val="22"/>
              </w:rPr>
              <w:t>个项目的预算执行率均为100%，得1.5分</w:t>
            </w:r>
            <w:r>
              <w:rPr>
                <w:rFonts w:hint="eastAsia" w:ascii="Times New Roman" w:hAnsi="Times New Roman" w:eastAsia="仿宋_GB2312"/>
                <w:bCs/>
                <w:sz w:val="22"/>
              </w:rPr>
              <w:t>，</w:t>
            </w:r>
            <w:r>
              <w:rPr>
                <w:rFonts w:hint="default" w:ascii="Times New Roman" w:hAnsi="Times New Roman" w:eastAsia="仿宋_GB2312"/>
                <w:bCs/>
                <w:sz w:val="22"/>
              </w:rPr>
              <w:t>并且项目数量完成率=（</w:t>
            </w:r>
            <w:r>
              <w:rPr>
                <w:rFonts w:hint="eastAsia" w:ascii="Times New Roman" w:hAnsi="Times New Roman" w:eastAsia="仿宋_GB2312"/>
                <w:bCs/>
                <w:sz w:val="22"/>
              </w:rPr>
              <w:t>11</w:t>
            </w:r>
            <w:r>
              <w:rPr>
                <w:rFonts w:hint="default" w:ascii="Times New Roman" w:hAnsi="Times New Roman" w:eastAsia="仿宋_GB2312"/>
                <w:bCs/>
                <w:sz w:val="22"/>
              </w:rPr>
              <w:t>个/</w:t>
            </w:r>
            <w:r>
              <w:rPr>
                <w:rFonts w:hint="eastAsia" w:ascii="Times New Roman" w:hAnsi="Times New Roman" w:eastAsia="仿宋_GB2312"/>
                <w:bCs/>
                <w:sz w:val="22"/>
              </w:rPr>
              <w:t>11</w:t>
            </w:r>
            <w:r>
              <w:rPr>
                <w:rFonts w:hint="default" w:ascii="Times New Roman" w:hAnsi="Times New Roman" w:eastAsia="仿宋_GB2312"/>
                <w:bCs/>
                <w:sz w:val="22"/>
              </w:rPr>
              <w:t>个）×100%=100%，得1.5分。综上所述，项目质量达标率指标得3分。</w:t>
            </w:r>
          </w:p>
        </w:tc>
        <w:tc>
          <w:tcPr>
            <w:tcW w:w="219" w:type="pct"/>
            <w:vMerge w:val="restart"/>
            <w:vAlign w:val="center"/>
          </w:tcPr>
          <w:p w14:paraId="3E9FB13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Merge w:val="restart"/>
            <w:vAlign w:val="center"/>
          </w:tcPr>
          <w:p w14:paraId="0F5E42C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3</w:t>
            </w:r>
          </w:p>
        </w:tc>
        <w:tc>
          <w:tcPr>
            <w:tcW w:w="366" w:type="pct"/>
            <w:gridSpan w:val="2"/>
            <w:vMerge w:val="restart"/>
            <w:vAlign w:val="center"/>
          </w:tcPr>
          <w:p w14:paraId="2E3598A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Merge w:val="restart"/>
            <w:vAlign w:val="center"/>
          </w:tcPr>
          <w:p w14:paraId="592EF56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64BC7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18F72A9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5D2ADBF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Merge w:val="continue"/>
            <w:vAlign w:val="center"/>
          </w:tcPr>
          <w:p w14:paraId="50459A8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175" w:type="pct"/>
            <w:vMerge w:val="continue"/>
            <w:vAlign w:val="center"/>
          </w:tcPr>
          <w:p w14:paraId="1944FF7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38" w:type="pct"/>
            <w:vMerge w:val="continue"/>
            <w:vAlign w:val="center"/>
          </w:tcPr>
          <w:p w14:paraId="0708247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280" w:type="pct"/>
            <w:vMerge w:val="continue"/>
            <w:vAlign w:val="center"/>
          </w:tcPr>
          <w:p w14:paraId="5E6C76B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27" w:type="pct"/>
            <w:gridSpan w:val="2"/>
            <w:vAlign w:val="center"/>
          </w:tcPr>
          <w:p w14:paraId="0214651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评价要点：①预算执行率在95%以上，得1.5分，每下降1%扣0.1分，扣完为止；②项目数量完成率在95%以上，得1.5分，每下降1%扣0.1分，1.5分扣完为止。</w:t>
            </w:r>
          </w:p>
        </w:tc>
        <w:tc>
          <w:tcPr>
            <w:tcW w:w="405" w:type="pct"/>
            <w:vMerge w:val="continue"/>
            <w:vAlign w:val="center"/>
          </w:tcPr>
          <w:p w14:paraId="6376E5D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1141" w:type="pct"/>
            <w:vMerge w:val="continue"/>
            <w:vAlign w:val="center"/>
          </w:tcPr>
          <w:p w14:paraId="635B613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219" w:type="pct"/>
            <w:vMerge w:val="continue"/>
            <w:vAlign w:val="center"/>
          </w:tcPr>
          <w:p w14:paraId="43AC4C3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259" w:type="pct"/>
            <w:vMerge w:val="continue"/>
            <w:vAlign w:val="center"/>
          </w:tcPr>
          <w:p w14:paraId="43F5F69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66" w:type="pct"/>
            <w:gridSpan w:val="2"/>
            <w:vMerge w:val="continue"/>
            <w:vAlign w:val="center"/>
          </w:tcPr>
          <w:p w14:paraId="4E02A3D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69" w:type="pct"/>
            <w:vMerge w:val="continue"/>
            <w:vAlign w:val="center"/>
          </w:tcPr>
          <w:p w14:paraId="5653B7B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0CDF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2D5CDCC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5E8E8F5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1E1ED12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项目支出</w:t>
            </w:r>
          </w:p>
          <w:p w14:paraId="1F4AB45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预算调整</w:t>
            </w:r>
          </w:p>
          <w:p w14:paraId="0FF61C8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率</w:t>
            </w:r>
          </w:p>
        </w:tc>
        <w:tc>
          <w:tcPr>
            <w:tcW w:w="175" w:type="pct"/>
            <w:vAlign w:val="center"/>
          </w:tcPr>
          <w:p w14:paraId="6FB1C24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2</w:t>
            </w:r>
          </w:p>
        </w:tc>
        <w:tc>
          <w:tcPr>
            <w:tcW w:w="338" w:type="pct"/>
            <w:vAlign w:val="center"/>
          </w:tcPr>
          <w:p w14:paraId="1177306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考察项目支出预算调整情况</w:t>
            </w:r>
          </w:p>
        </w:tc>
        <w:tc>
          <w:tcPr>
            <w:tcW w:w="280" w:type="pct"/>
            <w:vAlign w:val="center"/>
          </w:tcPr>
          <w:p w14:paraId="2489B19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0%</w:t>
            </w:r>
          </w:p>
        </w:tc>
        <w:tc>
          <w:tcPr>
            <w:tcW w:w="427" w:type="pct"/>
            <w:gridSpan w:val="2"/>
            <w:vAlign w:val="center"/>
          </w:tcPr>
          <w:p w14:paraId="516DFE1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项目支出预算调整率=（项目预算调整数/项目预算数）×100%；项目支出预算调整率在±10%以内，得2分，每增减1%扣0.1分，扣完为止。</w:t>
            </w:r>
          </w:p>
        </w:tc>
        <w:tc>
          <w:tcPr>
            <w:tcW w:w="405" w:type="pct"/>
            <w:vAlign w:val="center"/>
          </w:tcPr>
          <w:p w14:paraId="03B8855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项目支出预算调整率在±10%以内，得2分，每增减1%扣0.1分，扣完为止。</w:t>
            </w:r>
          </w:p>
        </w:tc>
        <w:tc>
          <w:tcPr>
            <w:tcW w:w="1141" w:type="pct"/>
            <w:vAlign w:val="center"/>
          </w:tcPr>
          <w:p w14:paraId="58E0A9D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default" w:ascii="Times New Roman" w:hAnsi="Times New Roman" w:eastAsia="仿宋_GB2312"/>
                <w:bCs/>
                <w:sz w:val="22"/>
              </w:rPr>
              <w:t>根据</w:t>
            </w:r>
            <w:r>
              <w:rPr>
                <w:rFonts w:hint="eastAsia" w:ascii="Times New Roman" w:hAnsi="Times New Roman" w:eastAsia="仿宋_GB2312"/>
                <w:bCs/>
                <w:sz w:val="22"/>
              </w:rPr>
              <w:t>喀什市市场监督管理局</w:t>
            </w:r>
            <w:r>
              <w:rPr>
                <w:rFonts w:hint="default" w:ascii="Times New Roman" w:hAnsi="Times New Roman" w:eastAsia="仿宋_GB2312"/>
                <w:bCs/>
                <w:sz w:val="22"/>
              </w:rPr>
              <w:t>提供的202</w:t>
            </w:r>
            <w:r>
              <w:rPr>
                <w:rFonts w:hint="eastAsia" w:ascii="Times New Roman" w:hAnsi="Times New Roman" w:eastAsia="仿宋_GB2312"/>
                <w:bCs/>
                <w:sz w:val="22"/>
              </w:rPr>
              <w:t>5</w:t>
            </w:r>
            <w:r>
              <w:rPr>
                <w:rFonts w:hint="default" w:ascii="Times New Roman" w:hAnsi="Times New Roman" w:eastAsia="仿宋_GB2312"/>
                <w:bCs/>
                <w:sz w:val="22"/>
              </w:rPr>
              <w:t>年部门预决算报告及项目印证资料显示，</w:t>
            </w:r>
            <w:r>
              <w:rPr>
                <w:rFonts w:hint="eastAsia" w:ascii="Times New Roman" w:hAnsi="Times New Roman" w:eastAsia="仿宋_GB2312"/>
                <w:bCs/>
                <w:sz w:val="22"/>
              </w:rPr>
              <w:t>喀什市市场监督管理局</w:t>
            </w:r>
            <w:r>
              <w:rPr>
                <w:rFonts w:hint="default" w:ascii="Times New Roman" w:hAnsi="Times New Roman" w:eastAsia="仿宋_GB2312"/>
                <w:bCs/>
                <w:sz w:val="22"/>
              </w:rPr>
              <w:t>全年共计</w:t>
            </w:r>
            <w:r>
              <w:rPr>
                <w:rFonts w:hint="eastAsia" w:ascii="Times New Roman" w:hAnsi="Times New Roman" w:eastAsia="仿宋_GB2312"/>
                <w:bCs/>
                <w:sz w:val="22"/>
              </w:rPr>
              <w:t>11</w:t>
            </w:r>
            <w:r>
              <w:rPr>
                <w:rFonts w:hint="default" w:ascii="Times New Roman" w:hAnsi="Times New Roman" w:eastAsia="仿宋_GB2312"/>
                <w:bCs/>
                <w:sz w:val="22"/>
              </w:rPr>
              <w:t>个项目，年初项目预算金额为</w:t>
            </w:r>
            <w:r>
              <w:rPr>
                <w:rFonts w:hint="eastAsia" w:ascii="Times New Roman" w:hAnsi="Times New Roman" w:eastAsia="仿宋_GB2312"/>
                <w:bCs/>
                <w:sz w:val="22"/>
              </w:rPr>
              <w:t>167.51</w:t>
            </w:r>
            <w:r>
              <w:rPr>
                <w:rFonts w:hint="default" w:ascii="Times New Roman" w:hAnsi="Times New Roman" w:eastAsia="仿宋_GB2312"/>
                <w:bCs/>
                <w:sz w:val="22"/>
              </w:rPr>
              <w:t>万元，调整</w:t>
            </w:r>
            <w:r>
              <w:rPr>
                <w:rFonts w:hint="eastAsia" w:ascii="Times New Roman" w:hAnsi="Times New Roman" w:eastAsia="仿宋_GB2312"/>
                <w:bCs/>
                <w:sz w:val="22"/>
              </w:rPr>
              <w:t>金额</w:t>
            </w:r>
            <w:r>
              <w:rPr>
                <w:rFonts w:hint="default" w:ascii="Times New Roman" w:hAnsi="Times New Roman" w:eastAsia="仿宋_GB2312"/>
                <w:bCs/>
                <w:sz w:val="22"/>
              </w:rPr>
              <w:t>为</w:t>
            </w:r>
            <w:r>
              <w:rPr>
                <w:rFonts w:hint="eastAsia" w:ascii="Times New Roman" w:hAnsi="Times New Roman" w:eastAsia="仿宋_GB2312"/>
                <w:bCs/>
                <w:sz w:val="22"/>
              </w:rPr>
              <w:t>114.75</w:t>
            </w:r>
            <w:r>
              <w:rPr>
                <w:rFonts w:hint="default" w:ascii="Times New Roman" w:hAnsi="Times New Roman" w:eastAsia="仿宋_GB2312"/>
                <w:bCs/>
                <w:sz w:val="22"/>
              </w:rPr>
              <w:t>万元，调整后项目全年预算数为</w:t>
            </w:r>
            <w:r>
              <w:rPr>
                <w:rFonts w:hint="eastAsia" w:ascii="Times New Roman" w:hAnsi="Times New Roman" w:eastAsia="仿宋_GB2312"/>
                <w:bCs/>
                <w:sz w:val="22"/>
              </w:rPr>
              <w:t>282.26</w:t>
            </w:r>
            <w:r>
              <w:rPr>
                <w:rFonts w:hint="default" w:ascii="Times New Roman" w:hAnsi="Times New Roman" w:eastAsia="仿宋_GB2312"/>
                <w:bCs/>
                <w:sz w:val="22"/>
              </w:rPr>
              <w:t>万元，项目预算调整率</w:t>
            </w:r>
            <w:r>
              <w:rPr>
                <w:rFonts w:hint="eastAsia" w:ascii="Times New Roman" w:hAnsi="Times New Roman" w:eastAsia="仿宋_GB2312"/>
                <w:bCs/>
                <w:sz w:val="22"/>
              </w:rPr>
              <w:t>=</w:t>
            </w:r>
            <w:r>
              <w:rPr>
                <w:rFonts w:hint="default" w:ascii="Times New Roman" w:hAnsi="Times New Roman" w:eastAsia="仿宋_GB2312"/>
                <w:bCs/>
                <w:sz w:val="22"/>
              </w:rPr>
              <w:t>（项目预算调整数/项目年初预算数）×100%=（</w:t>
            </w:r>
            <w:r>
              <w:rPr>
                <w:rFonts w:hint="eastAsia" w:ascii="Times New Roman" w:hAnsi="Times New Roman" w:eastAsia="仿宋_GB2312"/>
                <w:bCs/>
                <w:sz w:val="22"/>
              </w:rPr>
              <w:t>114.75</w:t>
            </w:r>
            <w:r>
              <w:rPr>
                <w:rFonts w:hint="default" w:ascii="Times New Roman" w:hAnsi="Times New Roman" w:eastAsia="仿宋_GB2312"/>
                <w:bCs/>
                <w:sz w:val="22"/>
              </w:rPr>
              <w:t>万元/</w:t>
            </w:r>
            <w:r>
              <w:rPr>
                <w:rFonts w:hint="eastAsia" w:ascii="Times New Roman" w:hAnsi="Times New Roman" w:eastAsia="仿宋_GB2312"/>
                <w:bCs/>
                <w:sz w:val="22"/>
              </w:rPr>
              <w:t>167.51</w:t>
            </w:r>
            <w:r>
              <w:rPr>
                <w:rFonts w:hint="default" w:ascii="Times New Roman" w:hAnsi="Times New Roman" w:eastAsia="仿宋_GB2312"/>
                <w:bCs/>
                <w:sz w:val="22"/>
              </w:rPr>
              <w:t>万元）×100%=</w:t>
            </w:r>
            <w:r>
              <w:rPr>
                <w:rFonts w:hint="eastAsia" w:ascii="Times New Roman" w:hAnsi="Times New Roman" w:eastAsia="仿宋_GB2312"/>
                <w:bCs/>
                <w:sz w:val="22"/>
              </w:rPr>
              <w:t>68.5%</w:t>
            </w:r>
            <w:r>
              <w:rPr>
                <w:rFonts w:hint="default" w:ascii="Times New Roman" w:hAnsi="Times New Roman" w:eastAsia="仿宋_GB2312"/>
                <w:bCs/>
                <w:sz w:val="22"/>
              </w:rPr>
              <w:t>，根据评分标准，“项目支出预算调整率在±10%以内，得2分，每增减1%扣0.1分，扣完为止”，综上所述，项目预算调整率</w:t>
            </w:r>
            <w:r>
              <w:rPr>
                <w:rFonts w:hint="eastAsia" w:ascii="Times New Roman" w:hAnsi="Times New Roman" w:eastAsia="仿宋_GB2312"/>
                <w:bCs/>
                <w:sz w:val="22"/>
              </w:rPr>
              <w:t>扣2</w:t>
            </w:r>
            <w:r>
              <w:rPr>
                <w:rFonts w:hint="default" w:ascii="Times New Roman" w:hAnsi="Times New Roman" w:eastAsia="仿宋_GB2312"/>
                <w:bCs/>
                <w:sz w:val="22"/>
              </w:rPr>
              <w:t>分，该指标</w:t>
            </w:r>
            <w:r>
              <w:rPr>
                <w:rFonts w:hint="eastAsia" w:ascii="Times New Roman" w:hAnsi="Times New Roman" w:eastAsia="仿宋_GB2312"/>
                <w:bCs/>
                <w:sz w:val="22"/>
              </w:rPr>
              <w:t>不得</w:t>
            </w:r>
            <w:r>
              <w:rPr>
                <w:rFonts w:hint="default" w:ascii="Times New Roman" w:hAnsi="Times New Roman" w:eastAsia="仿宋_GB2312"/>
                <w:bCs/>
                <w:sz w:val="22"/>
              </w:rPr>
              <w:t>分。</w:t>
            </w:r>
          </w:p>
        </w:tc>
        <w:tc>
          <w:tcPr>
            <w:tcW w:w="219" w:type="pct"/>
            <w:vAlign w:val="center"/>
          </w:tcPr>
          <w:p w14:paraId="3DE1206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2</w:t>
            </w:r>
          </w:p>
        </w:tc>
        <w:tc>
          <w:tcPr>
            <w:tcW w:w="259" w:type="pct"/>
            <w:vAlign w:val="center"/>
          </w:tcPr>
          <w:p w14:paraId="00A60F0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366" w:type="pct"/>
            <w:gridSpan w:val="2"/>
            <w:vAlign w:val="center"/>
          </w:tcPr>
          <w:p w14:paraId="7D9C3F8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0.00%</w:t>
            </w:r>
          </w:p>
        </w:tc>
        <w:tc>
          <w:tcPr>
            <w:tcW w:w="369" w:type="pct"/>
            <w:vAlign w:val="center"/>
          </w:tcPr>
          <w:p w14:paraId="6E3F48F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项目预算调整率为68.5%，增减幅度超10%。</w:t>
            </w:r>
          </w:p>
        </w:tc>
      </w:tr>
      <w:tr w14:paraId="685F0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014DA59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restart"/>
            <w:vAlign w:val="center"/>
          </w:tcPr>
          <w:p w14:paraId="1AD5B64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制度管理</w:t>
            </w:r>
          </w:p>
        </w:tc>
        <w:tc>
          <w:tcPr>
            <w:tcW w:w="454" w:type="pct"/>
            <w:vAlign w:val="center"/>
          </w:tcPr>
          <w:p w14:paraId="13BF367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项目管理制度健全性</w:t>
            </w:r>
          </w:p>
        </w:tc>
        <w:tc>
          <w:tcPr>
            <w:tcW w:w="175" w:type="pct"/>
            <w:vAlign w:val="center"/>
          </w:tcPr>
          <w:p w14:paraId="299827D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3</w:t>
            </w:r>
          </w:p>
        </w:tc>
        <w:tc>
          <w:tcPr>
            <w:tcW w:w="338" w:type="pct"/>
            <w:vAlign w:val="center"/>
          </w:tcPr>
          <w:p w14:paraId="4D3D275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考察作为部门（单位）主要职能，为社会提供公共产品与服务的项目管理制度是否建立健全。</w:t>
            </w:r>
          </w:p>
        </w:tc>
        <w:tc>
          <w:tcPr>
            <w:tcW w:w="280" w:type="pct"/>
            <w:vAlign w:val="center"/>
          </w:tcPr>
          <w:p w14:paraId="3E1A96E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健全</w:t>
            </w:r>
          </w:p>
        </w:tc>
        <w:tc>
          <w:tcPr>
            <w:tcW w:w="427" w:type="pct"/>
            <w:gridSpan w:val="2"/>
            <w:vAlign w:val="center"/>
          </w:tcPr>
          <w:p w14:paraId="1D1BBB6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评价要点：①项目管理制度健全、内容完整，得3分；②制度有缺失或制度存在明显缺陷每项扣0.5分，扣完为止；③无制度，不得分。</w:t>
            </w:r>
          </w:p>
        </w:tc>
        <w:tc>
          <w:tcPr>
            <w:tcW w:w="405" w:type="pct"/>
            <w:vAlign w:val="center"/>
          </w:tcPr>
          <w:p w14:paraId="4BF0A9E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根据评分标准中的具体分值进行赋分</w:t>
            </w:r>
          </w:p>
        </w:tc>
        <w:tc>
          <w:tcPr>
            <w:tcW w:w="1141" w:type="pct"/>
            <w:vAlign w:val="center"/>
          </w:tcPr>
          <w:p w14:paraId="6AB2835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eastAsia" w:ascii="Times New Roman" w:hAnsi="Times New Roman" w:eastAsia="仿宋_GB2312"/>
                <w:bCs/>
                <w:sz w:val="22"/>
              </w:rPr>
              <w:t>喀什市市场监督管理局</w:t>
            </w:r>
            <w:r>
              <w:rPr>
                <w:rFonts w:hint="default" w:ascii="Times New Roman" w:hAnsi="Times New Roman" w:eastAsia="仿宋_GB2312"/>
                <w:bCs/>
                <w:sz w:val="22"/>
              </w:rPr>
              <w:t>管理制度健全，内容完整，具体制度为《</w:t>
            </w:r>
            <w:r>
              <w:rPr>
                <w:rFonts w:hint="eastAsia" w:ascii="Times New Roman" w:hAnsi="Times New Roman" w:eastAsia="仿宋_GB2312"/>
                <w:bCs/>
                <w:sz w:val="22"/>
              </w:rPr>
              <w:t>喀什市市场监督管理局预算绩效管理制度》《喀什市市场监督管理局采购需求管理制度》《喀什市市场监督管理局预算执行与调整制度》《喀什市市场监督管理局财务管理办法</w:t>
            </w:r>
            <w:r>
              <w:rPr>
                <w:rFonts w:hint="default" w:ascii="Times New Roman" w:hAnsi="Times New Roman" w:eastAsia="仿宋_GB2312"/>
                <w:bCs/>
                <w:sz w:val="22"/>
              </w:rPr>
              <w:t>》</w:t>
            </w:r>
            <w:r>
              <w:rPr>
                <w:rFonts w:hint="eastAsia" w:ascii="Times New Roman" w:hAnsi="Times New Roman" w:eastAsia="仿宋_GB2312"/>
                <w:bCs/>
                <w:sz w:val="22"/>
              </w:rPr>
              <w:t>。</w:t>
            </w:r>
            <w:r>
              <w:rPr>
                <w:rFonts w:hint="default" w:ascii="Times New Roman" w:hAnsi="Times New Roman" w:eastAsia="仿宋_GB2312"/>
                <w:bCs/>
                <w:sz w:val="22"/>
              </w:rPr>
              <w:t>经查阅分析，以上制度符合单位实际情况，且有针对性。综上所述，根据评分标准，该指标不扣分，得</w:t>
            </w:r>
            <w:r>
              <w:rPr>
                <w:rFonts w:hint="eastAsia" w:ascii="Times New Roman" w:hAnsi="Times New Roman" w:eastAsia="仿宋_GB2312"/>
                <w:bCs/>
                <w:sz w:val="22"/>
              </w:rPr>
              <w:t>3</w:t>
            </w:r>
            <w:r>
              <w:rPr>
                <w:rFonts w:hint="default" w:ascii="Times New Roman" w:hAnsi="Times New Roman" w:eastAsia="仿宋_GB2312"/>
                <w:bCs/>
                <w:sz w:val="22"/>
              </w:rPr>
              <w:t>分。</w:t>
            </w:r>
          </w:p>
        </w:tc>
        <w:tc>
          <w:tcPr>
            <w:tcW w:w="219" w:type="pct"/>
            <w:vAlign w:val="center"/>
          </w:tcPr>
          <w:p w14:paraId="5D668A6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41D9A3A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3</w:t>
            </w:r>
          </w:p>
        </w:tc>
        <w:tc>
          <w:tcPr>
            <w:tcW w:w="366" w:type="pct"/>
            <w:gridSpan w:val="2"/>
            <w:vAlign w:val="center"/>
          </w:tcPr>
          <w:p w14:paraId="5567597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78E0EFD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6E0E8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1FBEBF0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73B22DE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1598CF8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项目管理制度执行有效性</w:t>
            </w:r>
          </w:p>
        </w:tc>
        <w:tc>
          <w:tcPr>
            <w:tcW w:w="175" w:type="pct"/>
            <w:vAlign w:val="center"/>
          </w:tcPr>
          <w:p w14:paraId="225DBC8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3</w:t>
            </w:r>
          </w:p>
        </w:tc>
        <w:tc>
          <w:tcPr>
            <w:tcW w:w="338" w:type="pct"/>
            <w:vAlign w:val="center"/>
          </w:tcPr>
          <w:p w14:paraId="0115EB5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考察部门（单位）是否按照项目管理制度有效执行。</w:t>
            </w:r>
          </w:p>
        </w:tc>
        <w:tc>
          <w:tcPr>
            <w:tcW w:w="280" w:type="pct"/>
            <w:vAlign w:val="center"/>
          </w:tcPr>
          <w:p w14:paraId="40F17AB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有效</w:t>
            </w:r>
          </w:p>
        </w:tc>
        <w:tc>
          <w:tcPr>
            <w:tcW w:w="427" w:type="pct"/>
            <w:gridSpan w:val="2"/>
            <w:vAlign w:val="center"/>
          </w:tcPr>
          <w:p w14:paraId="0AFC79E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评价要点：①按照管理制度有效执行、管理记录清晰完整，得3分；②未按制度执行或管理记录缺失，每发现一项扣0.5分，扣完为止。</w:t>
            </w:r>
          </w:p>
        </w:tc>
        <w:tc>
          <w:tcPr>
            <w:tcW w:w="405" w:type="pct"/>
            <w:vAlign w:val="center"/>
          </w:tcPr>
          <w:p w14:paraId="12DC2D5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根据评分标准中的具体分值进行赋分</w:t>
            </w:r>
          </w:p>
        </w:tc>
        <w:tc>
          <w:tcPr>
            <w:tcW w:w="1141" w:type="pct"/>
            <w:vAlign w:val="center"/>
          </w:tcPr>
          <w:p w14:paraId="23C4277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default" w:ascii="Times New Roman" w:hAnsi="Times New Roman" w:eastAsia="仿宋_GB2312"/>
                <w:bCs/>
                <w:sz w:val="22"/>
              </w:rPr>
              <w:t>在项目管理制度执行有效性方面，通过查阅项目的实施</w:t>
            </w:r>
            <w:r>
              <w:rPr>
                <w:rFonts w:hint="eastAsia" w:ascii="Times New Roman" w:hAnsi="Times New Roman" w:eastAsia="仿宋_GB2312"/>
                <w:bCs/>
                <w:sz w:val="22"/>
              </w:rPr>
              <w:t>、</w:t>
            </w:r>
            <w:r>
              <w:rPr>
                <w:rFonts w:hint="default" w:ascii="Times New Roman" w:hAnsi="Times New Roman" w:eastAsia="仿宋_GB2312"/>
                <w:bCs/>
                <w:sz w:val="22"/>
              </w:rPr>
              <w:t>资金支出的呈报及审批资料，确定项目执行过程符合相关法律法规和现有相关管理规定，支出手续完备，相关资料齐全、归档及时，项目实施的条件已落实到位。项目实施能够按照管理制度有效执行、管理记录清晰完整。综上所述，根据评分标准，该指标不扣分，得</w:t>
            </w:r>
            <w:r>
              <w:rPr>
                <w:rFonts w:hint="eastAsia" w:ascii="Times New Roman" w:hAnsi="Times New Roman" w:eastAsia="仿宋_GB2312"/>
                <w:bCs/>
                <w:sz w:val="22"/>
              </w:rPr>
              <w:t>3</w:t>
            </w:r>
            <w:r>
              <w:rPr>
                <w:rFonts w:hint="default" w:ascii="Times New Roman" w:hAnsi="Times New Roman" w:eastAsia="仿宋_GB2312"/>
                <w:bCs/>
                <w:sz w:val="22"/>
              </w:rPr>
              <w:t>分。</w:t>
            </w:r>
          </w:p>
        </w:tc>
        <w:tc>
          <w:tcPr>
            <w:tcW w:w="219" w:type="pct"/>
            <w:vAlign w:val="center"/>
          </w:tcPr>
          <w:p w14:paraId="372AD74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01925B0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3</w:t>
            </w:r>
          </w:p>
        </w:tc>
        <w:tc>
          <w:tcPr>
            <w:tcW w:w="366" w:type="pct"/>
            <w:gridSpan w:val="2"/>
            <w:vAlign w:val="center"/>
          </w:tcPr>
          <w:p w14:paraId="66B9C10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7F2FF67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1AA2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3D59306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restart"/>
            <w:vAlign w:val="center"/>
          </w:tcPr>
          <w:p w14:paraId="21A3578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资产管理</w:t>
            </w:r>
          </w:p>
        </w:tc>
        <w:tc>
          <w:tcPr>
            <w:tcW w:w="454" w:type="pct"/>
            <w:vAlign w:val="center"/>
          </w:tcPr>
          <w:p w14:paraId="1260D98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资产管理规范性</w:t>
            </w:r>
          </w:p>
        </w:tc>
        <w:tc>
          <w:tcPr>
            <w:tcW w:w="175" w:type="pct"/>
            <w:vAlign w:val="center"/>
          </w:tcPr>
          <w:p w14:paraId="288554C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2</w:t>
            </w:r>
          </w:p>
        </w:tc>
        <w:tc>
          <w:tcPr>
            <w:tcW w:w="338" w:type="pct"/>
            <w:vAlign w:val="center"/>
          </w:tcPr>
          <w:p w14:paraId="1E12162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考察部门（单位）的资产是否保存完整、使用合规、配置合理、处置规范、收入及时足额上缴，用以反映和考核部门（单位）资产安全运行情况。</w:t>
            </w:r>
          </w:p>
        </w:tc>
        <w:tc>
          <w:tcPr>
            <w:tcW w:w="280" w:type="pct"/>
            <w:vAlign w:val="center"/>
          </w:tcPr>
          <w:p w14:paraId="36E7E6E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规范</w:t>
            </w:r>
          </w:p>
        </w:tc>
        <w:tc>
          <w:tcPr>
            <w:tcW w:w="427" w:type="pct"/>
            <w:gridSpan w:val="2"/>
            <w:vAlign w:val="center"/>
          </w:tcPr>
          <w:p w14:paraId="7991E98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评价要点：①建立完善的资产管理制度，得0.5分；②资产保存完整，得0.5分；③资产处置规范，得0.5分；④资产账务管理合规、账实相符，得0.5分。</w:t>
            </w:r>
          </w:p>
        </w:tc>
        <w:tc>
          <w:tcPr>
            <w:tcW w:w="405" w:type="pct"/>
            <w:vAlign w:val="center"/>
          </w:tcPr>
          <w:p w14:paraId="6DB805E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根据评分标准中的具体分值进行赋分</w:t>
            </w:r>
          </w:p>
        </w:tc>
        <w:tc>
          <w:tcPr>
            <w:tcW w:w="1141" w:type="pct"/>
            <w:vAlign w:val="center"/>
          </w:tcPr>
          <w:p w14:paraId="47C75B7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default" w:ascii="Times New Roman" w:hAnsi="Times New Roman" w:eastAsia="仿宋_GB2312"/>
                <w:bCs/>
                <w:sz w:val="22"/>
              </w:rPr>
              <w:t>喀什</w:t>
            </w:r>
            <w:r>
              <w:rPr>
                <w:rFonts w:hint="eastAsia" w:ascii="Times New Roman" w:hAnsi="Times New Roman" w:eastAsia="仿宋_GB2312"/>
                <w:bCs/>
                <w:sz w:val="22"/>
              </w:rPr>
              <w:t>市市场监督管理局</w:t>
            </w:r>
            <w:r>
              <w:rPr>
                <w:rFonts w:hint="default" w:ascii="Times New Roman" w:hAnsi="Times New Roman" w:eastAsia="仿宋_GB2312"/>
                <w:bCs/>
                <w:sz w:val="22"/>
              </w:rPr>
              <w:t>已经建立完善的资产管理制度，</w:t>
            </w:r>
            <w:r>
              <w:rPr>
                <w:rFonts w:hint="eastAsia" w:ascii="Times New Roman" w:hAnsi="Times New Roman" w:eastAsia="仿宋_GB2312"/>
                <w:bCs/>
                <w:sz w:val="22"/>
              </w:rPr>
              <w:t>包括《喀什市市场监督管理局固定资产管理制度》《喀什市市场监督管理局货币资金管理制度》和《喀什市市场监督管理局无形资产管理制度》，</w:t>
            </w:r>
            <w:r>
              <w:rPr>
                <w:rFonts w:hint="default" w:ascii="Times New Roman" w:hAnsi="Times New Roman" w:eastAsia="仿宋_GB2312"/>
                <w:bCs/>
                <w:sz w:val="22"/>
              </w:rPr>
              <w:t>合理配备并节约、有效使用资产，提高资产使用效率，保障资产的安全和完整。综上所述，根据评分标准</w:t>
            </w:r>
            <w:r>
              <w:rPr>
                <w:rFonts w:hint="eastAsia" w:ascii="Times New Roman" w:hAnsi="Times New Roman" w:eastAsia="仿宋_GB2312"/>
                <w:bCs/>
                <w:sz w:val="22"/>
              </w:rPr>
              <w:t>，</w:t>
            </w:r>
            <w:r>
              <w:rPr>
                <w:rFonts w:hint="default" w:ascii="Times New Roman" w:hAnsi="Times New Roman" w:eastAsia="仿宋_GB2312"/>
                <w:bCs/>
                <w:sz w:val="22"/>
              </w:rPr>
              <w:t>该指标</w:t>
            </w:r>
            <w:r>
              <w:rPr>
                <w:rFonts w:hint="eastAsia" w:ascii="Times New Roman" w:hAnsi="Times New Roman" w:eastAsia="仿宋_GB2312"/>
                <w:bCs/>
                <w:sz w:val="22"/>
              </w:rPr>
              <w:t>不扣</w:t>
            </w:r>
            <w:r>
              <w:rPr>
                <w:rFonts w:hint="default" w:ascii="Times New Roman" w:hAnsi="Times New Roman" w:eastAsia="仿宋_GB2312"/>
                <w:bCs/>
                <w:sz w:val="22"/>
              </w:rPr>
              <w:t>分，得2分。</w:t>
            </w:r>
          </w:p>
        </w:tc>
        <w:tc>
          <w:tcPr>
            <w:tcW w:w="219" w:type="pct"/>
            <w:vAlign w:val="center"/>
          </w:tcPr>
          <w:p w14:paraId="460DABE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15882FB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2</w:t>
            </w:r>
          </w:p>
        </w:tc>
        <w:tc>
          <w:tcPr>
            <w:tcW w:w="366" w:type="pct"/>
            <w:gridSpan w:val="2"/>
            <w:vAlign w:val="center"/>
          </w:tcPr>
          <w:p w14:paraId="249BF3F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0DEB658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05EE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78DAACB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7820A23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16FD4CE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固定资产利用率</w:t>
            </w:r>
          </w:p>
        </w:tc>
        <w:tc>
          <w:tcPr>
            <w:tcW w:w="175" w:type="pct"/>
            <w:vAlign w:val="center"/>
          </w:tcPr>
          <w:p w14:paraId="0E7B800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3</w:t>
            </w:r>
          </w:p>
        </w:tc>
        <w:tc>
          <w:tcPr>
            <w:tcW w:w="338" w:type="pct"/>
            <w:vAlign w:val="center"/>
          </w:tcPr>
          <w:p w14:paraId="32EA4A2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考察部门（单位）实际在用固定资产总额与所有固定资产总额的比率，用以反映和考核部门（单位）固定资产使用效率程度。</w:t>
            </w:r>
          </w:p>
        </w:tc>
        <w:tc>
          <w:tcPr>
            <w:tcW w:w="280" w:type="pct"/>
            <w:vAlign w:val="center"/>
          </w:tcPr>
          <w:p w14:paraId="612C99C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100%</w:t>
            </w:r>
          </w:p>
        </w:tc>
        <w:tc>
          <w:tcPr>
            <w:tcW w:w="427" w:type="pct"/>
            <w:gridSpan w:val="2"/>
            <w:vAlign w:val="center"/>
          </w:tcPr>
          <w:p w14:paraId="07155E8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固定资产利用率=（实际在用固定资产总额/所有固定资产总额）×100%。评价要点：①固定资产利用率≥90%的，得3分；②90%＞固定资产利用率≥75%的，得2分；③75%＞固定资产利用率≥60%的，得1分；④固定资产利用率＜60%的，得0分。</w:t>
            </w:r>
          </w:p>
        </w:tc>
        <w:tc>
          <w:tcPr>
            <w:tcW w:w="405" w:type="pct"/>
            <w:vAlign w:val="center"/>
          </w:tcPr>
          <w:p w14:paraId="59D87A6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①固定资产利用率≥90%的，得3分；②90%＞固定资产利用率≥75%的，得2分；③75%＞固定资产利用率≥60%的，得1分；④固定资产利用率＜60%的，得0分。</w:t>
            </w:r>
          </w:p>
        </w:tc>
        <w:tc>
          <w:tcPr>
            <w:tcW w:w="1141" w:type="pct"/>
            <w:vAlign w:val="center"/>
          </w:tcPr>
          <w:p w14:paraId="60DD541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eastAsia" w:ascii="Times New Roman" w:hAnsi="Times New Roman" w:eastAsia="仿宋_GB2312"/>
                <w:bCs/>
                <w:sz w:val="22"/>
              </w:rPr>
              <w:t>经查看《</w:t>
            </w:r>
            <w:r>
              <w:rPr>
                <w:rFonts w:hint="default" w:ascii="Times New Roman" w:hAnsi="Times New Roman" w:eastAsia="仿宋_GB2312"/>
                <w:bCs/>
                <w:sz w:val="22"/>
              </w:rPr>
              <w:t>2025</w:t>
            </w:r>
            <w:r>
              <w:rPr>
                <w:rFonts w:hint="eastAsia" w:ascii="Times New Roman" w:hAnsi="Times New Roman" w:eastAsia="仿宋_GB2312"/>
                <w:bCs/>
                <w:sz w:val="22"/>
              </w:rPr>
              <w:t>年度行政事业性国有资产报表》，固定资产期末净值为</w:t>
            </w:r>
            <w:r>
              <w:rPr>
                <w:rFonts w:hint="default" w:ascii="Times New Roman" w:hAnsi="Times New Roman" w:eastAsia="仿宋_GB2312"/>
                <w:bCs/>
                <w:sz w:val="22"/>
              </w:rPr>
              <w:t>171.87</w:t>
            </w:r>
            <w:r>
              <w:rPr>
                <w:rFonts w:hint="eastAsia" w:ascii="Times New Roman" w:hAnsi="Times New Roman" w:eastAsia="仿宋_GB2312"/>
                <w:bCs/>
                <w:sz w:val="22"/>
              </w:rPr>
              <w:t>万元，在用固定资产净值为</w:t>
            </w:r>
            <w:r>
              <w:rPr>
                <w:rFonts w:hint="default" w:ascii="Times New Roman" w:hAnsi="Times New Roman" w:eastAsia="仿宋_GB2312"/>
                <w:bCs/>
                <w:sz w:val="22"/>
              </w:rPr>
              <w:t>171.87</w:t>
            </w:r>
            <w:r>
              <w:rPr>
                <w:rFonts w:hint="eastAsia" w:ascii="Times New Roman" w:hAnsi="Times New Roman" w:eastAsia="仿宋_GB2312"/>
                <w:bCs/>
                <w:sz w:val="22"/>
              </w:rPr>
              <w:t>万元，固定资产利用率为</w:t>
            </w:r>
            <w:r>
              <w:rPr>
                <w:rFonts w:hint="default" w:ascii="Times New Roman" w:hAnsi="Times New Roman" w:eastAsia="仿宋_GB2312"/>
                <w:bCs/>
                <w:sz w:val="22"/>
              </w:rPr>
              <w:t>100.00%</w:t>
            </w:r>
            <w:r>
              <w:rPr>
                <w:rFonts w:hint="eastAsia" w:ascii="Times New Roman" w:hAnsi="Times New Roman" w:eastAsia="仿宋_GB2312"/>
                <w:bCs/>
                <w:sz w:val="22"/>
              </w:rPr>
              <w:t>。经实地调研，对资产进行抽查，未发现资产闲置情况。综上所述，根据评分标准，该指标不扣，得</w:t>
            </w:r>
            <w:r>
              <w:rPr>
                <w:rFonts w:hint="default" w:ascii="Times New Roman" w:hAnsi="Times New Roman" w:eastAsia="仿宋_GB2312"/>
                <w:bCs/>
                <w:sz w:val="22"/>
              </w:rPr>
              <w:t>3</w:t>
            </w:r>
            <w:r>
              <w:rPr>
                <w:rFonts w:hint="eastAsia" w:ascii="Times New Roman" w:hAnsi="Times New Roman" w:eastAsia="仿宋_GB2312"/>
                <w:bCs/>
                <w:sz w:val="22"/>
              </w:rPr>
              <w:t>分。</w:t>
            </w:r>
          </w:p>
        </w:tc>
        <w:tc>
          <w:tcPr>
            <w:tcW w:w="219" w:type="pct"/>
            <w:vAlign w:val="center"/>
          </w:tcPr>
          <w:p w14:paraId="25F0659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12769DF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3</w:t>
            </w:r>
          </w:p>
        </w:tc>
        <w:tc>
          <w:tcPr>
            <w:tcW w:w="366" w:type="pct"/>
            <w:gridSpan w:val="2"/>
            <w:vAlign w:val="center"/>
          </w:tcPr>
          <w:p w14:paraId="6B96B81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102210E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16F2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restart"/>
            <w:vAlign w:val="center"/>
          </w:tcPr>
          <w:p w14:paraId="39CB4E7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部门绩效（</w:t>
            </w:r>
            <w:r>
              <w:rPr>
                <w:rFonts w:hint="default" w:ascii="Times New Roman" w:hAnsi="Times New Roman" w:eastAsia="仿宋_GB2312"/>
                <w:sz w:val="22"/>
              </w:rPr>
              <w:t>5</w:t>
            </w:r>
            <w:r>
              <w:rPr>
                <w:rFonts w:hint="eastAsia" w:ascii="Times New Roman" w:hAnsi="Times New Roman" w:eastAsia="仿宋_GB2312"/>
                <w:sz w:val="22"/>
              </w:rPr>
              <w:t>0分）</w:t>
            </w:r>
          </w:p>
        </w:tc>
        <w:tc>
          <w:tcPr>
            <w:tcW w:w="321" w:type="pct"/>
            <w:vMerge w:val="restart"/>
            <w:vAlign w:val="center"/>
          </w:tcPr>
          <w:p w14:paraId="478E84E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职责履行</w:t>
            </w:r>
          </w:p>
        </w:tc>
        <w:tc>
          <w:tcPr>
            <w:tcW w:w="454" w:type="pct"/>
            <w:vAlign w:val="center"/>
          </w:tcPr>
          <w:p w14:paraId="418D389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年度重点项目完成率</w:t>
            </w:r>
          </w:p>
        </w:tc>
        <w:tc>
          <w:tcPr>
            <w:tcW w:w="175" w:type="pct"/>
            <w:vAlign w:val="center"/>
          </w:tcPr>
          <w:p w14:paraId="61C07B7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3</w:t>
            </w:r>
          </w:p>
        </w:tc>
        <w:tc>
          <w:tcPr>
            <w:tcW w:w="338" w:type="pct"/>
            <w:vAlign w:val="center"/>
          </w:tcPr>
          <w:p w14:paraId="304DDED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考察部门（单位）履行职责而实际完成年度重点项目数与计划数的比率，用以反映和考核部门（单位）重点项目的实施和推进情况。</w:t>
            </w:r>
          </w:p>
        </w:tc>
        <w:tc>
          <w:tcPr>
            <w:tcW w:w="280" w:type="pct"/>
            <w:vAlign w:val="center"/>
          </w:tcPr>
          <w:p w14:paraId="366BEBE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100%</w:t>
            </w:r>
          </w:p>
        </w:tc>
        <w:tc>
          <w:tcPr>
            <w:tcW w:w="427" w:type="pct"/>
            <w:gridSpan w:val="2"/>
            <w:vAlign w:val="center"/>
          </w:tcPr>
          <w:p w14:paraId="6545BD0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年度重点项目完成率</w:t>
            </w:r>
            <w:r>
              <w:rPr>
                <w:rFonts w:hint="default" w:ascii="Times New Roman" w:hAnsi="Times New Roman" w:eastAsia="仿宋_GB2312"/>
                <w:sz w:val="22"/>
              </w:rPr>
              <w:t>=</w:t>
            </w:r>
            <w:r>
              <w:rPr>
                <w:rFonts w:hint="eastAsia" w:ascii="Times New Roman" w:hAnsi="Times New Roman" w:eastAsia="仿宋_GB2312"/>
                <w:sz w:val="22"/>
              </w:rPr>
              <w:t>（年度重点项目完成个数</w:t>
            </w:r>
            <w:r>
              <w:rPr>
                <w:rFonts w:hint="default" w:ascii="Times New Roman" w:hAnsi="Times New Roman" w:eastAsia="仿宋_GB2312"/>
                <w:sz w:val="22"/>
              </w:rPr>
              <w:t>/</w:t>
            </w:r>
            <w:r>
              <w:rPr>
                <w:rFonts w:hint="eastAsia" w:ascii="Times New Roman" w:hAnsi="Times New Roman" w:eastAsia="仿宋_GB2312"/>
                <w:sz w:val="22"/>
              </w:rPr>
              <w:t>年度重点项目计划开展个数）</w:t>
            </w:r>
            <w:r>
              <w:rPr>
                <w:rFonts w:hint="default" w:ascii="Times New Roman" w:hAnsi="Times New Roman" w:eastAsia="仿宋_GB2312"/>
                <w:sz w:val="22"/>
              </w:rPr>
              <w:t>×100%</w:t>
            </w:r>
            <w:r>
              <w:rPr>
                <w:rFonts w:hint="eastAsia" w:ascii="Times New Roman" w:hAnsi="Times New Roman" w:eastAsia="仿宋_GB2312"/>
                <w:sz w:val="22"/>
              </w:rPr>
              <w:t>评价要点：完成率</w:t>
            </w:r>
            <w:r>
              <w:rPr>
                <w:rFonts w:hint="default" w:ascii="Times New Roman" w:hAnsi="Times New Roman" w:eastAsia="仿宋_GB2312"/>
                <w:sz w:val="22"/>
              </w:rPr>
              <w:t>100%</w:t>
            </w:r>
            <w:r>
              <w:rPr>
                <w:rFonts w:hint="eastAsia" w:ascii="Times New Roman" w:hAnsi="Times New Roman" w:eastAsia="仿宋_GB2312"/>
                <w:sz w:val="22"/>
              </w:rPr>
              <w:t>，得满分；每发现</w:t>
            </w:r>
            <w:r>
              <w:rPr>
                <w:rFonts w:hint="default" w:ascii="Times New Roman" w:hAnsi="Times New Roman" w:eastAsia="仿宋_GB2312"/>
                <w:sz w:val="22"/>
              </w:rPr>
              <w:t>1</w:t>
            </w:r>
            <w:r>
              <w:rPr>
                <w:rFonts w:hint="eastAsia" w:ascii="Times New Roman" w:hAnsi="Times New Roman" w:eastAsia="仿宋_GB2312"/>
                <w:sz w:val="22"/>
              </w:rPr>
              <w:t>个重点项目未完成，扣1.5分，扣完为止。</w:t>
            </w:r>
          </w:p>
        </w:tc>
        <w:tc>
          <w:tcPr>
            <w:tcW w:w="405" w:type="pct"/>
            <w:vAlign w:val="center"/>
          </w:tcPr>
          <w:p w14:paraId="3F72AE8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完成率100%，得满分；每发现1个重点项目未完成，扣1.5分，扣完为止。</w:t>
            </w:r>
          </w:p>
        </w:tc>
        <w:tc>
          <w:tcPr>
            <w:tcW w:w="1141" w:type="pct"/>
            <w:vAlign w:val="center"/>
          </w:tcPr>
          <w:p w14:paraId="2D9D84B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default" w:ascii="Times New Roman" w:hAnsi="Times New Roman" w:eastAsia="仿宋_GB2312"/>
                <w:bCs/>
                <w:sz w:val="22"/>
              </w:rPr>
              <w:t>202</w:t>
            </w:r>
            <w:r>
              <w:rPr>
                <w:rFonts w:hint="eastAsia" w:ascii="Times New Roman" w:hAnsi="Times New Roman" w:eastAsia="仿宋_GB2312"/>
                <w:bCs/>
                <w:sz w:val="22"/>
              </w:rPr>
              <w:t>5</w:t>
            </w:r>
            <w:r>
              <w:rPr>
                <w:rFonts w:hint="default" w:ascii="Times New Roman" w:hAnsi="Times New Roman" w:eastAsia="仿宋_GB2312"/>
                <w:bCs/>
                <w:sz w:val="22"/>
              </w:rPr>
              <w:t>年度本级财政预算安排重点项目支出为</w:t>
            </w:r>
            <w:r>
              <w:rPr>
                <w:rFonts w:hint="eastAsia" w:ascii="Times New Roman" w:hAnsi="Times New Roman" w:eastAsia="仿宋_GB2312"/>
                <w:bCs/>
                <w:sz w:val="22"/>
              </w:rPr>
              <w:t>282.26</w:t>
            </w:r>
            <w:r>
              <w:rPr>
                <w:rFonts w:hint="default" w:ascii="Times New Roman" w:hAnsi="Times New Roman" w:eastAsia="仿宋_GB2312"/>
                <w:bCs/>
                <w:sz w:val="22"/>
              </w:rPr>
              <w:t>万元，主要实施</w:t>
            </w:r>
            <w:r>
              <w:rPr>
                <w:rFonts w:hint="eastAsia" w:ascii="Times New Roman" w:hAnsi="Times New Roman" w:eastAsia="仿宋_GB2312"/>
                <w:bCs/>
                <w:sz w:val="22"/>
              </w:rPr>
              <w:t>：2025年日常专项业务项目、2025年多来特巴格市场监督管理局所运转保障项目、2025年食品药品监管补助项目、2025年驻村工作队为民办实事经费等</w:t>
            </w:r>
            <w:r>
              <w:rPr>
                <w:rFonts w:hint="default" w:ascii="Times New Roman" w:hAnsi="Times New Roman" w:eastAsia="仿宋_GB2312"/>
                <w:bCs/>
                <w:sz w:val="22"/>
              </w:rPr>
              <w:t>项目，根据</w:t>
            </w:r>
            <w:r>
              <w:rPr>
                <w:rFonts w:hint="eastAsia" w:ascii="Times New Roman" w:hAnsi="Times New Roman" w:eastAsia="仿宋_GB2312"/>
                <w:bCs/>
                <w:sz w:val="22"/>
              </w:rPr>
              <w:t>喀什市市场监督管理局</w:t>
            </w:r>
            <w:r>
              <w:rPr>
                <w:rFonts w:hint="default" w:ascii="Times New Roman" w:hAnsi="Times New Roman" w:eastAsia="仿宋_GB2312"/>
                <w:bCs/>
                <w:sz w:val="22"/>
              </w:rPr>
              <w:t>提供的《</w:t>
            </w:r>
            <w:r>
              <w:rPr>
                <w:rFonts w:hint="eastAsia" w:ascii="Times New Roman" w:hAnsi="Times New Roman" w:eastAsia="仿宋_GB2312"/>
                <w:bCs/>
                <w:sz w:val="22"/>
              </w:rPr>
              <w:t>2025年部门预决算报表</w:t>
            </w:r>
            <w:r>
              <w:rPr>
                <w:rFonts w:hint="default" w:ascii="Times New Roman" w:hAnsi="Times New Roman" w:eastAsia="仿宋_GB2312"/>
                <w:bCs/>
                <w:sz w:val="22"/>
              </w:rPr>
              <w:t>》和绩效指标完成情况印证资料显示，上述项目均已经在当年完成，年度重点项目完成率为100%。综上所述，根据评分标准</w:t>
            </w:r>
            <w:r>
              <w:rPr>
                <w:rFonts w:hint="eastAsia" w:ascii="Times New Roman" w:hAnsi="Times New Roman" w:eastAsia="仿宋_GB2312"/>
                <w:bCs/>
                <w:sz w:val="22"/>
              </w:rPr>
              <w:t>，</w:t>
            </w:r>
            <w:r>
              <w:rPr>
                <w:rFonts w:hint="default" w:ascii="Times New Roman" w:hAnsi="Times New Roman" w:eastAsia="仿宋_GB2312"/>
                <w:bCs/>
                <w:sz w:val="22"/>
              </w:rPr>
              <w:t>该指标</w:t>
            </w:r>
            <w:r>
              <w:rPr>
                <w:rFonts w:hint="eastAsia" w:ascii="Times New Roman" w:hAnsi="Times New Roman" w:eastAsia="仿宋_GB2312"/>
                <w:bCs/>
                <w:sz w:val="22"/>
              </w:rPr>
              <w:t>不扣</w:t>
            </w:r>
            <w:r>
              <w:rPr>
                <w:rFonts w:hint="default" w:ascii="Times New Roman" w:hAnsi="Times New Roman" w:eastAsia="仿宋_GB2312"/>
                <w:bCs/>
                <w:sz w:val="22"/>
              </w:rPr>
              <w:t>分，得3分</w:t>
            </w:r>
          </w:p>
        </w:tc>
        <w:tc>
          <w:tcPr>
            <w:tcW w:w="219" w:type="pct"/>
            <w:vAlign w:val="center"/>
          </w:tcPr>
          <w:p w14:paraId="0EF887D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6F80218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3</w:t>
            </w:r>
          </w:p>
        </w:tc>
        <w:tc>
          <w:tcPr>
            <w:tcW w:w="366" w:type="pct"/>
            <w:gridSpan w:val="2"/>
            <w:vAlign w:val="center"/>
          </w:tcPr>
          <w:p w14:paraId="219299B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101F2C4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3616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7D6B09A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0E5EBA8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Merge w:val="restart"/>
            <w:vAlign w:val="center"/>
          </w:tcPr>
          <w:p w14:paraId="63271CA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年度重点工作任务完成率</w:t>
            </w:r>
          </w:p>
        </w:tc>
        <w:tc>
          <w:tcPr>
            <w:tcW w:w="175" w:type="pct"/>
            <w:vMerge w:val="restart"/>
            <w:vAlign w:val="center"/>
          </w:tcPr>
          <w:p w14:paraId="6E83B27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3</w:t>
            </w:r>
          </w:p>
        </w:tc>
        <w:tc>
          <w:tcPr>
            <w:tcW w:w="338" w:type="pct"/>
            <w:vMerge w:val="restart"/>
            <w:vAlign w:val="center"/>
          </w:tcPr>
          <w:p w14:paraId="4D62AA7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考察部门（单位）履行职责而实际完成年度重点工作任务数与计划数的比率，用以反映和考核部门（单位）年度重点工作任务目标的实现程度。</w:t>
            </w:r>
          </w:p>
        </w:tc>
        <w:tc>
          <w:tcPr>
            <w:tcW w:w="280" w:type="pct"/>
            <w:vMerge w:val="restart"/>
            <w:vAlign w:val="center"/>
          </w:tcPr>
          <w:p w14:paraId="5D318CD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100%</w:t>
            </w:r>
          </w:p>
        </w:tc>
        <w:tc>
          <w:tcPr>
            <w:tcW w:w="427" w:type="pct"/>
            <w:gridSpan w:val="2"/>
            <w:vMerge w:val="restart"/>
            <w:vAlign w:val="center"/>
          </w:tcPr>
          <w:p w14:paraId="50F4DB2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年度重点工作任务完成率</w:t>
            </w:r>
            <w:r>
              <w:rPr>
                <w:rFonts w:hint="default" w:ascii="Times New Roman" w:hAnsi="Times New Roman" w:eastAsia="仿宋_GB2312"/>
                <w:sz w:val="22"/>
              </w:rPr>
              <w:t>=</w:t>
            </w:r>
            <w:r>
              <w:rPr>
                <w:rFonts w:hint="eastAsia" w:ascii="Times New Roman" w:hAnsi="Times New Roman" w:eastAsia="仿宋_GB2312"/>
                <w:sz w:val="22"/>
              </w:rPr>
              <w:t>（年度重点工作任务完成个数</w:t>
            </w:r>
            <w:r>
              <w:rPr>
                <w:rFonts w:hint="default" w:ascii="Times New Roman" w:hAnsi="Times New Roman" w:eastAsia="仿宋_GB2312"/>
                <w:sz w:val="22"/>
              </w:rPr>
              <w:t>/</w:t>
            </w:r>
            <w:r>
              <w:rPr>
                <w:rFonts w:hint="eastAsia" w:ascii="Times New Roman" w:hAnsi="Times New Roman" w:eastAsia="仿宋_GB2312"/>
                <w:sz w:val="22"/>
              </w:rPr>
              <w:t>年度重点工作任务计划开展个数）</w:t>
            </w:r>
            <w:r>
              <w:rPr>
                <w:rFonts w:hint="default" w:ascii="Times New Roman" w:hAnsi="Times New Roman" w:eastAsia="仿宋_GB2312"/>
                <w:sz w:val="22"/>
              </w:rPr>
              <w:t>×100%</w:t>
            </w:r>
            <w:r>
              <w:rPr>
                <w:rFonts w:hint="eastAsia" w:ascii="Times New Roman" w:hAnsi="Times New Roman" w:eastAsia="仿宋_GB2312"/>
                <w:sz w:val="22"/>
              </w:rPr>
              <w:t>评价要点：完成率</w:t>
            </w:r>
            <w:r>
              <w:rPr>
                <w:rFonts w:hint="default" w:ascii="Times New Roman" w:hAnsi="Times New Roman" w:eastAsia="仿宋_GB2312"/>
                <w:sz w:val="22"/>
              </w:rPr>
              <w:t>100%</w:t>
            </w:r>
            <w:r>
              <w:rPr>
                <w:rFonts w:hint="eastAsia" w:ascii="Times New Roman" w:hAnsi="Times New Roman" w:eastAsia="仿宋_GB2312"/>
                <w:sz w:val="22"/>
              </w:rPr>
              <w:t>，得满分；每发现</w:t>
            </w:r>
            <w:r>
              <w:rPr>
                <w:rFonts w:hint="default" w:ascii="Times New Roman" w:hAnsi="Times New Roman" w:eastAsia="仿宋_GB2312"/>
                <w:sz w:val="22"/>
              </w:rPr>
              <w:t>1</w:t>
            </w:r>
            <w:r>
              <w:rPr>
                <w:rFonts w:hint="eastAsia" w:ascii="Times New Roman" w:hAnsi="Times New Roman" w:eastAsia="仿宋_GB2312"/>
                <w:sz w:val="22"/>
              </w:rPr>
              <w:t>项未完成的年度重点工作任务，扣</w:t>
            </w:r>
            <w:r>
              <w:rPr>
                <w:rFonts w:hint="default" w:ascii="Times New Roman" w:hAnsi="Times New Roman" w:eastAsia="仿宋_GB2312"/>
                <w:sz w:val="22"/>
              </w:rPr>
              <w:t>1</w:t>
            </w:r>
            <w:r>
              <w:rPr>
                <w:rFonts w:hint="eastAsia" w:ascii="Times New Roman" w:hAnsi="Times New Roman" w:eastAsia="仿宋_GB2312"/>
                <w:sz w:val="22"/>
              </w:rPr>
              <w:t>分，扣完为止。</w:t>
            </w:r>
          </w:p>
        </w:tc>
        <w:tc>
          <w:tcPr>
            <w:tcW w:w="405" w:type="pct"/>
            <w:vMerge w:val="restart"/>
            <w:vAlign w:val="center"/>
          </w:tcPr>
          <w:p w14:paraId="5C87AF0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完成率100%，得满分；每发现1项未完成的年度重点工作任务，扣1分，扣完为止。</w:t>
            </w:r>
          </w:p>
        </w:tc>
        <w:tc>
          <w:tcPr>
            <w:tcW w:w="1141" w:type="pct"/>
            <w:vAlign w:val="center"/>
          </w:tcPr>
          <w:p w14:paraId="5C53375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eastAsia" w:ascii="Times New Roman" w:hAnsi="Times New Roman" w:eastAsia="仿宋_GB2312"/>
                <w:bCs/>
                <w:sz w:val="22"/>
              </w:rPr>
              <w:t>根据《喀什市市场监督管理局</w:t>
            </w:r>
            <w:r>
              <w:rPr>
                <w:rFonts w:hint="default" w:ascii="Times New Roman" w:hAnsi="Times New Roman" w:eastAsia="仿宋_GB2312"/>
                <w:bCs/>
                <w:sz w:val="22"/>
              </w:rPr>
              <w:t>2025</w:t>
            </w:r>
            <w:r>
              <w:rPr>
                <w:rFonts w:hint="eastAsia" w:ascii="Times New Roman" w:hAnsi="Times New Roman" w:eastAsia="仿宋_GB2312"/>
                <w:bCs/>
                <w:sz w:val="22"/>
              </w:rPr>
              <w:t>年度工作总结》，喀什市市场监督管理局部门整体和项目的目标及自评等相关资料，</w:t>
            </w:r>
            <w:r>
              <w:rPr>
                <w:rFonts w:hint="default" w:ascii="Times New Roman" w:hAnsi="Times New Roman" w:eastAsia="仿宋_GB2312"/>
                <w:bCs/>
                <w:sz w:val="22"/>
              </w:rPr>
              <w:t>2025</w:t>
            </w:r>
            <w:r>
              <w:rPr>
                <w:rFonts w:hint="eastAsia" w:ascii="Times New Roman" w:hAnsi="Times New Roman" w:eastAsia="仿宋_GB2312"/>
                <w:bCs/>
                <w:sz w:val="22"/>
              </w:rPr>
              <w:t>年部门决算分析报告等资料显示，</w:t>
            </w:r>
            <w:r>
              <w:rPr>
                <w:rFonts w:hint="default" w:ascii="Times New Roman" w:hAnsi="Times New Roman" w:eastAsia="仿宋_GB2312"/>
                <w:bCs/>
                <w:sz w:val="22"/>
              </w:rPr>
              <w:t>2025</w:t>
            </w:r>
            <w:r>
              <w:rPr>
                <w:rFonts w:hint="eastAsia" w:ascii="Times New Roman" w:hAnsi="Times New Roman" w:eastAsia="仿宋_GB2312"/>
                <w:bCs/>
                <w:sz w:val="22"/>
              </w:rPr>
              <w:t>年度喀什市市场监督管理局重点工作：本年度计划抽检不少于</w:t>
            </w:r>
            <w:r>
              <w:rPr>
                <w:rFonts w:hint="default" w:ascii="Times New Roman" w:hAnsi="Times New Roman" w:eastAsia="仿宋_GB2312"/>
                <w:bCs/>
                <w:sz w:val="22"/>
              </w:rPr>
              <w:t>1016</w:t>
            </w:r>
            <w:r>
              <w:rPr>
                <w:rFonts w:hint="eastAsia" w:ascii="Times New Roman" w:hAnsi="Times New Roman" w:eastAsia="仿宋_GB2312"/>
                <w:bCs/>
                <w:sz w:val="22"/>
              </w:rPr>
              <w:t>批次，抽检信息公布率达</w:t>
            </w:r>
            <w:r>
              <w:rPr>
                <w:rFonts w:hint="default" w:ascii="Times New Roman" w:hAnsi="Times New Roman" w:eastAsia="仿宋_GB2312"/>
                <w:bCs/>
                <w:sz w:val="22"/>
              </w:rPr>
              <w:t>100%</w:t>
            </w:r>
            <w:r>
              <w:rPr>
                <w:rFonts w:hint="eastAsia" w:ascii="Times New Roman" w:hAnsi="Times New Roman" w:eastAsia="仿宋_GB2312"/>
                <w:bCs/>
                <w:sz w:val="22"/>
              </w:rPr>
              <w:t>，药械化抽样任务完成率达到</w:t>
            </w:r>
            <w:r>
              <w:rPr>
                <w:rFonts w:hint="default" w:ascii="Times New Roman" w:hAnsi="Times New Roman" w:eastAsia="仿宋_GB2312"/>
                <w:bCs/>
                <w:sz w:val="22"/>
              </w:rPr>
              <w:t>100%</w:t>
            </w:r>
            <w:r>
              <w:rPr>
                <w:rFonts w:hint="eastAsia" w:ascii="Times New Roman" w:hAnsi="Times New Roman" w:eastAsia="仿宋_GB2312"/>
                <w:bCs/>
                <w:sz w:val="22"/>
              </w:rPr>
              <w:t>，年底前实现全市七大类</w:t>
            </w:r>
            <w:r>
              <w:rPr>
                <w:rFonts w:hint="default" w:ascii="Times New Roman" w:hAnsi="Times New Roman" w:eastAsia="仿宋_GB2312"/>
                <w:bCs/>
                <w:sz w:val="22"/>
              </w:rPr>
              <w:t>8200</w:t>
            </w:r>
            <w:r>
              <w:rPr>
                <w:rFonts w:hint="eastAsia" w:ascii="Times New Roman" w:hAnsi="Times New Roman" w:eastAsia="仿宋_GB2312"/>
                <w:bCs/>
                <w:sz w:val="22"/>
              </w:rPr>
              <w:t>余台特种设备定检率不少于</w:t>
            </w:r>
            <w:r>
              <w:rPr>
                <w:rFonts w:hint="default" w:ascii="Times New Roman" w:hAnsi="Times New Roman" w:eastAsia="仿宋_GB2312"/>
                <w:bCs/>
                <w:sz w:val="22"/>
              </w:rPr>
              <w:t>95%</w:t>
            </w:r>
            <w:r>
              <w:rPr>
                <w:rFonts w:hint="eastAsia" w:ascii="Times New Roman" w:hAnsi="Times New Roman" w:eastAsia="仿宋_GB2312"/>
                <w:bCs/>
                <w:sz w:val="22"/>
              </w:rPr>
              <w:t>，特种设备注册登记率不少于</w:t>
            </w:r>
            <w:r>
              <w:rPr>
                <w:rFonts w:hint="default" w:ascii="Times New Roman" w:hAnsi="Times New Roman" w:eastAsia="仿宋_GB2312"/>
                <w:bCs/>
                <w:sz w:val="22"/>
              </w:rPr>
              <w:t>99%</w:t>
            </w:r>
            <w:r>
              <w:rPr>
                <w:rFonts w:hint="eastAsia" w:ascii="Times New Roman" w:hAnsi="Times New Roman" w:eastAsia="仿宋_GB2312"/>
                <w:bCs/>
                <w:sz w:val="22"/>
              </w:rPr>
              <w:t>，年底前商标有效注册量不少于</w:t>
            </w:r>
            <w:r>
              <w:rPr>
                <w:rFonts w:hint="default" w:ascii="Times New Roman" w:hAnsi="Times New Roman" w:eastAsia="仿宋_GB2312"/>
                <w:bCs/>
                <w:sz w:val="22"/>
              </w:rPr>
              <w:t>19389</w:t>
            </w:r>
            <w:r>
              <w:rPr>
                <w:rFonts w:hint="eastAsia" w:ascii="Times New Roman" w:hAnsi="Times New Roman" w:eastAsia="仿宋_GB2312"/>
                <w:bCs/>
                <w:sz w:val="22"/>
              </w:rPr>
              <w:t>件，做好</w:t>
            </w:r>
            <w:r>
              <w:rPr>
                <w:rFonts w:hint="default" w:ascii="Times New Roman" w:hAnsi="Times New Roman" w:eastAsia="仿宋_GB2312"/>
                <w:bCs/>
                <w:sz w:val="22"/>
              </w:rPr>
              <w:t>12315</w:t>
            </w:r>
            <w:r>
              <w:rPr>
                <w:rFonts w:hint="eastAsia" w:ascii="Times New Roman" w:hAnsi="Times New Roman" w:eastAsia="仿宋_GB2312"/>
                <w:bCs/>
                <w:sz w:val="22"/>
              </w:rPr>
              <w:t>投诉举报平台受理化解和</w:t>
            </w:r>
            <w:r>
              <w:rPr>
                <w:rFonts w:hint="default" w:ascii="Times New Roman" w:hAnsi="Times New Roman" w:eastAsia="仿宋_GB2312"/>
                <w:bCs/>
                <w:sz w:val="22"/>
              </w:rPr>
              <w:t>12345</w:t>
            </w:r>
            <w:r>
              <w:rPr>
                <w:rFonts w:hint="eastAsia" w:ascii="Times New Roman" w:hAnsi="Times New Roman" w:eastAsia="仿宋_GB2312"/>
                <w:bCs/>
                <w:sz w:val="22"/>
              </w:rPr>
              <w:t>转办处理工作，确保办结率达到</w:t>
            </w:r>
            <w:r>
              <w:rPr>
                <w:rFonts w:hint="default" w:ascii="Times New Roman" w:hAnsi="Times New Roman" w:eastAsia="仿宋_GB2312"/>
                <w:bCs/>
                <w:sz w:val="22"/>
              </w:rPr>
              <w:t>100%</w:t>
            </w:r>
            <w:r>
              <w:rPr>
                <w:rFonts w:hint="eastAsia" w:ascii="Times New Roman" w:hAnsi="Times New Roman" w:eastAsia="仿宋_GB2312"/>
                <w:bCs/>
                <w:sz w:val="22"/>
              </w:rPr>
              <w:t>，开展</w:t>
            </w:r>
            <w:r>
              <w:rPr>
                <w:rFonts w:hint="default" w:ascii="Times New Roman" w:hAnsi="Times New Roman" w:eastAsia="仿宋_GB2312"/>
                <w:bCs/>
                <w:sz w:val="22"/>
              </w:rPr>
              <w:t>3</w:t>
            </w:r>
            <w:r>
              <w:rPr>
                <w:rFonts w:hint="eastAsia" w:ascii="Times New Roman" w:hAnsi="Times New Roman" w:eastAsia="仿宋_GB2312"/>
                <w:bCs/>
                <w:sz w:val="22"/>
              </w:rPr>
              <w:t>·</w:t>
            </w:r>
            <w:r>
              <w:rPr>
                <w:rFonts w:hint="default" w:ascii="Times New Roman" w:hAnsi="Times New Roman" w:eastAsia="仿宋_GB2312"/>
                <w:bCs/>
                <w:sz w:val="22"/>
              </w:rPr>
              <w:t>15</w:t>
            </w:r>
            <w:r>
              <w:rPr>
                <w:rFonts w:hint="eastAsia" w:ascii="Times New Roman" w:hAnsi="Times New Roman" w:eastAsia="仿宋_GB2312"/>
                <w:bCs/>
                <w:sz w:val="22"/>
              </w:rPr>
              <w:t>消费者权益日等重要节点的</w:t>
            </w:r>
            <w:r>
              <w:rPr>
                <w:rFonts w:hint="default" w:ascii="Times New Roman" w:hAnsi="Times New Roman" w:eastAsia="仿宋_GB2312"/>
                <w:bCs/>
                <w:sz w:val="22"/>
              </w:rPr>
              <w:t>12</w:t>
            </w:r>
            <w:r>
              <w:rPr>
                <w:rFonts w:hint="eastAsia" w:ascii="Times New Roman" w:hAnsi="Times New Roman" w:eastAsia="仿宋_GB2312"/>
                <w:bCs/>
                <w:sz w:val="22"/>
              </w:rPr>
              <w:t>项主题宣传活动。</w:t>
            </w:r>
          </w:p>
        </w:tc>
        <w:tc>
          <w:tcPr>
            <w:tcW w:w="219" w:type="pct"/>
            <w:vMerge w:val="restart"/>
            <w:vAlign w:val="center"/>
          </w:tcPr>
          <w:p w14:paraId="7F7E4E6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w:t>
            </w:r>
          </w:p>
        </w:tc>
        <w:tc>
          <w:tcPr>
            <w:tcW w:w="259" w:type="pct"/>
            <w:vMerge w:val="restart"/>
            <w:vAlign w:val="center"/>
          </w:tcPr>
          <w:p w14:paraId="2B93C5A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2</w:t>
            </w:r>
          </w:p>
        </w:tc>
        <w:tc>
          <w:tcPr>
            <w:tcW w:w="366" w:type="pct"/>
            <w:gridSpan w:val="2"/>
            <w:vMerge w:val="restart"/>
            <w:vAlign w:val="center"/>
          </w:tcPr>
          <w:p w14:paraId="5F125C8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66.67%</w:t>
            </w:r>
          </w:p>
        </w:tc>
        <w:tc>
          <w:tcPr>
            <w:tcW w:w="369" w:type="pct"/>
            <w:vMerge w:val="restart"/>
            <w:vAlign w:val="center"/>
          </w:tcPr>
          <w:p w14:paraId="5E747E1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年度重点工作任务消费者投诉举报办结率未完成</w:t>
            </w:r>
          </w:p>
        </w:tc>
      </w:tr>
      <w:tr w14:paraId="1B82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24E54A5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0B62B88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Merge w:val="continue"/>
            <w:vAlign w:val="center"/>
          </w:tcPr>
          <w:p w14:paraId="654D548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175" w:type="pct"/>
            <w:vMerge w:val="continue"/>
            <w:vAlign w:val="center"/>
          </w:tcPr>
          <w:p w14:paraId="62B192B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38" w:type="pct"/>
            <w:vMerge w:val="continue"/>
            <w:vAlign w:val="center"/>
          </w:tcPr>
          <w:p w14:paraId="5155789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280" w:type="pct"/>
            <w:vMerge w:val="continue"/>
            <w:vAlign w:val="center"/>
          </w:tcPr>
          <w:p w14:paraId="57007FC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27" w:type="pct"/>
            <w:gridSpan w:val="2"/>
            <w:vMerge w:val="continue"/>
            <w:vAlign w:val="center"/>
          </w:tcPr>
          <w:p w14:paraId="49334C0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05" w:type="pct"/>
            <w:vMerge w:val="continue"/>
            <w:vAlign w:val="center"/>
          </w:tcPr>
          <w:p w14:paraId="4FF8E57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1141" w:type="pct"/>
            <w:vAlign w:val="center"/>
          </w:tcPr>
          <w:p w14:paraId="40F2194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eastAsia" w:ascii="Times New Roman" w:hAnsi="Times New Roman" w:eastAsia="仿宋_GB2312"/>
                <w:bCs/>
                <w:sz w:val="22"/>
              </w:rPr>
              <w:t>2025年全年已开展食品安全监督抽检1016批次，抽检信息公布率达到100%；药械化抽样任务完成率达到100%；年底前已实现特种设备定检率达到99.56%，特种设备注册登记率达到99.19%，全年不发生重特大特种设备安全事故；年底前商标有效注册量达到21514件；全年共受理投诉举报8078件，已办结7797件，办结率达到96.52%；开展3·15消费者权益日等重要节点的12项主题宣传活动，普法宣传效果明显。</w:t>
            </w:r>
            <w:r>
              <w:rPr>
                <w:rFonts w:hint="default" w:ascii="Times New Roman" w:hAnsi="Times New Roman" w:eastAsia="仿宋_GB2312"/>
                <w:bCs/>
                <w:sz w:val="22"/>
              </w:rPr>
              <w:t>综上所述，根据评分标准</w:t>
            </w:r>
            <w:r>
              <w:rPr>
                <w:rFonts w:hint="eastAsia" w:ascii="Times New Roman" w:hAnsi="Times New Roman" w:eastAsia="仿宋_GB2312"/>
                <w:bCs/>
                <w:sz w:val="22"/>
              </w:rPr>
              <w:t>，</w:t>
            </w:r>
            <w:r>
              <w:rPr>
                <w:rFonts w:hint="default" w:ascii="Times New Roman" w:hAnsi="Times New Roman" w:eastAsia="仿宋_GB2312"/>
                <w:bCs/>
                <w:sz w:val="22"/>
              </w:rPr>
              <w:t>该指标</w:t>
            </w:r>
            <w:r>
              <w:rPr>
                <w:rFonts w:hint="eastAsia" w:ascii="Times New Roman" w:hAnsi="Times New Roman" w:eastAsia="仿宋_GB2312"/>
                <w:bCs/>
                <w:sz w:val="22"/>
              </w:rPr>
              <w:t>扣1</w:t>
            </w:r>
            <w:r>
              <w:rPr>
                <w:rFonts w:hint="default" w:ascii="Times New Roman" w:hAnsi="Times New Roman" w:eastAsia="仿宋_GB2312"/>
                <w:bCs/>
                <w:sz w:val="22"/>
              </w:rPr>
              <w:t>分，得2分。</w:t>
            </w:r>
          </w:p>
        </w:tc>
        <w:tc>
          <w:tcPr>
            <w:tcW w:w="219" w:type="pct"/>
            <w:vMerge w:val="continue"/>
            <w:vAlign w:val="center"/>
          </w:tcPr>
          <w:p w14:paraId="22C0839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259" w:type="pct"/>
            <w:vMerge w:val="continue"/>
            <w:vAlign w:val="center"/>
          </w:tcPr>
          <w:p w14:paraId="4E845C8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66" w:type="pct"/>
            <w:gridSpan w:val="2"/>
            <w:vMerge w:val="continue"/>
            <w:vAlign w:val="center"/>
          </w:tcPr>
          <w:p w14:paraId="46DE240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69" w:type="pct"/>
            <w:vMerge w:val="continue"/>
            <w:vAlign w:val="center"/>
          </w:tcPr>
          <w:p w14:paraId="5319B00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66AC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239" w:type="pct"/>
            <w:vMerge w:val="continue"/>
            <w:vAlign w:val="center"/>
          </w:tcPr>
          <w:p w14:paraId="692424C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restart"/>
            <w:vAlign w:val="center"/>
          </w:tcPr>
          <w:p w14:paraId="2AA41B0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基本经费成本控制</w:t>
            </w:r>
          </w:p>
        </w:tc>
        <w:tc>
          <w:tcPr>
            <w:tcW w:w="454" w:type="pct"/>
            <w:vAlign w:val="center"/>
          </w:tcPr>
          <w:p w14:paraId="74AD6D2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“三公”经费控制率</w:t>
            </w:r>
          </w:p>
        </w:tc>
        <w:tc>
          <w:tcPr>
            <w:tcW w:w="175" w:type="pct"/>
            <w:vAlign w:val="center"/>
          </w:tcPr>
          <w:p w14:paraId="3C413EF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2</w:t>
            </w:r>
          </w:p>
        </w:tc>
        <w:tc>
          <w:tcPr>
            <w:tcW w:w="338" w:type="pct"/>
            <w:vAlign w:val="center"/>
          </w:tcPr>
          <w:p w14:paraId="2E18925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考察“三公”经费使用情况</w:t>
            </w:r>
          </w:p>
        </w:tc>
        <w:tc>
          <w:tcPr>
            <w:tcW w:w="280" w:type="pct"/>
            <w:vAlign w:val="center"/>
          </w:tcPr>
          <w:p w14:paraId="7FB412C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100%</w:t>
            </w:r>
          </w:p>
        </w:tc>
        <w:tc>
          <w:tcPr>
            <w:tcW w:w="427" w:type="pct"/>
            <w:gridSpan w:val="2"/>
            <w:vAlign w:val="center"/>
          </w:tcPr>
          <w:p w14:paraId="3A41A5C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“三公”经费控制率=（“三公”经费实际支出数/</w:t>
            </w:r>
          </w:p>
          <w:p w14:paraId="0381876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“三公”经费预算安排数）×100%。“三公”经费</w:t>
            </w:r>
          </w:p>
          <w:p w14:paraId="1B34588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控制率≤100%，得2分，＞100%不得分；</w:t>
            </w:r>
          </w:p>
        </w:tc>
        <w:tc>
          <w:tcPr>
            <w:tcW w:w="405" w:type="pct"/>
            <w:vAlign w:val="center"/>
          </w:tcPr>
          <w:p w14:paraId="4235124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“三公”经费</w:t>
            </w:r>
          </w:p>
          <w:p w14:paraId="090B027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控制率≤100%，得2分，＞100%不得分；</w:t>
            </w:r>
          </w:p>
        </w:tc>
        <w:tc>
          <w:tcPr>
            <w:tcW w:w="1141" w:type="pct"/>
            <w:vAlign w:val="center"/>
          </w:tcPr>
          <w:p w14:paraId="066A4C7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default" w:ascii="Times New Roman" w:hAnsi="Times New Roman" w:eastAsia="仿宋_GB2312"/>
                <w:bCs/>
                <w:sz w:val="22"/>
              </w:rPr>
              <w:t>根据喀什</w:t>
            </w:r>
            <w:r>
              <w:rPr>
                <w:rFonts w:hint="eastAsia" w:ascii="Times New Roman" w:hAnsi="Times New Roman" w:eastAsia="仿宋_GB2312"/>
                <w:bCs/>
                <w:sz w:val="22"/>
              </w:rPr>
              <w:t>市市场监督管理局</w:t>
            </w:r>
            <w:r>
              <w:rPr>
                <w:rFonts w:hint="default" w:ascii="Times New Roman" w:hAnsi="Times New Roman" w:eastAsia="仿宋_GB2312"/>
                <w:bCs/>
                <w:sz w:val="22"/>
              </w:rPr>
              <w:t>提供的202</w:t>
            </w:r>
            <w:r>
              <w:rPr>
                <w:rFonts w:hint="eastAsia" w:ascii="Times New Roman" w:hAnsi="Times New Roman" w:eastAsia="仿宋_GB2312"/>
                <w:bCs/>
                <w:sz w:val="22"/>
              </w:rPr>
              <w:t>5</w:t>
            </w:r>
            <w:r>
              <w:rPr>
                <w:rFonts w:hint="default" w:ascii="Times New Roman" w:hAnsi="Times New Roman" w:eastAsia="仿宋_GB2312"/>
                <w:bCs/>
                <w:sz w:val="22"/>
              </w:rPr>
              <w:t>年部门预算公开报告</w:t>
            </w:r>
            <w:r>
              <w:rPr>
                <w:rFonts w:hint="eastAsia" w:ascii="Times New Roman" w:hAnsi="Times New Roman" w:eastAsia="仿宋_GB2312"/>
                <w:bCs/>
                <w:sz w:val="22"/>
              </w:rPr>
              <w:t>、</w:t>
            </w:r>
            <w:r>
              <w:rPr>
                <w:rFonts w:hint="default" w:ascii="Times New Roman" w:hAnsi="Times New Roman" w:eastAsia="仿宋_GB2312"/>
                <w:bCs/>
                <w:sz w:val="22"/>
              </w:rPr>
              <w:t>202</w:t>
            </w:r>
            <w:r>
              <w:rPr>
                <w:rFonts w:hint="eastAsia" w:ascii="Times New Roman" w:hAnsi="Times New Roman" w:eastAsia="仿宋_GB2312"/>
                <w:bCs/>
                <w:sz w:val="22"/>
              </w:rPr>
              <w:t>5</w:t>
            </w:r>
            <w:r>
              <w:rPr>
                <w:rFonts w:hint="default" w:ascii="Times New Roman" w:hAnsi="Times New Roman" w:eastAsia="仿宋_GB2312"/>
                <w:bCs/>
                <w:sz w:val="22"/>
              </w:rPr>
              <w:t>年部门决算分析报告及决算报表显示，</w:t>
            </w:r>
            <w:r>
              <w:rPr>
                <w:rFonts w:hint="eastAsia" w:ascii="Times New Roman" w:hAnsi="Times New Roman" w:eastAsia="仿宋_GB2312"/>
                <w:bCs/>
                <w:sz w:val="22"/>
              </w:rPr>
              <w:t>喀什市市场监督管理局2025年</w:t>
            </w:r>
            <w:r>
              <w:rPr>
                <w:rFonts w:hint="default" w:ascii="Times New Roman" w:hAnsi="Times New Roman" w:eastAsia="仿宋_GB2312"/>
                <w:bCs/>
                <w:sz w:val="22"/>
              </w:rPr>
              <w:t>“三公”经费</w:t>
            </w:r>
            <w:r>
              <w:rPr>
                <w:rFonts w:hint="eastAsia" w:ascii="Times New Roman" w:hAnsi="Times New Roman" w:eastAsia="仿宋_GB2312"/>
                <w:bCs/>
                <w:sz w:val="22"/>
              </w:rPr>
              <w:t>的主要来源为一般公共预算财政拨款收入，“三公”经费预算为10.5万元，实际支出数为10.5万元，主要用于公务用车运行维护费用，</w:t>
            </w:r>
            <w:r>
              <w:rPr>
                <w:rFonts w:hint="default" w:ascii="Times New Roman" w:hAnsi="Times New Roman" w:eastAsia="仿宋_GB2312"/>
                <w:bCs/>
                <w:sz w:val="22"/>
              </w:rPr>
              <w:t>“三公”经费控制率</w:t>
            </w:r>
            <w:r>
              <w:rPr>
                <w:rFonts w:hint="eastAsia" w:ascii="Times New Roman" w:hAnsi="Times New Roman" w:eastAsia="仿宋_GB2312"/>
                <w:bCs/>
                <w:sz w:val="22"/>
              </w:rPr>
              <w:t>=（</w:t>
            </w:r>
            <w:r>
              <w:rPr>
                <w:rFonts w:hint="default" w:ascii="Times New Roman" w:hAnsi="Times New Roman" w:eastAsia="仿宋_GB2312"/>
                <w:bCs/>
                <w:sz w:val="22"/>
              </w:rPr>
              <w:t>“三公”经费实际支出数/“三公”经费预算安排数</w:t>
            </w:r>
            <w:r>
              <w:rPr>
                <w:rFonts w:hint="eastAsia" w:ascii="Times New Roman" w:hAnsi="Times New Roman" w:eastAsia="仿宋_GB2312"/>
                <w:bCs/>
                <w:sz w:val="22"/>
              </w:rPr>
              <w:t>）</w:t>
            </w:r>
            <w:r>
              <w:rPr>
                <w:rFonts w:hint="default" w:ascii="Times New Roman" w:hAnsi="Times New Roman" w:eastAsia="仿宋_GB2312"/>
                <w:bCs/>
                <w:sz w:val="22"/>
              </w:rPr>
              <w:t>×100%</w:t>
            </w:r>
            <w:r>
              <w:rPr>
                <w:rFonts w:hint="eastAsia" w:ascii="Times New Roman" w:hAnsi="Times New Roman" w:eastAsia="仿宋_GB2312"/>
                <w:bCs/>
                <w:sz w:val="22"/>
              </w:rPr>
              <w:t>=（10.5万元/10.5万元）</w:t>
            </w:r>
            <w:r>
              <w:rPr>
                <w:rFonts w:hint="default" w:ascii="Times New Roman" w:hAnsi="Times New Roman" w:eastAsia="仿宋_GB2312"/>
                <w:bCs/>
                <w:sz w:val="22"/>
              </w:rPr>
              <w:t>×100%</w:t>
            </w:r>
            <w:r>
              <w:rPr>
                <w:rFonts w:hint="eastAsia" w:ascii="Times New Roman" w:hAnsi="Times New Roman" w:eastAsia="仿宋_GB2312"/>
                <w:bCs/>
                <w:sz w:val="22"/>
              </w:rPr>
              <w:t>=100%，“三公”经费控制率等于100%。</w:t>
            </w:r>
            <w:r>
              <w:rPr>
                <w:rFonts w:hint="default" w:ascii="Times New Roman" w:hAnsi="Times New Roman" w:eastAsia="仿宋_GB2312"/>
                <w:bCs/>
                <w:sz w:val="22"/>
              </w:rPr>
              <w:t>综上所述，根据评分标准</w:t>
            </w:r>
            <w:r>
              <w:rPr>
                <w:rFonts w:hint="eastAsia" w:ascii="Times New Roman" w:hAnsi="Times New Roman" w:eastAsia="仿宋_GB2312"/>
                <w:bCs/>
                <w:sz w:val="22"/>
              </w:rPr>
              <w:t>，</w:t>
            </w:r>
            <w:r>
              <w:rPr>
                <w:rFonts w:hint="default" w:ascii="Times New Roman" w:hAnsi="Times New Roman" w:eastAsia="仿宋_GB2312"/>
                <w:bCs/>
                <w:sz w:val="22"/>
              </w:rPr>
              <w:t>该指标</w:t>
            </w:r>
            <w:r>
              <w:rPr>
                <w:rFonts w:hint="eastAsia" w:ascii="Times New Roman" w:hAnsi="Times New Roman" w:eastAsia="仿宋_GB2312"/>
                <w:bCs/>
                <w:sz w:val="22"/>
              </w:rPr>
              <w:t>不扣</w:t>
            </w:r>
            <w:r>
              <w:rPr>
                <w:rFonts w:hint="default" w:ascii="Times New Roman" w:hAnsi="Times New Roman" w:eastAsia="仿宋_GB2312"/>
                <w:bCs/>
                <w:sz w:val="22"/>
              </w:rPr>
              <w:t>分，得</w:t>
            </w:r>
            <w:r>
              <w:rPr>
                <w:rFonts w:hint="eastAsia" w:ascii="Times New Roman" w:hAnsi="Times New Roman" w:eastAsia="仿宋_GB2312"/>
                <w:bCs/>
                <w:sz w:val="22"/>
              </w:rPr>
              <w:t>2</w:t>
            </w:r>
            <w:r>
              <w:rPr>
                <w:rFonts w:hint="default" w:ascii="Times New Roman" w:hAnsi="Times New Roman" w:eastAsia="仿宋_GB2312"/>
                <w:bCs/>
                <w:sz w:val="22"/>
              </w:rPr>
              <w:t>分。</w:t>
            </w:r>
          </w:p>
        </w:tc>
        <w:tc>
          <w:tcPr>
            <w:tcW w:w="219" w:type="pct"/>
            <w:vAlign w:val="center"/>
          </w:tcPr>
          <w:p w14:paraId="37039A9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204F53C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2</w:t>
            </w:r>
          </w:p>
        </w:tc>
        <w:tc>
          <w:tcPr>
            <w:tcW w:w="366" w:type="pct"/>
            <w:gridSpan w:val="2"/>
            <w:vAlign w:val="center"/>
          </w:tcPr>
          <w:p w14:paraId="1E4DAB7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24B8F57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18E5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06F9300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20B3514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1A4121F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日常公用经费控制率</w:t>
            </w:r>
          </w:p>
        </w:tc>
        <w:tc>
          <w:tcPr>
            <w:tcW w:w="175" w:type="pct"/>
            <w:vAlign w:val="center"/>
          </w:tcPr>
          <w:p w14:paraId="4FC134D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2</w:t>
            </w:r>
          </w:p>
        </w:tc>
        <w:tc>
          <w:tcPr>
            <w:tcW w:w="338" w:type="pct"/>
            <w:vAlign w:val="center"/>
          </w:tcPr>
          <w:p w14:paraId="4215A8E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考察日常公用经费使用是否合规；考察日常办公经费实际控制程度</w:t>
            </w:r>
          </w:p>
        </w:tc>
        <w:tc>
          <w:tcPr>
            <w:tcW w:w="280" w:type="pct"/>
            <w:vAlign w:val="center"/>
          </w:tcPr>
          <w:p w14:paraId="53FC61C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100%</w:t>
            </w:r>
          </w:p>
        </w:tc>
        <w:tc>
          <w:tcPr>
            <w:tcW w:w="427" w:type="pct"/>
            <w:gridSpan w:val="2"/>
            <w:vAlign w:val="center"/>
          </w:tcPr>
          <w:p w14:paraId="143F14C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日常“公用经费”控制率=（本年度“公用经费”总额-上年度“公用经费”总额）/上年度“公用经费”总额×100%。日常“公用经费”控制率≤100%</w:t>
            </w:r>
          </w:p>
          <w:p w14:paraId="530D3D8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得2分，＞100%不得分。</w:t>
            </w:r>
          </w:p>
        </w:tc>
        <w:tc>
          <w:tcPr>
            <w:tcW w:w="405" w:type="pct"/>
            <w:vAlign w:val="center"/>
          </w:tcPr>
          <w:p w14:paraId="3DFE746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日常“公用经费”控制率≤100%</w:t>
            </w:r>
          </w:p>
          <w:p w14:paraId="65C57A9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得2分，＞100%不得分。</w:t>
            </w:r>
          </w:p>
        </w:tc>
        <w:tc>
          <w:tcPr>
            <w:tcW w:w="1141" w:type="pct"/>
            <w:vAlign w:val="center"/>
          </w:tcPr>
          <w:p w14:paraId="63FE1DB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bCs/>
                <w:sz w:val="22"/>
              </w:rPr>
            </w:pPr>
            <w:r>
              <w:rPr>
                <w:rFonts w:hint="default" w:ascii="Times New Roman" w:hAnsi="Times New Roman" w:eastAsia="仿宋_GB2312"/>
                <w:bCs/>
                <w:sz w:val="22"/>
              </w:rPr>
              <w:t>根据喀什</w:t>
            </w:r>
            <w:r>
              <w:rPr>
                <w:rFonts w:hint="eastAsia" w:ascii="Times New Roman" w:hAnsi="Times New Roman" w:eastAsia="仿宋_GB2312"/>
                <w:bCs/>
                <w:sz w:val="22"/>
              </w:rPr>
              <w:t>市市场监督管理局</w:t>
            </w:r>
            <w:r>
              <w:rPr>
                <w:rFonts w:hint="default" w:ascii="Times New Roman" w:hAnsi="Times New Roman" w:eastAsia="仿宋_GB2312"/>
                <w:bCs/>
                <w:sz w:val="22"/>
              </w:rPr>
              <w:t>提供的</w:t>
            </w:r>
            <w:r>
              <w:rPr>
                <w:rFonts w:hint="eastAsia" w:ascii="Times New Roman" w:hAnsi="Times New Roman" w:eastAsia="仿宋_GB2312"/>
                <w:bCs/>
                <w:sz w:val="22"/>
              </w:rPr>
              <w:t>2024年决算报表、</w:t>
            </w:r>
            <w:r>
              <w:rPr>
                <w:rFonts w:hint="default" w:ascii="Times New Roman" w:hAnsi="Times New Roman" w:eastAsia="仿宋_GB2312"/>
                <w:bCs/>
                <w:sz w:val="22"/>
              </w:rPr>
              <w:t>202</w:t>
            </w:r>
            <w:r>
              <w:rPr>
                <w:rFonts w:hint="eastAsia" w:ascii="Times New Roman" w:hAnsi="Times New Roman" w:eastAsia="仿宋_GB2312"/>
                <w:bCs/>
                <w:sz w:val="22"/>
              </w:rPr>
              <w:t>5</w:t>
            </w:r>
            <w:r>
              <w:rPr>
                <w:rFonts w:hint="default" w:ascii="Times New Roman" w:hAnsi="Times New Roman" w:eastAsia="仿宋_GB2312"/>
                <w:bCs/>
                <w:sz w:val="22"/>
              </w:rPr>
              <w:t>年部门决算分析报告及决算报表显示，</w:t>
            </w:r>
            <w:r>
              <w:rPr>
                <w:rFonts w:hint="eastAsia" w:ascii="Times New Roman" w:hAnsi="Times New Roman" w:eastAsia="仿宋_GB2312"/>
                <w:bCs/>
                <w:sz w:val="22"/>
              </w:rPr>
              <w:t>喀什市市场监督管理局2024年日常“公用经费</w:t>
            </w:r>
            <w:r>
              <w:rPr>
                <w:rFonts w:hint="default" w:ascii="Times New Roman" w:hAnsi="Times New Roman" w:eastAsia="仿宋_GB2312"/>
                <w:bCs/>
                <w:sz w:val="22"/>
              </w:rPr>
              <w:t>”</w:t>
            </w:r>
            <w:r>
              <w:rPr>
                <w:rFonts w:hint="eastAsia" w:ascii="Times New Roman" w:hAnsi="Times New Roman" w:eastAsia="仿宋_GB2312"/>
                <w:bCs/>
                <w:sz w:val="22"/>
              </w:rPr>
              <w:t>总额为64.29万元，2025年日常“公用经费</w:t>
            </w:r>
            <w:r>
              <w:rPr>
                <w:rFonts w:hint="default" w:ascii="Times New Roman" w:hAnsi="Times New Roman" w:eastAsia="仿宋_GB2312"/>
                <w:bCs/>
                <w:sz w:val="22"/>
              </w:rPr>
              <w:t>”</w:t>
            </w:r>
            <w:r>
              <w:rPr>
                <w:rFonts w:hint="eastAsia" w:ascii="Times New Roman" w:hAnsi="Times New Roman" w:eastAsia="仿宋_GB2312"/>
                <w:bCs/>
                <w:sz w:val="22"/>
              </w:rPr>
              <w:t>总额为62.88万元，</w:t>
            </w:r>
            <w:r>
              <w:rPr>
                <w:rFonts w:hint="default" w:ascii="Times New Roman" w:hAnsi="Times New Roman" w:eastAsia="仿宋_GB2312"/>
                <w:bCs/>
                <w:sz w:val="22"/>
              </w:rPr>
              <w:t>日常“公用经费”控制率=〔（</w:t>
            </w:r>
            <w:r>
              <w:rPr>
                <w:rFonts w:hint="eastAsia" w:ascii="Times New Roman" w:hAnsi="Times New Roman" w:eastAsia="仿宋_GB2312"/>
                <w:bCs/>
                <w:sz w:val="22"/>
              </w:rPr>
              <w:t>本</w:t>
            </w:r>
            <w:r>
              <w:rPr>
                <w:rFonts w:hint="default" w:ascii="Times New Roman" w:hAnsi="Times New Roman" w:eastAsia="仿宋_GB2312"/>
                <w:bCs/>
                <w:sz w:val="22"/>
              </w:rPr>
              <w:t>年度“公用经费”总额-上年度“公用经费”总额</w:t>
            </w:r>
            <w:r>
              <w:rPr>
                <w:rFonts w:hint="eastAsia" w:ascii="Times New Roman" w:hAnsi="Times New Roman" w:eastAsia="仿宋_GB2312"/>
                <w:bCs/>
                <w:sz w:val="22"/>
              </w:rPr>
              <w:t>）</w:t>
            </w:r>
            <w:r>
              <w:rPr>
                <w:rFonts w:hint="default" w:ascii="Times New Roman" w:hAnsi="Times New Roman" w:eastAsia="仿宋_GB2312"/>
                <w:bCs/>
                <w:sz w:val="22"/>
              </w:rPr>
              <w:t>/上年度“公用经费”总额〕×100%</w:t>
            </w:r>
            <w:r>
              <w:rPr>
                <w:rFonts w:hint="eastAsia" w:ascii="Times New Roman" w:hAnsi="Times New Roman" w:eastAsia="仿宋_GB2312"/>
                <w:bCs/>
                <w:sz w:val="22"/>
              </w:rPr>
              <w:t>=</w:t>
            </w:r>
            <w:r>
              <w:rPr>
                <w:rFonts w:hint="default" w:ascii="Times New Roman" w:hAnsi="Times New Roman" w:eastAsia="仿宋_GB2312"/>
                <w:bCs/>
                <w:sz w:val="22"/>
              </w:rPr>
              <w:t>〔（</w:t>
            </w:r>
            <w:r>
              <w:rPr>
                <w:rFonts w:hint="eastAsia" w:ascii="Times New Roman" w:hAnsi="Times New Roman" w:eastAsia="仿宋_GB2312"/>
                <w:bCs/>
                <w:sz w:val="22"/>
              </w:rPr>
              <w:t>62.88</w:t>
            </w:r>
            <w:r>
              <w:rPr>
                <w:rFonts w:hint="default" w:ascii="Times New Roman" w:hAnsi="Times New Roman" w:eastAsia="仿宋_GB2312"/>
                <w:bCs/>
                <w:sz w:val="22"/>
              </w:rPr>
              <w:t>万元-</w:t>
            </w:r>
            <w:r>
              <w:rPr>
                <w:rFonts w:hint="eastAsia" w:ascii="Times New Roman" w:hAnsi="Times New Roman" w:eastAsia="仿宋_GB2312"/>
                <w:bCs/>
                <w:sz w:val="22"/>
              </w:rPr>
              <w:t>64.29</w:t>
            </w:r>
            <w:r>
              <w:rPr>
                <w:rFonts w:hint="default" w:ascii="Times New Roman" w:hAnsi="Times New Roman" w:eastAsia="仿宋_GB2312"/>
                <w:bCs/>
                <w:sz w:val="22"/>
              </w:rPr>
              <w:t>万元）/</w:t>
            </w:r>
            <w:r>
              <w:rPr>
                <w:rFonts w:hint="eastAsia" w:ascii="Times New Roman" w:hAnsi="Times New Roman" w:eastAsia="仿宋_GB2312"/>
                <w:bCs/>
                <w:sz w:val="22"/>
              </w:rPr>
              <w:t>64.29</w:t>
            </w:r>
            <w:r>
              <w:rPr>
                <w:rFonts w:hint="default" w:ascii="Times New Roman" w:hAnsi="Times New Roman" w:eastAsia="仿宋_GB2312"/>
                <w:bCs/>
                <w:sz w:val="22"/>
              </w:rPr>
              <w:t>万元〕×100%</w:t>
            </w:r>
            <w:r>
              <w:rPr>
                <w:rFonts w:hint="eastAsia" w:ascii="Times New Roman" w:hAnsi="Times New Roman" w:eastAsia="仿宋_GB2312"/>
                <w:bCs/>
                <w:sz w:val="22"/>
              </w:rPr>
              <w:t>=-2.19%，</w:t>
            </w:r>
            <w:r>
              <w:rPr>
                <w:rFonts w:hint="default" w:ascii="Times New Roman" w:hAnsi="Times New Roman" w:eastAsia="仿宋_GB2312"/>
                <w:bCs/>
                <w:sz w:val="22"/>
              </w:rPr>
              <w:t>日常“公用经费”控制率</w:t>
            </w:r>
            <w:r>
              <w:rPr>
                <w:rFonts w:hint="eastAsia" w:ascii="Times New Roman" w:hAnsi="Times New Roman" w:eastAsia="仿宋_GB2312"/>
                <w:bCs/>
                <w:sz w:val="22"/>
              </w:rPr>
              <w:t>小于100%。</w:t>
            </w:r>
            <w:r>
              <w:rPr>
                <w:rFonts w:hint="default" w:ascii="Times New Roman" w:hAnsi="Times New Roman" w:eastAsia="仿宋_GB2312"/>
                <w:bCs/>
                <w:sz w:val="22"/>
              </w:rPr>
              <w:t>综上所述，根据评分标准</w:t>
            </w:r>
            <w:r>
              <w:rPr>
                <w:rFonts w:hint="eastAsia" w:ascii="Times New Roman" w:hAnsi="Times New Roman" w:eastAsia="仿宋_GB2312"/>
                <w:bCs/>
                <w:sz w:val="22"/>
              </w:rPr>
              <w:t>，</w:t>
            </w:r>
            <w:r>
              <w:rPr>
                <w:rFonts w:hint="default" w:ascii="Times New Roman" w:hAnsi="Times New Roman" w:eastAsia="仿宋_GB2312"/>
                <w:bCs/>
                <w:sz w:val="22"/>
              </w:rPr>
              <w:t>该指标</w:t>
            </w:r>
            <w:r>
              <w:rPr>
                <w:rFonts w:hint="eastAsia" w:ascii="Times New Roman" w:hAnsi="Times New Roman" w:eastAsia="仿宋_GB2312"/>
                <w:bCs/>
                <w:sz w:val="22"/>
              </w:rPr>
              <w:t>不扣</w:t>
            </w:r>
            <w:r>
              <w:rPr>
                <w:rFonts w:hint="default" w:ascii="Times New Roman" w:hAnsi="Times New Roman" w:eastAsia="仿宋_GB2312"/>
                <w:bCs/>
                <w:sz w:val="22"/>
              </w:rPr>
              <w:t>分，得</w:t>
            </w:r>
            <w:r>
              <w:rPr>
                <w:rFonts w:hint="eastAsia" w:ascii="Times New Roman" w:hAnsi="Times New Roman" w:eastAsia="仿宋_GB2312"/>
                <w:bCs/>
                <w:sz w:val="22"/>
              </w:rPr>
              <w:t>2</w:t>
            </w:r>
            <w:r>
              <w:rPr>
                <w:rFonts w:hint="default" w:ascii="Times New Roman" w:hAnsi="Times New Roman" w:eastAsia="仿宋_GB2312"/>
                <w:bCs/>
                <w:sz w:val="22"/>
              </w:rPr>
              <w:t>分。</w:t>
            </w:r>
          </w:p>
          <w:p w14:paraId="26C714A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p>
        </w:tc>
        <w:tc>
          <w:tcPr>
            <w:tcW w:w="219" w:type="pct"/>
            <w:vAlign w:val="center"/>
          </w:tcPr>
          <w:p w14:paraId="3E6F36D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4B977B1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2</w:t>
            </w:r>
          </w:p>
        </w:tc>
        <w:tc>
          <w:tcPr>
            <w:tcW w:w="366" w:type="pct"/>
            <w:gridSpan w:val="2"/>
            <w:vAlign w:val="center"/>
          </w:tcPr>
          <w:p w14:paraId="0D5B23C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7C77BEF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0FAD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4544363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restart"/>
            <w:noWrap/>
            <w:vAlign w:val="center"/>
          </w:tcPr>
          <w:p w14:paraId="64E02ED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核心产出</w:t>
            </w:r>
          </w:p>
        </w:tc>
        <w:tc>
          <w:tcPr>
            <w:tcW w:w="454" w:type="pct"/>
            <w:vAlign w:val="center"/>
          </w:tcPr>
          <w:p w14:paraId="077313E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完成年度食品安全监督抽检批次≥1016批次</w:t>
            </w:r>
          </w:p>
        </w:tc>
        <w:tc>
          <w:tcPr>
            <w:tcW w:w="175" w:type="pct"/>
            <w:vAlign w:val="center"/>
          </w:tcPr>
          <w:p w14:paraId="64CE63A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5</w:t>
            </w:r>
          </w:p>
        </w:tc>
        <w:tc>
          <w:tcPr>
            <w:tcW w:w="338" w:type="pct"/>
            <w:vAlign w:val="center"/>
          </w:tcPr>
          <w:p w14:paraId="5CD29B8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考察部门（单位）年度重点项目核心指标完成情况是否达到预期指标值。</w:t>
            </w:r>
          </w:p>
        </w:tc>
        <w:tc>
          <w:tcPr>
            <w:tcW w:w="280" w:type="pct"/>
            <w:vAlign w:val="center"/>
          </w:tcPr>
          <w:p w14:paraId="16A5159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1016批次</w:t>
            </w:r>
          </w:p>
        </w:tc>
        <w:tc>
          <w:tcPr>
            <w:tcW w:w="427" w:type="pct"/>
            <w:gridSpan w:val="2"/>
            <w:vAlign w:val="center"/>
          </w:tcPr>
          <w:p w14:paraId="5639CDE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指标完成率=（实际完成值/预期指标值）×100%，评分标准：①指标完成率大于等于100%，且偏离程度在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405" w:type="pct"/>
            <w:vAlign w:val="center"/>
          </w:tcPr>
          <w:p w14:paraId="029D939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1141" w:type="pct"/>
            <w:vAlign w:val="center"/>
          </w:tcPr>
          <w:p w14:paraId="72335B1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完成年度食品安全监督抽检批次：该指标预期指标值为≥1016批次，</w:t>
            </w:r>
            <w:r>
              <w:rPr>
                <w:rFonts w:hint="default" w:ascii="Times New Roman" w:hAnsi="Times New Roman" w:eastAsia="仿宋_GB2312"/>
                <w:sz w:val="22"/>
              </w:rPr>
              <w:t>根据</w:t>
            </w:r>
            <w:r>
              <w:rPr>
                <w:rFonts w:hint="eastAsia" w:ascii="Times New Roman" w:hAnsi="Times New Roman" w:eastAsia="仿宋_GB2312"/>
                <w:sz w:val="22"/>
              </w:rPr>
              <w:t>喀什市市场监管局提供的《2025年食品安全抽检台账》</w:t>
            </w:r>
            <w:r>
              <w:rPr>
                <w:rFonts w:hint="default" w:ascii="Times New Roman" w:hAnsi="Times New Roman" w:eastAsia="仿宋_GB2312"/>
                <w:sz w:val="22"/>
              </w:rPr>
              <w:t>，</w:t>
            </w:r>
            <w:r>
              <w:rPr>
                <w:rFonts w:hint="eastAsia" w:ascii="Times New Roman" w:hAnsi="Times New Roman" w:eastAsia="仿宋_GB2312"/>
                <w:sz w:val="22"/>
              </w:rPr>
              <w:t>截至2025年12月31日，已完成1016批次食品安全监督抽检，根据公式计算完成率为1016/1016</w:t>
            </w:r>
            <w:r>
              <w:rPr>
                <w:rFonts w:hint="default" w:ascii="Times New Roman" w:hAnsi="Times New Roman" w:eastAsia="仿宋_GB2312"/>
                <w:bCs/>
                <w:sz w:val="22"/>
              </w:rPr>
              <w:t>×</w:t>
            </w:r>
            <w:r>
              <w:rPr>
                <w:rFonts w:hint="eastAsia" w:ascii="Times New Roman" w:hAnsi="Times New Roman" w:eastAsia="仿宋_GB2312"/>
                <w:sz w:val="22"/>
              </w:rPr>
              <w:t>100%=100%。</w:t>
            </w:r>
          </w:p>
          <w:p w14:paraId="373BA39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综上所述，</w:t>
            </w:r>
            <w:r>
              <w:rPr>
                <w:rFonts w:hint="default" w:ascii="Times New Roman" w:hAnsi="Times New Roman" w:eastAsia="仿宋_GB2312"/>
                <w:sz w:val="22"/>
              </w:rPr>
              <w:t>该指标满分为5分，根据评分标准得5分。</w:t>
            </w:r>
          </w:p>
        </w:tc>
        <w:tc>
          <w:tcPr>
            <w:tcW w:w="219" w:type="pct"/>
            <w:vAlign w:val="center"/>
          </w:tcPr>
          <w:p w14:paraId="06005F1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574C601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5</w:t>
            </w:r>
          </w:p>
        </w:tc>
        <w:tc>
          <w:tcPr>
            <w:tcW w:w="366" w:type="pct"/>
            <w:gridSpan w:val="2"/>
            <w:vAlign w:val="center"/>
          </w:tcPr>
          <w:p w14:paraId="280EA2A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5481B94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0FBCD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16E6F44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3536E80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1670BF1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知识产权商标注册数量</w:t>
            </w:r>
            <w:r>
              <w:rPr>
                <w:rFonts w:hint="eastAsia" w:eastAsia="仿宋_GB2312"/>
                <w:sz w:val="22"/>
                <w:lang w:val="en-US" w:eastAsia="zh-CN"/>
              </w:rPr>
              <w:t>≥</w:t>
            </w:r>
            <w:r>
              <w:rPr>
                <w:rFonts w:hint="eastAsia" w:ascii="Times New Roman" w:hAnsi="Times New Roman" w:eastAsia="仿宋_GB2312"/>
                <w:sz w:val="22"/>
              </w:rPr>
              <w:t>19389个</w:t>
            </w:r>
          </w:p>
        </w:tc>
        <w:tc>
          <w:tcPr>
            <w:tcW w:w="175" w:type="pct"/>
            <w:vAlign w:val="center"/>
          </w:tcPr>
          <w:p w14:paraId="7E5EDD8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5</w:t>
            </w:r>
          </w:p>
        </w:tc>
        <w:tc>
          <w:tcPr>
            <w:tcW w:w="338" w:type="pct"/>
            <w:vAlign w:val="center"/>
          </w:tcPr>
          <w:p w14:paraId="18660CB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考察部门（单位）年度重点项目核心指标完成情况是否达到预期指标值。</w:t>
            </w:r>
          </w:p>
        </w:tc>
        <w:tc>
          <w:tcPr>
            <w:tcW w:w="280" w:type="pct"/>
            <w:vAlign w:val="center"/>
          </w:tcPr>
          <w:p w14:paraId="1E01AB0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19389个</w:t>
            </w:r>
          </w:p>
        </w:tc>
        <w:tc>
          <w:tcPr>
            <w:tcW w:w="427" w:type="pct"/>
            <w:gridSpan w:val="2"/>
            <w:vAlign w:val="center"/>
          </w:tcPr>
          <w:p w14:paraId="410C203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指标完成率=（实际完成值/预期指标值）×100%，评分标准：①指标完成率大于等于100%，且偏离程度在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405" w:type="pct"/>
            <w:vAlign w:val="center"/>
          </w:tcPr>
          <w:p w14:paraId="093D8A1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1141" w:type="pct"/>
            <w:vAlign w:val="center"/>
          </w:tcPr>
          <w:p w14:paraId="18E69A1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知识产权商标注册数量：该指标预期指标值为≥19389个，</w:t>
            </w:r>
            <w:r>
              <w:rPr>
                <w:rFonts w:hint="default" w:ascii="Times New Roman" w:hAnsi="Times New Roman" w:eastAsia="仿宋_GB2312"/>
                <w:sz w:val="22"/>
              </w:rPr>
              <w:t>根据</w:t>
            </w:r>
            <w:r>
              <w:rPr>
                <w:rFonts w:hint="eastAsia" w:ascii="Times New Roman" w:hAnsi="Times New Roman" w:eastAsia="仿宋_GB2312"/>
                <w:sz w:val="22"/>
              </w:rPr>
              <w:t>商标注册</w:t>
            </w:r>
            <w:r>
              <w:rPr>
                <w:rFonts w:hint="default" w:ascii="Times New Roman" w:hAnsi="Times New Roman" w:eastAsia="仿宋_GB2312"/>
                <w:sz w:val="22"/>
              </w:rPr>
              <w:t>平台统计</w:t>
            </w:r>
            <w:r>
              <w:rPr>
                <w:rFonts w:hint="eastAsia" w:ascii="Times New Roman" w:hAnsi="Times New Roman" w:eastAsia="仿宋_GB2312"/>
                <w:sz w:val="22"/>
              </w:rPr>
              <w:t>数据及《2025年度喀什市市场监督管理局工作总结》，</w:t>
            </w:r>
            <w:r>
              <w:rPr>
                <w:rFonts w:hint="default" w:ascii="Times New Roman" w:hAnsi="Times New Roman" w:eastAsia="仿宋_GB2312"/>
                <w:sz w:val="22"/>
              </w:rPr>
              <w:t>截至</w:t>
            </w:r>
            <w:r>
              <w:rPr>
                <w:rFonts w:hint="eastAsia" w:ascii="Times New Roman" w:hAnsi="Times New Roman" w:eastAsia="仿宋_GB2312"/>
                <w:sz w:val="22"/>
              </w:rPr>
              <w:t>目前</w:t>
            </w:r>
            <w:r>
              <w:rPr>
                <w:rFonts w:hint="default" w:ascii="Times New Roman" w:hAnsi="Times New Roman" w:eastAsia="仿宋_GB2312"/>
                <w:sz w:val="22"/>
              </w:rPr>
              <w:t>，喀什市商标申请4870件、注册3533件、有效注册量21514件</w:t>
            </w:r>
            <w:r>
              <w:rPr>
                <w:rFonts w:hint="eastAsia" w:ascii="Times New Roman" w:hAnsi="Times New Roman" w:eastAsia="仿宋_GB2312"/>
                <w:sz w:val="22"/>
              </w:rPr>
              <w:t>，根据公式计算完成率为21514/19389</w:t>
            </w:r>
            <w:r>
              <w:rPr>
                <w:rFonts w:hint="default" w:ascii="Times New Roman" w:hAnsi="Times New Roman" w:eastAsia="仿宋_GB2312"/>
                <w:sz w:val="22"/>
              </w:rPr>
              <w:t>×</w:t>
            </w:r>
            <w:r>
              <w:rPr>
                <w:rFonts w:hint="eastAsia" w:ascii="Times New Roman" w:hAnsi="Times New Roman" w:eastAsia="仿宋_GB2312"/>
                <w:sz w:val="22"/>
              </w:rPr>
              <w:t>100%=110.96%。</w:t>
            </w:r>
          </w:p>
          <w:p w14:paraId="61B193F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综上所述，</w:t>
            </w:r>
            <w:r>
              <w:rPr>
                <w:rFonts w:hint="default" w:ascii="Times New Roman" w:hAnsi="Times New Roman" w:eastAsia="仿宋_GB2312"/>
                <w:sz w:val="22"/>
              </w:rPr>
              <w:t>该指标满分为5分，根据评分标准得5分。</w:t>
            </w:r>
          </w:p>
        </w:tc>
        <w:tc>
          <w:tcPr>
            <w:tcW w:w="219" w:type="pct"/>
            <w:vAlign w:val="center"/>
          </w:tcPr>
          <w:p w14:paraId="7485FBA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5314848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5</w:t>
            </w:r>
          </w:p>
        </w:tc>
        <w:tc>
          <w:tcPr>
            <w:tcW w:w="366" w:type="pct"/>
            <w:gridSpan w:val="2"/>
            <w:vAlign w:val="center"/>
          </w:tcPr>
          <w:p w14:paraId="552DB5F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noWrap/>
            <w:vAlign w:val="center"/>
          </w:tcPr>
          <w:p w14:paraId="55AAAD0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0C18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5BE0AC6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5542DB9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00EEE01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特种设备定期检验率</w:t>
            </w:r>
            <w:r>
              <w:rPr>
                <w:rFonts w:hint="eastAsia" w:eastAsia="仿宋_GB2312"/>
                <w:sz w:val="22"/>
                <w:lang w:val="en-US" w:eastAsia="zh-CN"/>
              </w:rPr>
              <w:t>≥</w:t>
            </w:r>
            <w:r>
              <w:rPr>
                <w:rFonts w:hint="default" w:ascii="Times New Roman" w:hAnsi="Times New Roman" w:eastAsia="仿宋_GB2312"/>
                <w:sz w:val="22"/>
              </w:rPr>
              <w:t>95%</w:t>
            </w:r>
          </w:p>
        </w:tc>
        <w:tc>
          <w:tcPr>
            <w:tcW w:w="175" w:type="pct"/>
            <w:vAlign w:val="center"/>
          </w:tcPr>
          <w:p w14:paraId="67186B1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5</w:t>
            </w:r>
          </w:p>
        </w:tc>
        <w:tc>
          <w:tcPr>
            <w:tcW w:w="338" w:type="pct"/>
            <w:vAlign w:val="center"/>
          </w:tcPr>
          <w:p w14:paraId="2ED2025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考察部门（单位）年度重点项目核心指标完成情况是否达到预期指标值。</w:t>
            </w:r>
          </w:p>
        </w:tc>
        <w:tc>
          <w:tcPr>
            <w:tcW w:w="280" w:type="pct"/>
            <w:vAlign w:val="center"/>
          </w:tcPr>
          <w:p w14:paraId="49AFA70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95%</w:t>
            </w:r>
          </w:p>
        </w:tc>
        <w:tc>
          <w:tcPr>
            <w:tcW w:w="427" w:type="pct"/>
            <w:gridSpan w:val="2"/>
            <w:vAlign w:val="center"/>
          </w:tcPr>
          <w:p w14:paraId="72A6B97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指标完成率=（实际完成值/预期指标值）×100%，评分标准：①指标完成率大于等于100%，且偏离程度在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405" w:type="pct"/>
            <w:vAlign w:val="center"/>
          </w:tcPr>
          <w:p w14:paraId="0124E2F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1141" w:type="pct"/>
            <w:vAlign w:val="center"/>
          </w:tcPr>
          <w:p w14:paraId="7F24F3E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特种设备定期检验率：该指标预期指标值为≥95%，</w:t>
            </w:r>
            <w:r>
              <w:rPr>
                <w:rFonts w:hint="default" w:ascii="Times New Roman" w:hAnsi="Times New Roman" w:eastAsia="仿宋_GB2312"/>
                <w:sz w:val="22"/>
              </w:rPr>
              <w:t>根据</w:t>
            </w:r>
            <w:r>
              <w:rPr>
                <w:rFonts w:hint="eastAsia" w:ascii="Times New Roman" w:hAnsi="Times New Roman" w:eastAsia="仿宋_GB2312"/>
                <w:sz w:val="22"/>
              </w:rPr>
              <w:t>新疆维吾尔自治区特种设备安全智慧监管平台</w:t>
            </w:r>
            <w:r>
              <w:rPr>
                <w:rFonts w:hint="default" w:ascii="Times New Roman" w:hAnsi="Times New Roman" w:eastAsia="仿宋_GB2312"/>
                <w:sz w:val="22"/>
              </w:rPr>
              <w:t>统计数据</w:t>
            </w:r>
            <w:r>
              <w:rPr>
                <w:rFonts w:hint="eastAsia" w:ascii="Times New Roman" w:hAnsi="Times New Roman" w:eastAsia="仿宋_GB2312"/>
                <w:sz w:val="22"/>
              </w:rPr>
              <w:t>，截至2025年12月31日，通过</w:t>
            </w:r>
            <w:r>
              <w:rPr>
                <w:rFonts w:hint="default" w:ascii="Times New Roman" w:hAnsi="Times New Roman" w:eastAsia="仿宋_GB2312"/>
                <w:sz w:val="22"/>
              </w:rPr>
              <w:t>实时监控全市特种设备动态数据，高效处置预警信息1898条，实现预警信息动态清零，特种设备定期检验率</w:t>
            </w:r>
            <w:r>
              <w:rPr>
                <w:rFonts w:hint="eastAsia" w:ascii="Times New Roman" w:hAnsi="Times New Roman" w:eastAsia="仿宋_GB2312"/>
                <w:sz w:val="22"/>
              </w:rPr>
              <w:t>为99.56</w:t>
            </w:r>
            <w:r>
              <w:rPr>
                <w:rFonts w:hint="default" w:ascii="Times New Roman" w:hAnsi="Times New Roman" w:eastAsia="仿宋_GB2312"/>
                <w:sz w:val="22"/>
              </w:rPr>
              <w:t>%</w:t>
            </w:r>
            <w:r>
              <w:rPr>
                <w:rFonts w:hint="eastAsia" w:ascii="Times New Roman" w:hAnsi="Times New Roman" w:eastAsia="仿宋_GB2312"/>
                <w:sz w:val="22"/>
              </w:rPr>
              <w:t>，根据公式计算完成率为99.56%/95%</w:t>
            </w:r>
            <w:r>
              <w:rPr>
                <w:rFonts w:hint="default" w:ascii="Times New Roman" w:hAnsi="Times New Roman" w:eastAsia="仿宋_GB2312"/>
                <w:sz w:val="22"/>
              </w:rPr>
              <w:t>×</w:t>
            </w:r>
            <w:r>
              <w:rPr>
                <w:rFonts w:hint="eastAsia" w:ascii="Times New Roman" w:hAnsi="Times New Roman" w:eastAsia="仿宋_GB2312"/>
                <w:sz w:val="22"/>
              </w:rPr>
              <w:t>100%=104.8%。</w:t>
            </w:r>
          </w:p>
          <w:p w14:paraId="47AEBA2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综上所述，</w:t>
            </w:r>
            <w:r>
              <w:rPr>
                <w:rFonts w:hint="default" w:ascii="Times New Roman" w:hAnsi="Times New Roman" w:eastAsia="仿宋_GB2312"/>
                <w:sz w:val="22"/>
              </w:rPr>
              <w:t>该指标满分为5分，根据评分标准得5分。</w:t>
            </w:r>
          </w:p>
        </w:tc>
        <w:tc>
          <w:tcPr>
            <w:tcW w:w="219" w:type="pct"/>
            <w:vAlign w:val="center"/>
          </w:tcPr>
          <w:p w14:paraId="1527E3C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365AF87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5</w:t>
            </w:r>
          </w:p>
        </w:tc>
        <w:tc>
          <w:tcPr>
            <w:tcW w:w="366" w:type="pct"/>
            <w:gridSpan w:val="2"/>
            <w:vAlign w:val="center"/>
          </w:tcPr>
          <w:p w14:paraId="5AFA50D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4FFBDB4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74EFC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2008CEF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0CF9861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5B9B0E4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食品安全抽检应公布信息公布率</w:t>
            </w:r>
            <w:r>
              <w:rPr>
                <w:rFonts w:hint="default" w:ascii="Times New Roman" w:hAnsi="Times New Roman" w:eastAsia="仿宋_GB2312"/>
                <w:sz w:val="22"/>
              </w:rPr>
              <w:t>=100%</w:t>
            </w:r>
          </w:p>
        </w:tc>
        <w:tc>
          <w:tcPr>
            <w:tcW w:w="175" w:type="pct"/>
            <w:vAlign w:val="center"/>
          </w:tcPr>
          <w:p w14:paraId="6680A54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5</w:t>
            </w:r>
          </w:p>
        </w:tc>
        <w:tc>
          <w:tcPr>
            <w:tcW w:w="338" w:type="pct"/>
            <w:vAlign w:val="center"/>
          </w:tcPr>
          <w:p w14:paraId="7051273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考察部门（单位）年度重点项目核心指标完成情况是否达到预期指标值。</w:t>
            </w:r>
          </w:p>
        </w:tc>
        <w:tc>
          <w:tcPr>
            <w:tcW w:w="280" w:type="pct"/>
            <w:vAlign w:val="center"/>
          </w:tcPr>
          <w:p w14:paraId="745AA9C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100%</w:t>
            </w:r>
          </w:p>
        </w:tc>
        <w:tc>
          <w:tcPr>
            <w:tcW w:w="427" w:type="pct"/>
            <w:gridSpan w:val="2"/>
            <w:vAlign w:val="center"/>
          </w:tcPr>
          <w:p w14:paraId="552FD25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指标完成率=（实际完成值/预期指标值）×100%，评分标准：①指标完成率大于等于100%，且偏离程度在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405" w:type="pct"/>
            <w:vAlign w:val="center"/>
          </w:tcPr>
          <w:p w14:paraId="26A5437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1141" w:type="pct"/>
            <w:vAlign w:val="center"/>
          </w:tcPr>
          <w:p w14:paraId="2D1A5A1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食品安全抽检应公布信息公布率：该指标预期指标值为=100%，</w:t>
            </w:r>
            <w:r>
              <w:rPr>
                <w:rFonts w:hint="default" w:ascii="Times New Roman" w:hAnsi="Times New Roman" w:eastAsia="仿宋_GB2312"/>
                <w:sz w:val="22"/>
              </w:rPr>
              <w:t>根据</w:t>
            </w:r>
            <w:r>
              <w:rPr>
                <w:rFonts w:hint="eastAsia" w:ascii="Times New Roman" w:hAnsi="Times New Roman" w:eastAsia="仿宋_GB2312"/>
                <w:sz w:val="22"/>
              </w:rPr>
              <w:t>喀什市人民政府网公布</w:t>
            </w:r>
            <w:r>
              <w:rPr>
                <w:rFonts w:hint="default" w:ascii="Times New Roman" w:hAnsi="Times New Roman" w:eastAsia="仿宋_GB2312"/>
                <w:sz w:val="22"/>
              </w:rPr>
              <w:t>数据</w:t>
            </w:r>
            <w:r>
              <w:rPr>
                <w:rFonts w:hint="eastAsia" w:ascii="Times New Roman" w:hAnsi="Times New Roman" w:eastAsia="仿宋_GB2312"/>
                <w:sz w:val="22"/>
              </w:rPr>
              <w:t>，喀什市市场监督管理局将每期的食品安全监督抽检信息通告及时公布在政府网站上，食品安全抽检应公布信息率100%，根据公式计算完成率为=100%/100%</w:t>
            </w:r>
            <w:r>
              <w:rPr>
                <w:rFonts w:hint="default" w:ascii="Times New Roman" w:hAnsi="Times New Roman" w:eastAsia="仿宋_GB2312"/>
                <w:bCs/>
                <w:sz w:val="22"/>
              </w:rPr>
              <w:t>×</w:t>
            </w:r>
            <w:r>
              <w:rPr>
                <w:rFonts w:hint="eastAsia" w:ascii="Times New Roman" w:hAnsi="Times New Roman" w:eastAsia="仿宋_GB2312"/>
                <w:sz w:val="22"/>
              </w:rPr>
              <w:t>100%=100%综上所述，</w:t>
            </w:r>
            <w:r>
              <w:rPr>
                <w:rFonts w:hint="default" w:ascii="Times New Roman" w:hAnsi="Times New Roman" w:eastAsia="仿宋_GB2312"/>
                <w:sz w:val="22"/>
              </w:rPr>
              <w:t>该指标满分为5分，根据评分标准得5分。</w:t>
            </w:r>
          </w:p>
        </w:tc>
        <w:tc>
          <w:tcPr>
            <w:tcW w:w="219" w:type="pct"/>
            <w:vAlign w:val="center"/>
          </w:tcPr>
          <w:p w14:paraId="66FE013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39824A7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5</w:t>
            </w:r>
          </w:p>
        </w:tc>
        <w:tc>
          <w:tcPr>
            <w:tcW w:w="366" w:type="pct"/>
            <w:gridSpan w:val="2"/>
            <w:vAlign w:val="center"/>
          </w:tcPr>
          <w:p w14:paraId="566E9D4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6C93960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2CB0E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2D83AD3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2F9951A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27DD52E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bookmarkStart w:id="106" w:name="OLE_LINK10"/>
            <w:r>
              <w:rPr>
                <w:rFonts w:hint="eastAsia" w:ascii="Times New Roman" w:hAnsi="Times New Roman" w:eastAsia="仿宋_GB2312"/>
                <w:sz w:val="22"/>
              </w:rPr>
              <w:t>消费者投诉举报办结率</w:t>
            </w:r>
            <w:bookmarkEnd w:id="106"/>
            <w:r>
              <w:rPr>
                <w:rFonts w:hint="default" w:ascii="Times New Roman" w:hAnsi="Times New Roman" w:eastAsia="仿宋_GB2312"/>
                <w:sz w:val="22"/>
              </w:rPr>
              <w:t>=100%</w:t>
            </w:r>
          </w:p>
        </w:tc>
        <w:tc>
          <w:tcPr>
            <w:tcW w:w="175" w:type="pct"/>
            <w:vAlign w:val="center"/>
          </w:tcPr>
          <w:p w14:paraId="70C1167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5</w:t>
            </w:r>
          </w:p>
        </w:tc>
        <w:tc>
          <w:tcPr>
            <w:tcW w:w="338" w:type="pct"/>
            <w:vAlign w:val="center"/>
          </w:tcPr>
          <w:p w14:paraId="3A88C5A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考察部门（单位）年度重点项目核心指标完成情况是否达到预期指标值。</w:t>
            </w:r>
          </w:p>
        </w:tc>
        <w:tc>
          <w:tcPr>
            <w:tcW w:w="280" w:type="pct"/>
            <w:vAlign w:val="center"/>
          </w:tcPr>
          <w:p w14:paraId="2C1458E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100%</w:t>
            </w:r>
          </w:p>
        </w:tc>
        <w:tc>
          <w:tcPr>
            <w:tcW w:w="427" w:type="pct"/>
            <w:gridSpan w:val="2"/>
            <w:vAlign w:val="center"/>
          </w:tcPr>
          <w:p w14:paraId="23A2CA8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指标完成率=（实际完成值/预期指标值）×100%，评分标准：①指标完成率大于等于100%，且偏离程度在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405" w:type="pct"/>
            <w:vAlign w:val="center"/>
          </w:tcPr>
          <w:p w14:paraId="3740F45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1141" w:type="pct"/>
            <w:vAlign w:val="center"/>
          </w:tcPr>
          <w:p w14:paraId="51E9754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消费者投诉举报办结率：预期目标值=100%</w:t>
            </w:r>
            <w:r>
              <w:rPr>
                <w:rFonts w:hint="default" w:ascii="Times New Roman" w:hAnsi="Times New Roman" w:eastAsia="仿宋_GB2312"/>
                <w:sz w:val="22"/>
              </w:rPr>
              <w:t>，根据</w:t>
            </w:r>
            <w:r>
              <w:rPr>
                <w:rFonts w:hint="eastAsia" w:ascii="Times New Roman" w:hAnsi="Times New Roman" w:eastAsia="仿宋_GB2312"/>
                <w:sz w:val="22"/>
              </w:rPr>
              <w:t>12315</w:t>
            </w:r>
            <w:r>
              <w:rPr>
                <w:rFonts w:hint="default" w:ascii="Times New Roman" w:hAnsi="Times New Roman" w:eastAsia="仿宋_GB2312"/>
                <w:sz w:val="22"/>
              </w:rPr>
              <w:t>平台统计数据</w:t>
            </w:r>
            <w:r>
              <w:rPr>
                <w:rFonts w:hint="eastAsia" w:ascii="Times New Roman" w:hAnsi="Times New Roman" w:eastAsia="仿宋_GB2312"/>
                <w:sz w:val="22"/>
              </w:rPr>
              <w:t>及《2025年度喀什市市场监督管理局工作总结》，截至2025年12月31日，全年共受理投诉举报8078件，已办结7797件，办结率96.52%，为消费者挽回直接经济损失高达1028.77万元，根据公式计算完成率为96.52%/100%</w:t>
            </w:r>
            <w:r>
              <w:rPr>
                <w:rFonts w:hint="default" w:ascii="Times New Roman" w:hAnsi="Times New Roman" w:eastAsia="仿宋_GB2312"/>
                <w:bCs/>
                <w:sz w:val="22"/>
              </w:rPr>
              <w:t>×</w:t>
            </w:r>
            <w:r>
              <w:rPr>
                <w:rFonts w:hint="eastAsia" w:ascii="Times New Roman" w:hAnsi="Times New Roman" w:eastAsia="仿宋_GB2312"/>
                <w:sz w:val="22"/>
              </w:rPr>
              <w:t>100%=96.52%。综上所述，</w:t>
            </w:r>
            <w:r>
              <w:rPr>
                <w:rFonts w:hint="default" w:ascii="Times New Roman" w:hAnsi="Times New Roman" w:eastAsia="仿宋_GB2312"/>
                <w:sz w:val="22"/>
              </w:rPr>
              <w:t>该指标满分为5分，根据评分标准得4.83分。</w:t>
            </w:r>
          </w:p>
          <w:p w14:paraId="04452B4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p>
        </w:tc>
        <w:tc>
          <w:tcPr>
            <w:tcW w:w="219" w:type="pct"/>
            <w:vAlign w:val="center"/>
          </w:tcPr>
          <w:p w14:paraId="6C9A917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0.17</w:t>
            </w:r>
          </w:p>
        </w:tc>
        <w:tc>
          <w:tcPr>
            <w:tcW w:w="259" w:type="pct"/>
            <w:vAlign w:val="center"/>
          </w:tcPr>
          <w:p w14:paraId="00CA9AE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4.83</w:t>
            </w:r>
          </w:p>
        </w:tc>
        <w:tc>
          <w:tcPr>
            <w:tcW w:w="366" w:type="pct"/>
            <w:gridSpan w:val="2"/>
            <w:vAlign w:val="center"/>
          </w:tcPr>
          <w:p w14:paraId="77A57DA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96.60%</w:t>
            </w:r>
          </w:p>
        </w:tc>
        <w:tc>
          <w:tcPr>
            <w:tcW w:w="369" w:type="pct"/>
            <w:vAlign w:val="center"/>
          </w:tcPr>
          <w:p w14:paraId="22D3A6C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消费者投诉办结率未达到100%，根据评分标准扣0.17分</w:t>
            </w:r>
          </w:p>
        </w:tc>
      </w:tr>
      <w:tr w14:paraId="0930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18F3DE6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5EA82F6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752F19F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特种设备注册登记率</w:t>
            </w:r>
            <w:r>
              <w:rPr>
                <w:rFonts w:hint="eastAsia" w:eastAsia="仿宋_GB2312"/>
                <w:sz w:val="22"/>
                <w:lang w:val="en-US" w:eastAsia="zh-CN"/>
              </w:rPr>
              <w:t>≥</w:t>
            </w:r>
            <w:r>
              <w:rPr>
                <w:rFonts w:hint="eastAsia" w:ascii="Times New Roman" w:hAnsi="Times New Roman" w:eastAsia="仿宋_GB2312"/>
                <w:sz w:val="22"/>
              </w:rPr>
              <w:t>99</w:t>
            </w:r>
            <w:r>
              <w:rPr>
                <w:rFonts w:hint="default" w:ascii="Times New Roman" w:hAnsi="Times New Roman" w:eastAsia="仿宋_GB2312"/>
                <w:sz w:val="22"/>
              </w:rPr>
              <w:t>%</w:t>
            </w:r>
          </w:p>
        </w:tc>
        <w:tc>
          <w:tcPr>
            <w:tcW w:w="175" w:type="pct"/>
            <w:vAlign w:val="center"/>
          </w:tcPr>
          <w:p w14:paraId="2B03341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5</w:t>
            </w:r>
          </w:p>
        </w:tc>
        <w:tc>
          <w:tcPr>
            <w:tcW w:w="338" w:type="pct"/>
            <w:vAlign w:val="center"/>
          </w:tcPr>
          <w:p w14:paraId="34F2A58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考察部门（单位）年度重点项目核心指标完成情况是否达到预期指标值。</w:t>
            </w:r>
          </w:p>
        </w:tc>
        <w:tc>
          <w:tcPr>
            <w:tcW w:w="280" w:type="pct"/>
            <w:vAlign w:val="center"/>
          </w:tcPr>
          <w:p w14:paraId="5BC5354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99%</w:t>
            </w:r>
          </w:p>
        </w:tc>
        <w:tc>
          <w:tcPr>
            <w:tcW w:w="427" w:type="pct"/>
            <w:gridSpan w:val="2"/>
            <w:vAlign w:val="center"/>
          </w:tcPr>
          <w:p w14:paraId="379B0EE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指标完成率=（实际完成值/预期指标值）×100%，评分标准：①指标完成率大于等于100%，且偏离程度在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405" w:type="pct"/>
            <w:vAlign w:val="center"/>
          </w:tcPr>
          <w:p w14:paraId="5297DA1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1141" w:type="pct"/>
            <w:vAlign w:val="center"/>
          </w:tcPr>
          <w:p w14:paraId="2697395E">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特种设备注册登记率：预期目标值≥99%，</w:t>
            </w:r>
            <w:r>
              <w:rPr>
                <w:rFonts w:hint="default" w:ascii="Times New Roman" w:hAnsi="Times New Roman" w:eastAsia="仿宋_GB2312"/>
                <w:sz w:val="22"/>
              </w:rPr>
              <w:t>根据</w:t>
            </w:r>
            <w:r>
              <w:rPr>
                <w:rFonts w:hint="eastAsia" w:ascii="Times New Roman" w:hAnsi="Times New Roman" w:eastAsia="仿宋_GB2312"/>
                <w:sz w:val="22"/>
              </w:rPr>
              <w:t>新疆维吾尔自治区特种设备安全智慧监管平台</w:t>
            </w:r>
            <w:r>
              <w:rPr>
                <w:rFonts w:hint="default" w:ascii="Times New Roman" w:hAnsi="Times New Roman" w:eastAsia="仿宋_GB2312"/>
                <w:sz w:val="22"/>
              </w:rPr>
              <w:t>统计数据</w:t>
            </w:r>
            <w:r>
              <w:rPr>
                <w:rFonts w:hint="eastAsia" w:ascii="Times New Roman" w:hAnsi="Times New Roman" w:eastAsia="仿宋_GB2312"/>
                <w:sz w:val="22"/>
              </w:rPr>
              <w:t>，截至2025年12月31日，通过</w:t>
            </w:r>
            <w:r>
              <w:rPr>
                <w:rFonts w:hint="default" w:ascii="Times New Roman" w:hAnsi="Times New Roman" w:eastAsia="仿宋_GB2312"/>
                <w:sz w:val="22"/>
              </w:rPr>
              <w:t>实时监控全市特种设备动态数据，高效处置预警信息1898条，实现预警信息动态清零，特种设备定期检验率</w:t>
            </w:r>
            <w:r>
              <w:rPr>
                <w:rFonts w:hint="eastAsia" w:ascii="Times New Roman" w:hAnsi="Times New Roman" w:eastAsia="仿宋_GB2312"/>
                <w:sz w:val="22"/>
              </w:rPr>
              <w:t>为99.19</w:t>
            </w:r>
            <w:r>
              <w:rPr>
                <w:rFonts w:hint="default" w:ascii="Times New Roman" w:hAnsi="Times New Roman" w:eastAsia="仿宋_GB2312"/>
                <w:sz w:val="22"/>
              </w:rPr>
              <w:t>%</w:t>
            </w:r>
            <w:r>
              <w:rPr>
                <w:rFonts w:hint="eastAsia" w:ascii="Times New Roman" w:hAnsi="Times New Roman" w:eastAsia="仿宋_GB2312"/>
                <w:sz w:val="22"/>
              </w:rPr>
              <w:t>，根据公式计算完成率为99.19%/99%</w:t>
            </w:r>
            <w:r>
              <w:rPr>
                <w:rFonts w:hint="default" w:ascii="Times New Roman" w:hAnsi="Times New Roman" w:eastAsia="仿宋_GB2312"/>
                <w:sz w:val="22"/>
              </w:rPr>
              <w:t>×</w:t>
            </w:r>
            <w:r>
              <w:rPr>
                <w:rFonts w:hint="eastAsia" w:ascii="Times New Roman" w:hAnsi="Times New Roman" w:eastAsia="仿宋_GB2312"/>
                <w:sz w:val="22"/>
              </w:rPr>
              <w:t>100%=100.19%。综上所述，</w:t>
            </w:r>
            <w:r>
              <w:rPr>
                <w:rFonts w:hint="default" w:ascii="Times New Roman" w:hAnsi="Times New Roman" w:eastAsia="仿宋_GB2312"/>
                <w:sz w:val="22"/>
              </w:rPr>
              <w:t>该指标满分为5分，根据评分标准得5分。</w:t>
            </w:r>
          </w:p>
        </w:tc>
        <w:tc>
          <w:tcPr>
            <w:tcW w:w="219" w:type="pct"/>
            <w:vAlign w:val="center"/>
          </w:tcPr>
          <w:p w14:paraId="128092C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698BCF0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5</w:t>
            </w:r>
          </w:p>
        </w:tc>
        <w:tc>
          <w:tcPr>
            <w:tcW w:w="366" w:type="pct"/>
            <w:gridSpan w:val="2"/>
            <w:vAlign w:val="center"/>
          </w:tcPr>
          <w:p w14:paraId="33915D1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6AACFB4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67C3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1F82FCF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7F2F4F6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5506A4D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联合开展</w:t>
            </w:r>
            <w:r>
              <w:rPr>
                <w:rFonts w:hint="default" w:ascii="Times New Roman" w:hAnsi="Times New Roman" w:eastAsia="仿宋_GB2312"/>
                <w:sz w:val="22"/>
              </w:rPr>
              <w:t>315</w:t>
            </w:r>
            <w:r>
              <w:rPr>
                <w:rFonts w:hint="eastAsia" w:ascii="Times New Roman" w:hAnsi="Times New Roman" w:eastAsia="仿宋_GB2312"/>
                <w:sz w:val="22"/>
              </w:rPr>
              <w:t>活动落实率</w:t>
            </w:r>
            <w:r>
              <w:rPr>
                <w:rFonts w:hint="default" w:ascii="Times New Roman" w:hAnsi="Times New Roman" w:eastAsia="仿宋_GB2312"/>
                <w:sz w:val="22"/>
              </w:rPr>
              <w:t>=100%</w:t>
            </w:r>
          </w:p>
        </w:tc>
        <w:tc>
          <w:tcPr>
            <w:tcW w:w="175" w:type="pct"/>
            <w:vAlign w:val="center"/>
          </w:tcPr>
          <w:p w14:paraId="7AEEDEB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5</w:t>
            </w:r>
          </w:p>
        </w:tc>
        <w:tc>
          <w:tcPr>
            <w:tcW w:w="338" w:type="pct"/>
            <w:vAlign w:val="center"/>
          </w:tcPr>
          <w:p w14:paraId="38E3E48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考察部门（单位）年度社会效益完成情况是否达到预期指标值。</w:t>
            </w:r>
          </w:p>
        </w:tc>
        <w:tc>
          <w:tcPr>
            <w:tcW w:w="280" w:type="pct"/>
            <w:vAlign w:val="center"/>
          </w:tcPr>
          <w:p w14:paraId="19C40B0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100%</w:t>
            </w:r>
          </w:p>
        </w:tc>
        <w:tc>
          <w:tcPr>
            <w:tcW w:w="427" w:type="pct"/>
            <w:gridSpan w:val="2"/>
            <w:vAlign w:val="center"/>
          </w:tcPr>
          <w:p w14:paraId="10E7030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指标完成率=（实际完成值/预期指标值）×100%，评分标准：①指标完成率大于等于100%，且偏离程度在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405" w:type="pct"/>
            <w:vAlign w:val="center"/>
          </w:tcPr>
          <w:p w14:paraId="096BD8F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1141" w:type="pct"/>
            <w:vAlign w:val="center"/>
          </w:tcPr>
          <w:p w14:paraId="096F692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联合开展</w:t>
            </w:r>
            <w:r>
              <w:rPr>
                <w:rFonts w:hint="default" w:ascii="Times New Roman" w:hAnsi="Times New Roman" w:eastAsia="仿宋_GB2312"/>
                <w:sz w:val="22"/>
              </w:rPr>
              <w:t>315</w:t>
            </w:r>
            <w:r>
              <w:rPr>
                <w:rFonts w:hint="eastAsia" w:ascii="Times New Roman" w:hAnsi="Times New Roman" w:eastAsia="仿宋_GB2312"/>
                <w:sz w:val="22"/>
              </w:rPr>
              <w:t>活动落实率：预期目标值=100%，根据喀什市市场监管局提供的《“3</w:t>
            </w:r>
            <w:r>
              <w:rPr>
                <w:rFonts w:hint="eastAsia" w:ascii="Times New Roman" w:hAnsi="Times New Roman" w:eastAsia="仿宋_GB2312"/>
                <w:bCs/>
                <w:sz w:val="22"/>
              </w:rPr>
              <w:t>·</w:t>
            </w:r>
            <w:r>
              <w:rPr>
                <w:rFonts w:hint="eastAsia" w:ascii="Times New Roman" w:hAnsi="Times New Roman" w:eastAsia="仿宋_GB2312"/>
                <w:sz w:val="22"/>
              </w:rPr>
              <w:t>15”国际消费者权益日活动宣传简报》及现场活动照片，截至2025年12月31日，已在学校、企业、农贸市场等地开展</w:t>
            </w:r>
            <w:r>
              <w:rPr>
                <w:rFonts w:hint="eastAsia" w:eastAsia="仿宋_GB2312"/>
                <w:sz w:val="22"/>
                <w:lang w:eastAsia="zh-CN"/>
              </w:rPr>
              <w:t>“3·15”消费者权益日</w:t>
            </w:r>
            <w:r>
              <w:rPr>
                <w:rFonts w:hint="eastAsia" w:ascii="Times New Roman" w:hAnsi="Times New Roman" w:eastAsia="仿宋_GB2312"/>
                <w:sz w:val="22"/>
              </w:rPr>
              <w:t>主题宣传活动，联合开展315活动落实率100%，根据公式计算完成率为100%/100%</w:t>
            </w:r>
            <w:r>
              <w:rPr>
                <w:rFonts w:hint="default" w:ascii="Times New Roman" w:hAnsi="Times New Roman" w:eastAsia="仿宋_GB2312"/>
                <w:sz w:val="22"/>
              </w:rPr>
              <w:t>×</w:t>
            </w:r>
            <w:r>
              <w:rPr>
                <w:rFonts w:hint="eastAsia" w:ascii="Times New Roman" w:hAnsi="Times New Roman" w:eastAsia="仿宋_GB2312"/>
                <w:sz w:val="22"/>
              </w:rPr>
              <w:t>100%=100%。综上所述，</w:t>
            </w:r>
            <w:r>
              <w:rPr>
                <w:rFonts w:hint="default" w:ascii="Times New Roman" w:hAnsi="Times New Roman" w:eastAsia="仿宋_GB2312"/>
                <w:sz w:val="22"/>
              </w:rPr>
              <w:t>该指标满分为5分，根据评分标准得5分。</w:t>
            </w:r>
          </w:p>
        </w:tc>
        <w:tc>
          <w:tcPr>
            <w:tcW w:w="219" w:type="pct"/>
            <w:vAlign w:val="center"/>
          </w:tcPr>
          <w:p w14:paraId="1220D1F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10237BF9">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5</w:t>
            </w:r>
          </w:p>
        </w:tc>
        <w:tc>
          <w:tcPr>
            <w:tcW w:w="366" w:type="pct"/>
            <w:gridSpan w:val="2"/>
            <w:vAlign w:val="center"/>
          </w:tcPr>
          <w:p w14:paraId="3C57BC6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0CE27C3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3D46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9" w:type="pct"/>
            <w:vMerge w:val="continue"/>
            <w:vAlign w:val="center"/>
          </w:tcPr>
          <w:p w14:paraId="563AEBD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21" w:type="pct"/>
            <w:vMerge w:val="continue"/>
            <w:vAlign w:val="center"/>
          </w:tcPr>
          <w:p w14:paraId="2D758D5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454" w:type="pct"/>
            <w:vAlign w:val="center"/>
          </w:tcPr>
          <w:p w14:paraId="11BB0E7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药械化抽样任务完成率=100%</w:t>
            </w:r>
          </w:p>
        </w:tc>
        <w:tc>
          <w:tcPr>
            <w:tcW w:w="175" w:type="pct"/>
            <w:vAlign w:val="center"/>
          </w:tcPr>
          <w:p w14:paraId="5027450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5</w:t>
            </w:r>
          </w:p>
        </w:tc>
        <w:tc>
          <w:tcPr>
            <w:tcW w:w="338" w:type="pct"/>
            <w:vAlign w:val="center"/>
          </w:tcPr>
          <w:p w14:paraId="0D90B85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考察部门（单位）年度社会效益完成情况是否达到预期指标值。</w:t>
            </w:r>
          </w:p>
        </w:tc>
        <w:tc>
          <w:tcPr>
            <w:tcW w:w="280" w:type="pct"/>
            <w:vAlign w:val="center"/>
          </w:tcPr>
          <w:p w14:paraId="03FC0F4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100%</w:t>
            </w:r>
          </w:p>
        </w:tc>
        <w:tc>
          <w:tcPr>
            <w:tcW w:w="427" w:type="pct"/>
            <w:gridSpan w:val="2"/>
            <w:vAlign w:val="center"/>
          </w:tcPr>
          <w:p w14:paraId="77E23F4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指标完成率=（实际完成值/预期指标值）×100%，评分标准：①指标完成率大于等于100%，且偏离程度在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405" w:type="pct"/>
            <w:vAlign w:val="center"/>
          </w:tcPr>
          <w:p w14:paraId="3DA25AA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①指标完成率大于等于100%，且偏离程度在</w:t>
            </w:r>
            <w:r>
              <w:rPr>
                <w:rFonts w:hint="eastAsia" w:eastAsia="仿宋_GB2312"/>
                <w:sz w:val="22"/>
                <w:lang w:val="en-US" w:eastAsia="zh-CN"/>
              </w:rPr>
              <w:t>2</w:t>
            </w:r>
            <w:r>
              <w:rPr>
                <w:rFonts w:hint="eastAsia" w:ascii="Times New Roman" w:hAnsi="Times New Roman" w:eastAsia="仿宋_GB2312"/>
                <w:sz w:val="22"/>
              </w:rPr>
              <w:t>0.00%以内，得满分；②指标完成率大于100%，且偏离程度超过20.00%，得80%权重分；③指标完成率小于100%，且偏离程度在20.00%以内，得分=指标完成率×分值；④指标完成率小于100%，且偏离程度超过20.00%，得0分。</w:t>
            </w:r>
          </w:p>
        </w:tc>
        <w:tc>
          <w:tcPr>
            <w:tcW w:w="1141" w:type="pct"/>
            <w:vAlign w:val="center"/>
          </w:tcPr>
          <w:p w14:paraId="187C02F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Times New Roman" w:hAnsi="Times New Roman" w:eastAsia="仿宋_GB2312"/>
                <w:sz w:val="22"/>
              </w:rPr>
            </w:pPr>
            <w:r>
              <w:rPr>
                <w:rFonts w:hint="eastAsia" w:ascii="Times New Roman" w:hAnsi="Times New Roman" w:eastAsia="仿宋_GB2312"/>
                <w:sz w:val="22"/>
              </w:rPr>
              <w:t>药械化抽样任务完成率：预期目标值=100%，根据喀什市市场监管局提供的《2025年喀什市药品监督抽检情况表》及《2025年度喀什市市场监督管理局工作总结》，截至2025年12月31日，已完成10家单位药品抽样任务，</w:t>
            </w:r>
            <w:r>
              <w:rPr>
                <w:rFonts w:hint="default" w:ascii="Times New Roman" w:hAnsi="Times New Roman" w:eastAsia="仿宋_GB2312"/>
                <w:sz w:val="22"/>
              </w:rPr>
              <w:t>医疗器械不良反应报告224例</w:t>
            </w:r>
            <w:r>
              <w:rPr>
                <w:rFonts w:hint="eastAsia" w:ascii="Times New Roman" w:hAnsi="Times New Roman" w:eastAsia="仿宋_GB2312"/>
                <w:sz w:val="22"/>
              </w:rPr>
              <w:t>，药械化抽样任务完成率100%，根据公式计算完成率为100%/100%</w:t>
            </w:r>
            <w:r>
              <w:rPr>
                <w:rFonts w:hint="default" w:ascii="Times New Roman" w:hAnsi="Times New Roman" w:eastAsia="仿宋_GB2312"/>
                <w:sz w:val="22"/>
              </w:rPr>
              <w:t>×</w:t>
            </w:r>
            <w:r>
              <w:rPr>
                <w:rFonts w:hint="eastAsia" w:ascii="Times New Roman" w:hAnsi="Times New Roman" w:eastAsia="仿宋_GB2312"/>
                <w:sz w:val="22"/>
              </w:rPr>
              <w:t>100%=100%。综上所述，</w:t>
            </w:r>
            <w:r>
              <w:rPr>
                <w:rFonts w:hint="default" w:ascii="Times New Roman" w:hAnsi="Times New Roman" w:eastAsia="仿宋_GB2312"/>
                <w:sz w:val="22"/>
              </w:rPr>
              <w:t>该指标满分为5分，根据评分标准得5分。</w:t>
            </w:r>
          </w:p>
        </w:tc>
        <w:tc>
          <w:tcPr>
            <w:tcW w:w="219" w:type="pct"/>
            <w:vAlign w:val="center"/>
          </w:tcPr>
          <w:p w14:paraId="6889CEAF">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0</w:t>
            </w:r>
          </w:p>
        </w:tc>
        <w:tc>
          <w:tcPr>
            <w:tcW w:w="259" w:type="pct"/>
            <w:vAlign w:val="center"/>
          </w:tcPr>
          <w:p w14:paraId="09CB087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5</w:t>
            </w:r>
          </w:p>
        </w:tc>
        <w:tc>
          <w:tcPr>
            <w:tcW w:w="366" w:type="pct"/>
            <w:gridSpan w:val="2"/>
            <w:vAlign w:val="center"/>
          </w:tcPr>
          <w:p w14:paraId="4D0F63A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default" w:ascii="Times New Roman" w:hAnsi="Times New Roman" w:eastAsia="仿宋_GB2312"/>
                <w:sz w:val="22"/>
              </w:rPr>
              <w:t>100.00%</w:t>
            </w:r>
          </w:p>
        </w:tc>
        <w:tc>
          <w:tcPr>
            <w:tcW w:w="369" w:type="pct"/>
            <w:vAlign w:val="center"/>
          </w:tcPr>
          <w:p w14:paraId="626E51D5">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2805D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15" w:type="pct"/>
            <w:gridSpan w:val="3"/>
            <w:vMerge w:val="restart"/>
            <w:noWrap/>
            <w:vAlign w:val="center"/>
          </w:tcPr>
          <w:p w14:paraId="4D42CF0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r>
              <w:rPr>
                <w:rFonts w:hint="eastAsia" w:ascii="Times New Roman" w:hAnsi="Times New Roman" w:eastAsia="仿宋_GB2312"/>
                <w:bCs/>
                <w:sz w:val="22"/>
              </w:rPr>
              <w:t>合计</w:t>
            </w:r>
          </w:p>
        </w:tc>
        <w:tc>
          <w:tcPr>
            <w:tcW w:w="175" w:type="pct"/>
            <w:vMerge w:val="restart"/>
            <w:noWrap/>
            <w:vAlign w:val="center"/>
          </w:tcPr>
          <w:p w14:paraId="170C176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r>
              <w:rPr>
                <w:rFonts w:hint="default" w:ascii="Times New Roman" w:hAnsi="Times New Roman" w:eastAsia="仿宋_GB2312"/>
                <w:bCs/>
                <w:sz w:val="22"/>
              </w:rPr>
              <w:t>100</w:t>
            </w:r>
          </w:p>
        </w:tc>
        <w:tc>
          <w:tcPr>
            <w:tcW w:w="1046" w:type="pct"/>
            <w:gridSpan w:val="4"/>
            <w:noWrap/>
            <w:vAlign w:val="center"/>
          </w:tcPr>
          <w:p w14:paraId="45EAB38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r>
              <w:rPr>
                <w:rFonts w:hint="eastAsia" w:ascii="Times New Roman" w:hAnsi="Times New Roman" w:eastAsia="仿宋_GB2312"/>
                <w:bCs/>
                <w:sz w:val="22"/>
              </w:rPr>
              <w:t>合计：</w:t>
            </w:r>
          </w:p>
        </w:tc>
        <w:tc>
          <w:tcPr>
            <w:tcW w:w="1546" w:type="pct"/>
            <w:gridSpan w:val="2"/>
            <w:vMerge w:val="restart"/>
            <w:noWrap/>
            <w:vAlign w:val="center"/>
          </w:tcPr>
          <w:p w14:paraId="57F6AF4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r>
              <w:rPr>
                <w:rFonts w:hint="eastAsia" w:ascii="Times New Roman" w:hAnsi="Times New Roman" w:eastAsia="仿宋_GB2312"/>
                <w:bCs/>
                <w:sz w:val="22"/>
              </w:rPr>
              <w:t>优</w:t>
            </w:r>
          </w:p>
        </w:tc>
        <w:tc>
          <w:tcPr>
            <w:tcW w:w="219" w:type="pct"/>
            <w:vMerge w:val="restart"/>
            <w:noWrap/>
            <w:vAlign w:val="center"/>
          </w:tcPr>
          <w:p w14:paraId="2DAEA064">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r>
              <w:rPr>
                <w:rFonts w:hint="eastAsia" w:ascii="Times New Roman" w:hAnsi="Times New Roman" w:eastAsia="仿宋_GB2312"/>
                <w:bCs/>
                <w:sz w:val="22"/>
              </w:rPr>
              <w:t>3.17</w:t>
            </w:r>
          </w:p>
        </w:tc>
        <w:tc>
          <w:tcPr>
            <w:tcW w:w="259" w:type="pct"/>
            <w:vMerge w:val="restart"/>
            <w:noWrap/>
            <w:vAlign w:val="center"/>
          </w:tcPr>
          <w:p w14:paraId="1F4BEA42">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96.83</w:t>
            </w:r>
          </w:p>
        </w:tc>
        <w:tc>
          <w:tcPr>
            <w:tcW w:w="366" w:type="pct"/>
            <w:gridSpan w:val="2"/>
            <w:vMerge w:val="restart"/>
            <w:noWrap/>
            <w:vAlign w:val="center"/>
          </w:tcPr>
          <w:p w14:paraId="3E6695DB">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r>
              <w:rPr>
                <w:rFonts w:hint="eastAsia" w:ascii="Times New Roman" w:hAnsi="Times New Roman" w:eastAsia="仿宋_GB2312"/>
                <w:sz w:val="22"/>
              </w:rPr>
              <w:t>96.83%</w:t>
            </w:r>
          </w:p>
        </w:tc>
        <w:tc>
          <w:tcPr>
            <w:tcW w:w="369" w:type="pct"/>
            <w:vMerge w:val="restart"/>
            <w:vAlign w:val="center"/>
          </w:tcPr>
          <w:p w14:paraId="008FCF06">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298D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15" w:type="pct"/>
            <w:gridSpan w:val="3"/>
            <w:vMerge w:val="continue"/>
            <w:vAlign w:val="center"/>
          </w:tcPr>
          <w:p w14:paraId="025DD123">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p>
        </w:tc>
        <w:tc>
          <w:tcPr>
            <w:tcW w:w="175" w:type="pct"/>
            <w:vMerge w:val="continue"/>
            <w:vAlign w:val="center"/>
          </w:tcPr>
          <w:p w14:paraId="642CEC30">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p>
        </w:tc>
        <w:tc>
          <w:tcPr>
            <w:tcW w:w="1046" w:type="pct"/>
            <w:gridSpan w:val="4"/>
            <w:noWrap/>
            <w:vAlign w:val="center"/>
          </w:tcPr>
          <w:p w14:paraId="2A6DE60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r>
              <w:rPr>
                <w:rFonts w:hint="eastAsia" w:ascii="Times New Roman" w:hAnsi="Times New Roman" w:eastAsia="仿宋_GB2312"/>
                <w:bCs/>
                <w:sz w:val="22"/>
              </w:rPr>
              <w:t>评价等级</w:t>
            </w:r>
          </w:p>
        </w:tc>
        <w:tc>
          <w:tcPr>
            <w:tcW w:w="1546" w:type="pct"/>
            <w:gridSpan w:val="2"/>
            <w:vMerge w:val="continue"/>
            <w:vAlign w:val="center"/>
          </w:tcPr>
          <w:p w14:paraId="551ED25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p>
        </w:tc>
        <w:tc>
          <w:tcPr>
            <w:tcW w:w="219" w:type="pct"/>
            <w:vMerge w:val="continue"/>
            <w:vAlign w:val="center"/>
          </w:tcPr>
          <w:p w14:paraId="1A78431A">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p>
        </w:tc>
        <w:tc>
          <w:tcPr>
            <w:tcW w:w="259" w:type="pct"/>
            <w:vMerge w:val="continue"/>
            <w:vAlign w:val="center"/>
          </w:tcPr>
          <w:p w14:paraId="12B2FAB7">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66" w:type="pct"/>
            <w:gridSpan w:val="2"/>
            <w:vMerge w:val="continue"/>
            <w:vAlign w:val="center"/>
          </w:tcPr>
          <w:p w14:paraId="7748EFC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c>
          <w:tcPr>
            <w:tcW w:w="369" w:type="pct"/>
            <w:vMerge w:val="continue"/>
            <w:vAlign w:val="center"/>
          </w:tcPr>
          <w:p w14:paraId="4423B96D">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sz w:val="22"/>
              </w:rPr>
            </w:pPr>
          </w:p>
        </w:tc>
      </w:tr>
      <w:tr w14:paraId="1C19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0" w:hRule="atLeast"/>
          <w:jc w:val="center"/>
        </w:trPr>
        <w:tc>
          <w:tcPr>
            <w:tcW w:w="1952" w:type="pct"/>
            <w:gridSpan w:val="7"/>
            <w:noWrap/>
            <w:vAlign w:val="center"/>
          </w:tcPr>
          <w:p w14:paraId="30EE2761">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r>
              <w:rPr>
                <w:rFonts w:hint="eastAsia" w:ascii="Times New Roman" w:hAnsi="Times New Roman" w:eastAsia="仿宋_GB2312"/>
                <w:bCs/>
                <w:sz w:val="22"/>
              </w:rPr>
              <w:t>备注说明</w:t>
            </w:r>
          </w:p>
        </w:tc>
        <w:tc>
          <w:tcPr>
            <w:tcW w:w="2658" w:type="pct"/>
            <w:gridSpan w:val="6"/>
            <w:vAlign w:val="center"/>
          </w:tcPr>
          <w:p w14:paraId="3B696EE8">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r>
              <w:rPr>
                <w:rFonts w:hint="eastAsia" w:ascii="Times New Roman" w:hAnsi="Times New Roman" w:eastAsia="仿宋_GB2312"/>
                <w:bCs/>
                <w:sz w:val="22"/>
              </w:rPr>
              <w:t>评价分四个等级，分别为：优（得分</w:t>
            </w:r>
            <w:r>
              <w:rPr>
                <w:rFonts w:hint="default" w:ascii="Times New Roman" w:hAnsi="Times New Roman" w:eastAsia="仿宋_GB2312"/>
                <w:bCs/>
                <w:sz w:val="22"/>
              </w:rPr>
              <w:t>≥90</w:t>
            </w:r>
            <w:r>
              <w:rPr>
                <w:rFonts w:hint="eastAsia" w:ascii="Times New Roman" w:hAnsi="Times New Roman" w:eastAsia="仿宋_GB2312"/>
                <w:bCs/>
                <w:sz w:val="22"/>
              </w:rPr>
              <w:t>），良（</w:t>
            </w:r>
            <w:r>
              <w:rPr>
                <w:rFonts w:hint="default" w:ascii="Times New Roman" w:hAnsi="Times New Roman" w:eastAsia="仿宋_GB2312"/>
                <w:bCs/>
                <w:sz w:val="22"/>
              </w:rPr>
              <w:t>90</w:t>
            </w:r>
            <w:r>
              <w:rPr>
                <w:rFonts w:hint="eastAsia" w:ascii="Times New Roman" w:hAnsi="Times New Roman" w:eastAsia="仿宋_GB2312"/>
                <w:bCs/>
                <w:sz w:val="22"/>
              </w:rPr>
              <w:t>＞得分</w:t>
            </w:r>
            <w:r>
              <w:rPr>
                <w:rFonts w:hint="default" w:ascii="Times New Roman" w:hAnsi="Times New Roman" w:eastAsia="仿宋_GB2312"/>
                <w:bCs/>
                <w:sz w:val="22"/>
              </w:rPr>
              <w:t>≥80</w:t>
            </w:r>
            <w:r>
              <w:rPr>
                <w:rFonts w:hint="eastAsia" w:ascii="Times New Roman" w:hAnsi="Times New Roman" w:eastAsia="仿宋_GB2312"/>
                <w:bCs/>
                <w:sz w:val="22"/>
              </w:rPr>
              <w:t>），中（</w:t>
            </w:r>
            <w:r>
              <w:rPr>
                <w:rFonts w:hint="default" w:ascii="Times New Roman" w:hAnsi="Times New Roman" w:eastAsia="仿宋_GB2312"/>
                <w:bCs/>
                <w:sz w:val="22"/>
              </w:rPr>
              <w:t>80</w:t>
            </w:r>
            <w:r>
              <w:rPr>
                <w:rFonts w:hint="eastAsia" w:ascii="Times New Roman" w:hAnsi="Times New Roman" w:eastAsia="仿宋_GB2312"/>
                <w:bCs/>
                <w:sz w:val="22"/>
              </w:rPr>
              <w:t>＞得分</w:t>
            </w:r>
            <w:r>
              <w:rPr>
                <w:rFonts w:hint="default" w:ascii="Times New Roman" w:hAnsi="Times New Roman" w:eastAsia="仿宋_GB2312"/>
                <w:bCs/>
                <w:sz w:val="22"/>
              </w:rPr>
              <w:t>≥70</w:t>
            </w:r>
            <w:r>
              <w:rPr>
                <w:rFonts w:hint="eastAsia" w:ascii="Times New Roman" w:hAnsi="Times New Roman" w:eastAsia="仿宋_GB2312"/>
                <w:bCs/>
                <w:sz w:val="22"/>
              </w:rPr>
              <w:t>），差（得分＜</w:t>
            </w:r>
            <w:r>
              <w:rPr>
                <w:rFonts w:hint="default" w:ascii="Times New Roman" w:hAnsi="Times New Roman" w:eastAsia="仿宋_GB2312"/>
                <w:bCs/>
                <w:sz w:val="22"/>
              </w:rPr>
              <w:t>70</w:t>
            </w:r>
            <w:r>
              <w:rPr>
                <w:rFonts w:hint="eastAsia" w:ascii="Times New Roman" w:hAnsi="Times New Roman" w:eastAsia="仿宋_GB2312"/>
                <w:bCs/>
                <w:sz w:val="22"/>
              </w:rPr>
              <w:t>）</w:t>
            </w:r>
          </w:p>
        </w:tc>
        <w:tc>
          <w:tcPr>
            <w:tcW w:w="388" w:type="pct"/>
            <w:gridSpan w:val="2"/>
            <w:noWrap/>
            <w:vAlign w:val="center"/>
          </w:tcPr>
          <w:p w14:paraId="56D09CBC">
            <w:pPr>
              <w:keepNext w:val="0"/>
              <w:keepLines w:val="0"/>
              <w:pageBreakBefore w:val="0"/>
              <w:suppressLineNumbers/>
              <w:suppressAutoHyphens/>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仿宋_GB2312"/>
                <w:bCs/>
                <w:sz w:val="22"/>
              </w:rPr>
            </w:pPr>
          </w:p>
        </w:tc>
      </w:tr>
    </w:tbl>
    <w:p w14:paraId="24B64DA4">
      <w:pPr>
        <w:pStyle w:val="91"/>
        <w:widowControl w:val="0"/>
        <w:spacing w:before="0" w:after="0"/>
        <w:ind w:left="0"/>
        <w:rPr>
          <w:rFonts w:hint="default" w:ascii="Times New Roman" w:hAnsi="Times New Roman" w:eastAsia="方正黑体_GBK"/>
        </w:rPr>
        <w:sectPr>
          <w:footerReference r:id="rId13" w:type="default"/>
          <w:pgSz w:w="16838" w:h="11906" w:orient="landscape"/>
          <w:pgMar w:top="1531" w:right="1985" w:bottom="1531" w:left="1701" w:header="850" w:footer="992" w:gutter="0"/>
          <w:pgBorders>
            <w:top w:val="none" w:sz="0" w:space="0"/>
            <w:left w:val="none" w:sz="0" w:space="0"/>
            <w:bottom w:val="none" w:sz="0" w:space="0"/>
            <w:right w:val="none" w:sz="0" w:space="0"/>
          </w:pgBorders>
          <w:pgNumType w:fmt="decimal"/>
          <w:cols w:space="720" w:num="1"/>
          <w:docGrid w:linePitch="312" w:charSpace="0"/>
        </w:sectPr>
      </w:pPr>
    </w:p>
    <w:p w14:paraId="00CD5F87">
      <w:pPr>
        <w:pStyle w:val="91"/>
        <w:keepNext w:val="0"/>
        <w:keepLines w:val="0"/>
        <w:pageBreakBefore w:val="0"/>
        <w:widowControl w:val="0"/>
        <w:kinsoku/>
        <w:wordWrap/>
        <w:overflowPunct/>
        <w:topLinePunct w:val="0"/>
        <w:autoSpaceDE/>
        <w:autoSpaceDN/>
        <w:bidi w:val="0"/>
        <w:adjustRightInd/>
        <w:snapToGrid/>
        <w:spacing w:before="0" w:after="0"/>
        <w:ind w:left="0" w:firstLine="640" w:firstLineChars="200"/>
        <w:jc w:val="both"/>
        <w:textAlignment w:val="auto"/>
        <w:rPr>
          <w:rFonts w:hint="default" w:ascii="Times New Roman" w:hAnsi="Times New Roman" w:eastAsia="仿宋_GB2312" w:cs="Times New Roman"/>
          <w:bCs/>
          <w:sz w:val="32"/>
        </w:rPr>
      </w:pPr>
      <w:bookmarkStart w:id="107" w:name="_Toc4174"/>
      <w:bookmarkStart w:id="108" w:name="_Toc25000"/>
      <w:r>
        <w:rPr>
          <w:rFonts w:ascii="Times New Roman" w:hAnsi="Times New Roman" w:eastAsia="仿宋_GB2312" w:cs="Times New Roman"/>
          <w:bCs/>
          <w:sz w:val="32"/>
        </w:rPr>
        <w:t>附件2：基本信息表</w:t>
      </w:r>
      <w:bookmarkEnd w:id="107"/>
      <w:r>
        <w:rPr>
          <w:rFonts w:hint="default" w:ascii="Times New Roman" w:hAnsi="Times New Roman" w:eastAsia="仿宋_GB2312" w:cs="Times New Roman"/>
          <w:bCs/>
          <w:sz w:val="32"/>
        </w:rPr>
        <w:drawing>
          <wp:anchor distT="0" distB="0" distL="114300" distR="114300" simplePos="0" relativeHeight="251660288" behindDoc="0" locked="0" layoutInCell="1" allowOverlap="1">
            <wp:simplePos x="0" y="0"/>
            <wp:positionH relativeFrom="column">
              <wp:posOffset>86995</wp:posOffset>
            </wp:positionH>
            <wp:positionV relativeFrom="page">
              <wp:posOffset>1637665</wp:posOffset>
            </wp:positionV>
            <wp:extent cx="5577840" cy="7848600"/>
            <wp:effectExtent l="0" t="0" r="3810" b="0"/>
            <wp:wrapNone/>
            <wp:docPr id="174485614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856147" name="图片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577840" cy="7848600"/>
                    </a:xfrm>
                    <a:prstGeom prst="rect">
                      <a:avLst/>
                    </a:prstGeom>
                    <a:noFill/>
                  </pic:spPr>
                </pic:pic>
              </a:graphicData>
            </a:graphic>
          </wp:anchor>
        </w:drawing>
      </w:r>
      <w:bookmarkEnd w:id="108"/>
    </w:p>
    <w:p w14:paraId="61D67470">
      <w:pPr>
        <w:widowControl/>
        <w:jc w:val="center"/>
        <w:rPr>
          <w:rFonts w:eastAsia="方正黑体_GBK"/>
        </w:rPr>
      </w:pPr>
    </w:p>
    <w:p w14:paraId="7B3DE7F1">
      <w:pPr>
        <w:widowControl/>
        <w:jc w:val="center"/>
        <w:rPr>
          <w:rFonts w:eastAsia="方正黑体_GBK"/>
        </w:rPr>
      </w:pPr>
    </w:p>
    <w:p w14:paraId="10F80C81">
      <w:pPr>
        <w:widowControl/>
        <w:jc w:val="center"/>
        <w:rPr>
          <w:rFonts w:eastAsia="方正黑体_GBK"/>
        </w:rPr>
      </w:pPr>
    </w:p>
    <w:p w14:paraId="17045F66">
      <w:pPr>
        <w:widowControl/>
        <w:jc w:val="center"/>
        <w:rPr>
          <w:rFonts w:eastAsia="方正黑体_GBK"/>
        </w:rPr>
      </w:pPr>
    </w:p>
    <w:p w14:paraId="1DCC77D1">
      <w:pPr>
        <w:widowControl/>
        <w:jc w:val="center"/>
        <w:rPr>
          <w:rFonts w:eastAsia="方正黑体_GBK"/>
        </w:rPr>
      </w:pPr>
    </w:p>
    <w:p w14:paraId="481D4366">
      <w:pPr>
        <w:widowControl/>
        <w:jc w:val="center"/>
        <w:rPr>
          <w:rFonts w:eastAsia="方正黑体_GBK"/>
        </w:rPr>
      </w:pPr>
    </w:p>
    <w:p w14:paraId="25AF7BEB">
      <w:pPr>
        <w:widowControl/>
        <w:jc w:val="center"/>
        <w:rPr>
          <w:rFonts w:eastAsia="方正黑体_GBK"/>
        </w:rPr>
      </w:pPr>
    </w:p>
    <w:p w14:paraId="5831B45F">
      <w:pPr>
        <w:widowControl/>
        <w:jc w:val="center"/>
        <w:rPr>
          <w:rFonts w:eastAsia="方正黑体_GBK"/>
        </w:rPr>
      </w:pPr>
    </w:p>
    <w:p w14:paraId="05E17DBA">
      <w:pPr>
        <w:widowControl/>
        <w:jc w:val="center"/>
        <w:rPr>
          <w:rFonts w:eastAsia="方正黑体_GBK"/>
        </w:rPr>
      </w:pPr>
    </w:p>
    <w:p w14:paraId="36A0FA8C">
      <w:pPr>
        <w:widowControl/>
        <w:jc w:val="center"/>
        <w:rPr>
          <w:rFonts w:eastAsia="方正黑体_GBK"/>
        </w:rPr>
      </w:pPr>
    </w:p>
    <w:p w14:paraId="58B8AC9E">
      <w:pPr>
        <w:widowControl/>
        <w:jc w:val="center"/>
        <w:rPr>
          <w:rFonts w:eastAsia="方正黑体_GBK"/>
        </w:rPr>
      </w:pPr>
    </w:p>
    <w:p w14:paraId="3FC3087C">
      <w:pPr>
        <w:widowControl/>
        <w:jc w:val="center"/>
        <w:rPr>
          <w:rFonts w:eastAsia="方正黑体_GBK"/>
        </w:rPr>
      </w:pPr>
    </w:p>
    <w:p w14:paraId="382943C8">
      <w:pPr>
        <w:widowControl/>
        <w:jc w:val="center"/>
        <w:rPr>
          <w:rFonts w:eastAsia="方正黑体_GBK"/>
        </w:rPr>
      </w:pPr>
    </w:p>
    <w:p w14:paraId="221A151E">
      <w:pPr>
        <w:widowControl/>
        <w:jc w:val="center"/>
        <w:rPr>
          <w:rFonts w:eastAsia="方正黑体_GBK"/>
        </w:rPr>
      </w:pPr>
    </w:p>
    <w:p w14:paraId="5DA8E1FC">
      <w:pPr>
        <w:widowControl/>
        <w:jc w:val="center"/>
        <w:rPr>
          <w:rFonts w:eastAsia="方正黑体_GBK"/>
        </w:rPr>
      </w:pPr>
    </w:p>
    <w:p w14:paraId="32F26254">
      <w:pPr>
        <w:widowControl/>
        <w:jc w:val="center"/>
        <w:rPr>
          <w:rFonts w:eastAsia="方正黑体_GBK"/>
        </w:rPr>
      </w:pPr>
    </w:p>
    <w:p w14:paraId="17B30BEE">
      <w:pPr>
        <w:widowControl/>
        <w:jc w:val="center"/>
        <w:rPr>
          <w:rFonts w:eastAsia="方正黑体_GBK"/>
        </w:rPr>
      </w:pPr>
    </w:p>
    <w:p w14:paraId="4ADD7404">
      <w:pPr>
        <w:widowControl/>
        <w:jc w:val="center"/>
        <w:rPr>
          <w:rFonts w:eastAsia="方正黑体_GBK"/>
        </w:rPr>
      </w:pPr>
    </w:p>
    <w:p w14:paraId="2CB88D07">
      <w:pPr>
        <w:widowControl/>
        <w:jc w:val="center"/>
        <w:rPr>
          <w:rFonts w:eastAsia="方正黑体_GBK"/>
        </w:rPr>
      </w:pPr>
    </w:p>
    <w:p w14:paraId="3F071BA3">
      <w:pPr>
        <w:widowControl/>
        <w:jc w:val="center"/>
        <w:rPr>
          <w:rFonts w:eastAsia="方正黑体_GBK"/>
        </w:rPr>
      </w:pPr>
    </w:p>
    <w:p w14:paraId="0EBC0ABE">
      <w:pPr>
        <w:widowControl/>
        <w:jc w:val="center"/>
        <w:rPr>
          <w:rFonts w:eastAsia="方正黑体_GBK"/>
        </w:rPr>
      </w:pPr>
    </w:p>
    <w:p w14:paraId="5EF4DC49">
      <w:pPr>
        <w:widowControl/>
        <w:jc w:val="center"/>
        <w:rPr>
          <w:rFonts w:eastAsia="方正黑体_GBK"/>
        </w:rPr>
      </w:pPr>
    </w:p>
    <w:p w14:paraId="72B3BE60">
      <w:pPr>
        <w:widowControl/>
        <w:jc w:val="center"/>
        <w:rPr>
          <w:rFonts w:eastAsia="方正黑体_GBK"/>
        </w:rPr>
      </w:pPr>
    </w:p>
    <w:p w14:paraId="749B4B41">
      <w:pPr>
        <w:widowControl/>
        <w:jc w:val="center"/>
        <w:rPr>
          <w:rFonts w:eastAsia="方正黑体_GBK"/>
        </w:rPr>
      </w:pPr>
    </w:p>
    <w:p w14:paraId="04A2E97D">
      <w:pPr>
        <w:widowControl/>
        <w:jc w:val="center"/>
        <w:rPr>
          <w:rFonts w:eastAsia="方正黑体_GBK"/>
        </w:rPr>
      </w:pPr>
    </w:p>
    <w:p w14:paraId="78E41109">
      <w:pPr>
        <w:widowControl/>
        <w:jc w:val="center"/>
        <w:rPr>
          <w:rFonts w:eastAsia="方正黑体_GBK"/>
        </w:rPr>
      </w:pPr>
    </w:p>
    <w:p w14:paraId="606E820D">
      <w:pPr>
        <w:widowControl/>
        <w:jc w:val="center"/>
        <w:rPr>
          <w:rFonts w:eastAsia="方正黑体_GBK"/>
        </w:rPr>
      </w:pPr>
    </w:p>
    <w:p w14:paraId="0A800943">
      <w:pPr>
        <w:widowControl/>
        <w:jc w:val="center"/>
        <w:rPr>
          <w:rFonts w:eastAsia="方正黑体_GBK"/>
        </w:rPr>
      </w:pPr>
    </w:p>
    <w:p w14:paraId="6CF00F54">
      <w:pPr>
        <w:widowControl/>
        <w:jc w:val="center"/>
        <w:rPr>
          <w:rFonts w:eastAsia="方正黑体_GBK"/>
        </w:rPr>
      </w:pPr>
    </w:p>
    <w:p w14:paraId="5088E800">
      <w:pPr>
        <w:widowControl/>
        <w:jc w:val="center"/>
        <w:rPr>
          <w:rFonts w:eastAsia="方正黑体_GBK"/>
        </w:rPr>
      </w:pPr>
    </w:p>
    <w:p w14:paraId="2F3923CA">
      <w:pPr>
        <w:widowControl/>
        <w:jc w:val="center"/>
        <w:rPr>
          <w:rFonts w:eastAsia="方正黑体_GBK"/>
        </w:rPr>
      </w:pPr>
    </w:p>
    <w:p w14:paraId="3E1EC36A">
      <w:pPr>
        <w:widowControl/>
        <w:jc w:val="center"/>
        <w:rPr>
          <w:rFonts w:eastAsia="方正黑体_GBK"/>
        </w:rPr>
      </w:pPr>
    </w:p>
    <w:p w14:paraId="3D3B9AD7">
      <w:pPr>
        <w:widowControl/>
        <w:jc w:val="center"/>
        <w:rPr>
          <w:rFonts w:eastAsia="方正黑体_GBK"/>
        </w:rPr>
      </w:pPr>
    </w:p>
    <w:p w14:paraId="32B00213">
      <w:pPr>
        <w:widowControl/>
        <w:jc w:val="center"/>
        <w:rPr>
          <w:rFonts w:eastAsia="方正黑体_GBK"/>
        </w:rPr>
      </w:pPr>
    </w:p>
    <w:p w14:paraId="254C4FD2">
      <w:pPr>
        <w:widowControl/>
        <w:jc w:val="center"/>
        <w:rPr>
          <w:rFonts w:eastAsia="方正黑体_GBK"/>
        </w:rPr>
        <w:sectPr>
          <w:footerReference r:id="rId14" w:type="default"/>
          <w:footerReference r:id="rId15" w:type="even"/>
          <w:pgSz w:w="11906" w:h="16838"/>
          <w:pgMar w:top="1985" w:right="1531" w:bottom="1701" w:left="1531" w:header="850" w:footer="992" w:gutter="0"/>
          <w:pgBorders>
            <w:top w:val="none" w:sz="0" w:space="0"/>
            <w:left w:val="none" w:sz="0" w:space="0"/>
            <w:bottom w:val="none" w:sz="0" w:space="0"/>
            <w:right w:val="none" w:sz="0" w:space="0"/>
          </w:pgBorders>
          <w:pgNumType w:fmt="decimal"/>
          <w:cols w:space="720" w:num="1"/>
          <w:docGrid w:linePitch="312" w:charSpace="0"/>
        </w:sectPr>
      </w:pPr>
    </w:p>
    <w:p w14:paraId="7B9EF89D">
      <w:pPr>
        <w:rPr>
          <w:rFonts w:eastAsia="仿宋_GB2312"/>
          <w:bCs/>
        </w:rPr>
        <w:sectPr>
          <w:pgSz w:w="11906" w:h="16838"/>
          <w:pgMar w:top="1985" w:right="1531" w:bottom="1701" w:left="1531" w:header="850" w:footer="992" w:gutter="0"/>
          <w:pgBorders>
            <w:top w:val="none" w:sz="0" w:space="0"/>
            <w:left w:val="none" w:sz="0" w:space="0"/>
            <w:bottom w:val="none" w:sz="0" w:space="0"/>
            <w:right w:val="none" w:sz="0" w:space="0"/>
          </w:pgBorders>
          <w:pgNumType w:fmt="decimal"/>
          <w:cols w:space="720" w:num="1"/>
          <w:docGrid w:linePitch="312" w:charSpace="0"/>
        </w:sectPr>
      </w:pPr>
      <w:r>
        <w:rPr>
          <w:rFonts w:eastAsia="仿宋_GB2312"/>
          <w:bCs/>
        </w:rPr>
        <w:drawing>
          <wp:anchor distT="0" distB="0" distL="114300" distR="114300" simplePos="0" relativeHeight="251661312" behindDoc="0" locked="0" layoutInCell="1" allowOverlap="1">
            <wp:simplePos x="0" y="0"/>
            <wp:positionH relativeFrom="column">
              <wp:posOffset>-57785</wp:posOffset>
            </wp:positionH>
            <wp:positionV relativeFrom="page">
              <wp:posOffset>1296670</wp:posOffset>
            </wp:positionV>
            <wp:extent cx="5745480" cy="8232140"/>
            <wp:effectExtent l="0" t="0" r="0" b="12700"/>
            <wp:wrapNone/>
            <wp:docPr id="15617149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14939" name="图片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5745480" cy="8232140"/>
                    </a:xfrm>
                    <a:prstGeom prst="rect">
                      <a:avLst/>
                    </a:prstGeom>
                    <a:noFill/>
                  </pic:spPr>
                </pic:pic>
              </a:graphicData>
            </a:graphic>
          </wp:anchor>
        </w:drawing>
      </w:r>
    </w:p>
    <w:p w14:paraId="1CB48A43">
      <w:pPr>
        <w:pStyle w:val="91"/>
        <w:keepNext w:val="0"/>
        <w:keepLines w:val="0"/>
        <w:pageBreakBefore w:val="0"/>
        <w:widowControl w:val="0"/>
        <w:kinsoku/>
        <w:wordWrap/>
        <w:overflowPunct/>
        <w:topLinePunct w:val="0"/>
        <w:autoSpaceDE/>
        <w:autoSpaceDN/>
        <w:bidi w:val="0"/>
        <w:adjustRightInd/>
        <w:snapToGrid/>
        <w:spacing w:before="0" w:after="0"/>
        <w:ind w:left="0" w:firstLine="640" w:firstLineChars="200"/>
        <w:jc w:val="both"/>
        <w:textAlignment w:val="auto"/>
        <w:rPr>
          <w:rFonts w:hint="default" w:ascii="Times New Roman" w:hAnsi="Times New Roman" w:eastAsia="仿宋_GB2312" w:cs="Times New Roman"/>
          <w:bCs/>
          <w:sz w:val="32"/>
        </w:rPr>
      </w:pPr>
      <w:bookmarkStart w:id="109" w:name="_Toc19081"/>
      <w:r>
        <w:rPr>
          <w:rFonts w:ascii="Times New Roman" w:hAnsi="Times New Roman" w:eastAsia="仿宋_GB2312" w:cs="Times New Roman"/>
          <w:bCs/>
          <w:sz w:val="32"/>
        </w:rPr>
        <w:t>附件3：访谈记录</w:t>
      </w:r>
      <w:bookmarkEnd w:id="109"/>
    </w:p>
    <w:p w14:paraId="5528DD1E">
      <w:pPr>
        <w:rPr>
          <w:lang w:bidi="ar"/>
        </w:rPr>
      </w:pPr>
      <w:r>
        <w:rPr>
          <w:rFonts w:hint="default" w:ascii="Times New Roman" w:hAnsi="Times New Roman" w:eastAsia="仿宋_GB2312" w:cs="Times New Roman"/>
          <w:bCs/>
          <w:sz w:val="32"/>
        </w:rPr>
        <w:drawing>
          <wp:anchor distT="0" distB="0" distL="114300" distR="114300" simplePos="0" relativeHeight="251666432" behindDoc="0" locked="0" layoutInCell="1" allowOverlap="1">
            <wp:simplePos x="0" y="0"/>
            <wp:positionH relativeFrom="column">
              <wp:posOffset>-80645</wp:posOffset>
            </wp:positionH>
            <wp:positionV relativeFrom="page">
              <wp:posOffset>1638300</wp:posOffset>
            </wp:positionV>
            <wp:extent cx="5737225" cy="7861300"/>
            <wp:effectExtent l="0" t="0" r="8255" b="2540"/>
            <wp:wrapNone/>
            <wp:docPr id="6907702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70238" name="图片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737225" cy="7861300"/>
                    </a:xfrm>
                    <a:prstGeom prst="rect">
                      <a:avLst/>
                    </a:prstGeom>
                    <a:noFill/>
                  </pic:spPr>
                </pic:pic>
              </a:graphicData>
            </a:graphic>
          </wp:anchor>
        </w:drawing>
      </w:r>
    </w:p>
    <w:p w14:paraId="1BB7AB42">
      <w:pPr>
        <w:rPr>
          <w:lang w:bidi="ar"/>
        </w:rPr>
      </w:pPr>
    </w:p>
    <w:p w14:paraId="7031B0E8">
      <w:pPr>
        <w:rPr>
          <w:lang w:bidi="ar"/>
        </w:rPr>
      </w:pPr>
    </w:p>
    <w:p w14:paraId="3D5C9B62">
      <w:pPr>
        <w:rPr>
          <w:lang w:bidi="ar"/>
        </w:rPr>
      </w:pPr>
    </w:p>
    <w:p w14:paraId="24C1D60B">
      <w:pPr>
        <w:rPr>
          <w:lang w:bidi="ar"/>
        </w:rPr>
      </w:pPr>
    </w:p>
    <w:p w14:paraId="3B3D3CDD">
      <w:pPr>
        <w:rPr>
          <w:lang w:bidi="ar"/>
        </w:rPr>
      </w:pPr>
    </w:p>
    <w:p w14:paraId="3754AE19">
      <w:pPr>
        <w:rPr>
          <w:lang w:bidi="ar"/>
        </w:rPr>
      </w:pPr>
    </w:p>
    <w:p w14:paraId="46A7B752">
      <w:pPr>
        <w:rPr>
          <w:lang w:bidi="ar"/>
        </w:rPr>
      </w:pPr>
    </w:p>
    <w:p w14:paraId="2B308E25">
      <w:pPr>
        <w:rPr>
          <w:lang w:bidi="ar"/>
        </w:rPr>
      </w:pPr>
    </w:p>
    <w:p w14:paraId="00C9F49E">
      <w:pPr>
        <w:rPr>
          <w:lang w:bidi="ar"/>
        </w:rPr>
      </w:pPr>
    </w:p>
    <w:p w14:paraId="5EB9F656">
      <w:pPr>
        <w:rPr>
          <w:lang w:bidi="ar"/>
        </w:rPr>
      </w:pPr>
    </w:p>
    <w:p w14:paraId="1F2C3024">
      <w:pPr>
        <w:rPr>
          <w:lang w:bidi="ar"/>
        </w:rPr>
      </w:pPr>
    </w:p>
    <w:p w14:paraId="7D3F8D6C">
      <w:pPr>
        <w:rPr>
          <w:lang w:bidi="ar"/>
        </w:rPr>
      </w:pPr>
    </w:p>
    <w:p w14:paraId="0A2158DB">
      <w:pPr>
        <w:rPr>
          <w:lang w:bidi="ar"/>
        </w:rPr>
      </w:pPr>
    </w:p>
    <w:p w14:paraId="3C5A7D56">
      <w:pPr>
        <w:rPr>
          <w:lang w:bidi="ar"/>
        </w:rPr>
      </w:pPr>
    </w:p>
    <w:p w14:paraId="7687136C">
      <w:pPr>
        <w:rPr>
          <w:lang w:bidi="ar"/>
        </w:rPr>
      </w:pPr>
    </w:p>
    <w:p w14:paraId="37010581">
      <w:pPr>
        <w:rPr>
          <w:lang w:bidi="ar"/>
        </w:rPr>
      </w:pPr>
    </w:p>
    <w:p w14:paraId="3D3CF5AA">
      <w:pPr>
        <w:rPr>
          <w:lang w:bidi="ar"/>
        </w:rPr>
      </w:pPr>
    </w:p>
    <w:p w14:paraId="66A93F64">
      <w:pPr>
        <w:rPr>
          <w:lang w:bidi="ar"/>
        </w:rPr>
      </w:pPr>
    </w:p>
    <w:p w14:paraId="05F1C7DB">
      <w:pPr>
        <w:rPr>
          <w:lang w:bidi="ar"/>
        </w:rPr>
      </w:pPr>
    </w:p>
    <w:p w14:paraId="278CDEF2">
      <w:pPr>
        <w:rPr>
          <w:lang w:bidi="ar"/>
        </w:rPr>
      </w:pPr>
    </w:p>
    <w:p w14:paraId="6251C134">
      <w:pPr>
        <w:rPr>
          <w:lang w:bidi="ar"/>
        </w:rPr>
      </w:pPr>
    </w:p>
    <w:p w14:paraId="756DD92E">
      <w:pPr>
        <w:rPr>
          <w:lang w:bidi="ar"/>
        </w:rPr>
      </w:pPr>
    </w:p>
    <w:p w14:paraId="1231AC21">
      <w:pPr>
        <w:rPr>
          <w:lang w:bidi="ar"/>
        </w:rPr>
      </w:pPr>
    </w:p>
    <w:p w14:paraId="16A52F8E">
      <w:pPr>
        <w:rPr>
          <w:lang w:bidi="ar"/>
        </w:rPr>
      </w:pPr>
    </w:p>
    <w:p w14:paraId="5A1E0B96">
      <w:pPr>
        <w:rPr>
          <w:lang w:bidi="ar"/>
        </w:rPr>
      </w:pPr>
    </w:p>
    <w:p w14:paraId="4DAF71C0">
      <w:pPr>
        <w:rPr>
          <w:lang w:bidi="ar"/>
        </w:rPr>
      </w:pPr>
    </w:p>
    <w:p w14:paraId="5EABC10B">
      <w:pPr>
        <w:rPr>
          <w:lang w:bidi="ar"/>
        </w:rPr>
      </w:pPr>
    </w:p>
    <w:p w14:paraId="7E19AB38">
      <w:pPr>
        <w:rPr>
          <w:lang w:bidi="ar"/>
        </w:rPr>
      </w:pPr>
    </w:p>
    <w:p w14:paraId="39CA7696">
      <w:pPr>
        <w:rPr>
          <w:lang w:bidi="ar"/>
        </w:rPr>
      </w:pPr>
    </w:p>
    <w:p w14:paraId="27341A0E">
      <w:pPr>
        <w:rPr>
          <w:lang w:bidi="ar"/>
        </w:rPr>
      </w:pPr>
    </w:p>
    <w:p w14:paraId="14D86275">
      <w:pPr>
        <w:rPr>
          <w:lang w:bidi="ar"/>
        </w:rPr>
      </w:pPr>
    </w:p>
    <w:p w14:paraId="4C45CE09">
      <w:pPr>
        <w:rPr>
          <w:lang w:bidi="ar"/>
        </w:rPr>
      </w:pPr>
    </w:p>
    <w:p w14:paraId="2CFE1D91">
      <w:pPr>
        <w:rPr>
          <w:lang w:bidi="ar"/>
        </w:rPr>
      </w:pPr>
    </w:p>
    <w:p w14:paraId="2BC1058A">
      <w:pPr>
        <w:rPr>
          <w:lang w:bidi="ar"/>
        </w:rPr>
      </w:pPr>
    </w:p>
    <w:p w14:paraId="26FE4C03">
      <w:pPr>
        <w:rPr>
          <w:lang w:bidi="ar"/>
        </w:rPr>
      </w:pPr>
    </w:p>
    <w:p w14:paraId="04B6D082">
      <w:pPr>
        <w:rPr>
          <w:lang w:bidi="ar"/>
        </w:rPr>
      </w:pPr>
    </w:p>
    <w:p w14:paraId="7469AE4A">
      <w:pPr>
        <w:rPr>
          <w:lang w:bidi="ar"/>
        </w:rPr>
      </w:pPr>
    </w:p>
    <w:p w14:paraId="15504D63">
      <w:pPr>
        <w:rPr>
          <w:lang w:bidi="ar"/>
        </w:rPr>
      </w:pPr>
    </w:p>
    <w:p w14:paraId="44B59639">
      <w:pPr>
        <w:rPr>
          <w:lang w:bidi="ar"/>
        </w:rPr>
      </w:pPr>
    </w:p>
    <w:p w14:paraId="0550D896">
      <w:pPr>
        <w:rPr>
          <w:lang w:bidi="ar"/>
        </w:rPr>
      </w:pPr>
    </w:p>
    <w:p w14:paraId="099197BC">
      <w:pPr>
        <w:rPr>
          <w:lang w:bidi="ar"/>
        </w:rPr>
      </w:pPr>
    </w:p>
    <w:p w14:paraId="3176C557">
      <w:pPr>
        <w:rPr>
          <w:lang w:bidi="ar"/>
        </w:rPr>
      </w:pPr>
    </w:p>
    <w:p w14:paraId="347D5D5E">
      <w:pPr>
        <w:rPr>
          <w:lang w:bidi="ar"/>
        </w:rPr>
      </w:pPr>
    </w:p>
    <w:p w14:paraId="4873B2EB">
      <w:pPr>
        <w:rPr>
          <w:lang w:bidi="ar"/>
        </w:rPr>
      </w:pPr>
    </w:p>
    <w:p w14:paraId="19A3BE0F">
      <w:pPr>
        <w:rPr>
          <w:lang w:bidi="ar"/>
        </w:rPr>
      </w:pPr>
    </w:p>
    <w:p w14:paraId="39BF1360">
      <w:pPr>
        <w:rPr>
          <w:lang w:bidi="ar"/>
        </w:rPr>
      </w:pPr>
    </w:p>
    <w:p w14:paraId="7257201D">
      <w:pPr>
        <w:rPr>
          <w:lang w:bidi="ar"/>
        </w:rPr>
      </w:pPr>
    </w:p>
    <w:p w14:paraId="1377FB5D">
      <w:pPr>
        <w:rPr>
          <w:lang w:bidi="ar"/>
        </w:rPr>
      </w:pPr>
    </w:p>
    <w:p w14:paraId="7CF2D7F4">
      <w:pPr>
        <w:rPr>
          <w:lang w:bidi="ar"/>
        </w:rPr>
      </w:pPr>
    </w:p>
    <w:p w14:paraId="0B539C30">
      <w:pPr>
        <w:rPr>
          <w:lang w:bidi="ar"/>
        </w:rPr>
      </w:pPr>
    </w:p>
    <w:p w14:paraId="552D85CD">
      <w:pPr>
        <w:rPr>
          <w:rFonts w:ascii="Times New Roman" w:hAnsi="Times New Roman" w:eastAsia="宋体" w:cs="Times New Roman"/>
          <w:kern w:val="2"/>
          <w:sz w:val="21"/>
          <w:szCs w:val="22"/>
          <w:lang w:val="en-US" w:eastAsia="zh-CN" w:bidi="ar-SA"/>
        </w:rPr>
      </w:pPr>
      <w:r>
        <w:rPr>
          <w:lang w:bidi="ar"/>
        </w:rPr>
        <w:drawing>
          <wp:anchor distT="0" distB="0" distL="114300" distR="114300" simplePos="0" relativeHeight="251662336" behindDoc="0" locked="0" layoutInCell="1" allowOverlap="1">
            <wp:simplePos x="0" y="0"/>
            <wp:positionH relativeFrom="column">
              <wp:posOffset>-34925</wp:posOffset>
            </wp:positionH>
            <wp:positionV relativeFrom="paragraph">
              <wp:posOffset>58420</wp:posOffset>
            </wp:positionV>
            <wp:extent cx="5661025" cy="8027670"/>
            <wp:effectExtent l="0" t="0" r="8255" b="3810"/>
            <wp:wrapTopAndBottom/>
            <wp:docPr id="14112226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222618" name="图片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661025" cy="8027670"/>
                    </a:xfrm>
                    <a:prstGeom prst="rect">
                      <a:avLst/>
                    </a:prstGeom>
                    <a:noFill/>
                  </pic:spPr>
                </pic:pic>
              </a:graphicData>
            </a:graphic>
          </wp:anchor>
        </w:drawing>
      </w:r>
    </w:p>
    <w:p w14:paraId="1E977DFF">
      <w:pPr>
        <w:rPr>
          <w:lang w:bidi="ar"/>
        </w:rPr>
      </w:pPr>
      <w:r>
        <w:rPr>
          <w:rFonts w:hint="eastAsia" w:eastAsia="宋体"/>
          <w:lang w:eastAsia="zh-CN"/>
        </w:rPr>
        <w:drawing>
          <wp:anchor distT="0" distB="0" distL="114300" distR="114300" simplePos="0" relativeHeight="251667456" behindDoc="0" locked="0" layoutInCell="1" allowOverlap="1">
            <wp:simplePos x="0" y="0"/>
            <wp:positionH relativeFrom="column">
              <wp:posOffset>150495</wp:posOffset>
            </wp:positionH>
            <wp:positionV relativeFrom="paragraph">
              <wp:posOffset>112395</wp:posOffset>
            </wp:positionV>
            <wp:extent cx="5683885" cy="8119110"/>
            <wp:effectExtent l="0" t="0" r="635" b="3810"/>
            <wp:wrapTopAndBottom/>
            <wp:docPr id="4" name="图片 4" descr="f5dddc21883a73b748e60d6837cb41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5dddc21883a73b748e60d6837cb41cf"/>
                    <pic:cNvPicPr>
                      <a:picLocks noChangeAspect="1"/>
                    </pic:cNvPicPr>
                  </pic:nvPicPr>
                  <pic:blipFill>
                    <a:blip r:embed="rId23"/>
                    <a:stretch>
                      <a:fillRect/>
                    </a:stretch>
                  </pic:blipFill>
                  <pic:spPr>
                    <a:xfrm>
                      <a:off x="0" y="0"/>
                      <a:ext cx="5683885" cy="8119110"/>
                    </a:xfrm>
                    <a:prstGeom prst="rect">
                      <a:avLst/>
                    </a:prstGeom>
                  </pic:spPr>
                </pic:pic>
              </a:graphicData>
            </a:graphic>
          </wp:anchor>
        </w:drawing>
      </w:r>
    </w:p>
    <w:p w14:paraId="34C96EFD">
      <w:pPr>
        <w:pStyle w:val="91"/>
        <w:keepNext w:val="0"/>
        <w:keepLines w:val="0"/>
        <w:pageBreakBefore w:val="0"/>
        <w:widowControl w:val="0"/>
        <w:kinsoku/>
        <w:wordWrap/>
        <w:overflowPunct/>
        <w:topLinePunct w:val="0"/>
        <w:autoSpaceDE/>
        <w:autoSpaceDN/>
        <w:bidi w:val="0"/>
        <w:adjustRightInd/>
        <w:snapToGrid/>
        <w:spacing w:before="0" w:after="0"/>
        <w:ind w:left="0" w:leftChars="0" w:firstLine="640" w:firstLineChars="200"/>
        <w:jc w:val="both"/>
        <w:textAlignment w:val="auto"/>
        <w:rPr>
          <w:rFonts w:hint="default" w:ascii="Times New Roman" w:hAnsi="Times New Roman" w:eastAsia="仿宋_GB2312" w:cs="Times New Roman"/>
          <w:bCs/>
          <w:sz w:val="32"/>
        </w:rPr>
      </w:pPr>
      <w:bookmarkStart w:id="110" w:name="_Toc14121"/>
      <w:r>
        <w:rPr>
          <w:rFonts w:hint="default" w:ascii="Times New Roman" w:hAnsi="Times New Roman" w:eastAsia="仿宋_GB2312" w:cs="Times New Roman"/>
          <w:bCs/>
          <w:sz w:val="32"/>
        </w:rPr>
        <w:drawing>
          <wp:anchor distT="0" distB="0" distL="114300" distR="114300" simplePos="0" relativeHeight="251663360" behindDoc="0" locked="0" layoutInCell="1" allowOverlap="1">
            <wp:simplePos x="0" y="0"/>
            <wp:positionH relativeFrom="column">
              <wp:posOffset>3175</wp:posOffset>
            </wp:positionH>
            <wp:positionV relativeFrom="paragraph">
              <wp:posOffset>355600</wp:posOffset>
            </wp:positionV>
            <wp:extent cx="5608320" cy="7870825"/>
            <wp:effectExtent l="0" t="0" r="0" b="8255"/>
            <wp:wrapNone/>
            <wp:docPr id="166061089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610897" name="图片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608320" cy="7870825"/>
                    </a:xfrm>
                    <a:prstGeom prst="rect">
                      <a:avLst/>
                    </a:prstGeom>
                    <a:noFill/>
                  </pic:spPr>
                </pic:pic>
              </a:graphicData>
            </a:graphic>
          </wp:anchor>
        </w:drawing>
      </w:r>
      <w:r>
        <w:rPr>
          <w:rFonts w:ascii="Times New Roman" w:hAnsi="Times New Roman" w:eastAsia="仿宋_GB2312" w:cs="Times New Roman"/>
          <w:bCs/>
          <w:sz w:val="32"/>
        </w:rPr>
        <w:t>附件4：实地勘察记录</w:t>
      </w:r>
      <w:bookmarkEnd w:id="110"/>
    </w:p>
    <w:p w14:paraId="2EB3A119">
      <w:pPr>
        <w:rPr>
          <w:lang w:bidi="ar"/>
        </w:rPr>
      </w:pPr>
    </w:p>
    <w:p w14:paraId="3C3816F8">
      <w:pPr>
        <w:rPr>
          <w:lang w:bidi="ar"/>
        </w:rPr>
      </w:pPr>
    </w:p>
    <w:p w14:paraId="4ED60E98">
      <w:pPr>
        <w:rPr>
          <w:lang w:bidi="ar"/>
        </w:rPr>
      </w:pPr>
    </w:p>
    <w:p w14:paraId="04FAC9A5">
      <w:pPr>
        <w:rPr>
          <w:lang w:bidi="ar"/>
        </w:rPr>
      </w:pPr>
    </w:p>
    <w:p w14:paraId="24166C0D">
      <w:pPr>
        <w:rPr>
          <w:lang w:bidi="ar"/>
        </w:rPr>
      </w:pPr>
    </w:p>
    <w:p w14:paraId="0B3BEF8A">
      <w:pPr>
        <w:rPr>
          <w:lang w:bidi="ar"/>
        </w:rPr>
      </w:pPr>
    </w:p>
    <w:p w14:paraId="1561392F">
      <w:pPr>
        <w:rPr>
          <w:lang w:bidi="ar"/>
        </w:rPr>
      </w:pPr>
    </w:p>
    <w:p w14:paraId="4DDB6E74">
      <w:pPr>
        <w:rPr>
          <w:lang w:bidi="ar"/>
        </w:rPr>
      </w:pPr>
    </w:p>
    <w:p w14:paraId="762942B0">
      <w:pPr>
        <w:rPr>
          <w:lang w:bidi="ar"/>
        </w:rPr>
      </w:pPr>
    </w:p>
    <w:p w14:paraId="27F03F04">
      <w:pPr>
        <w:rPr>
          <w:lang w:bidi="ar"/>
        </w:rPr>
      </w:pPr>
    </w:p>
    <w:p w14:paraId="46AE57A4">
      <w:pPr>
        <w:rPr>
          <w:lang w:bidi="ar"/>
        </w:rPr>
      </w:pPr>
    </w:p>
    <w:p w14:paraId="29650A97">
      <w:pPr>
        <w:rPr>
          <w:lang w:bidi="ar"/>
        </w:rPr>
      </w:pPr>
    </w:p>
    <w:p w14:paraId="24541ECB">
      <w:pPr>
        <w:rPr>
          <w:lang w:bidi="ar"/>
        </w:rPr>
      </w:pPr>
    </w:p>
    <w:p w14:paraId="4A2E26B7">
      <w:pPr>
        <w:rPr>
          <w:lang w:bidi="ar"/>
        </w:rPr>
      </w:pPr>
    </w:p>
    <w:p w14:paraId="67901391">
      <w:pPr>
        <w:rPr>
          <w:lang w:bidi="ar"/>
        </w:rPr>
      </w:pPr>
    </w:p>
    <w:p w14:paraId="1D4BA0C2">
      <w:pPr>
        <w:rPr>
          <w:lang w:bidi="ar"/>
        </w:rPr>
      </w:pPr>
    </w:p>
    <w:p w14:paraId="7962E859">
      <w:pPr>
        <w:rPr>
          <w:lang w:bidi="ar"/>
        </w:rPr>
      </w:pPr>
    </w:p>
    <w:p w14:paraId="62788F2C">
      <w:pPr>
        <w:rPr>
          <w:lang w:bidi="ar"/>
        </w:rPr>
      </w:pPr>
    </w:p>
    <w:p w14:paraId="46197A1A">
      <w:pPr>
        <w:rPr>
          <w:lang w:bidi="ar"/>
        </w:rPr>
      </w:pPr>
    </w:p>
    <w:p w14:paraId="5A6E1F98">
      <w:pPr>
        <w:rPr>
          <w:lang w:bidi="ar"/>
        </w:rPr>
      </w:pPr>
    </w:p>
    <w:p w14:paraId="4DBEF67D">
      <w:pPr>
        <w:rPr>
          <w:lang w:bidi="ar"/>
        </w:rPr>
      </w:pPr>
    </w:p>
    <w:p w14:paraId="3203054F">
      <w:pPr>
        <w:rPr>
          <w:lang w:bidi="ar"/>
        </w:rPr>
      </w:pPr>
    </w:p>
    <w:p w14:paraId="38EF70C1">
      <w:pPr>
        <w:rPr>
          <w:lang w:bidi="ar"/>
        </w:rPr>
      </w:pPr>
    </w:p>
    <w:p w14:paraId="54C579C6">
      <w:pPr>
        <w:rPr>
          <w:lang w:bidi="ar"/>
        </w:rPr>
      </w:pPr>
    </w:p>
    <w:p w14:paraId="36DD7CB8">
      <w:pPr>
        <w:rPr>
          <w:lang w:bidi="ar"/>
        </w:rPr>
      </w:pPr>
    </w:p>
    <w:p w14:paraId="6A0665E0">
      <w:pPr>
        <w:rPr>
          <w:lang w:bidi="ar"/>
        </w:rPr>
      </w:pPr>
    </w:p>
    <w:p w14:paraId="127F23B6">
      <w:pPr>
        <w:rPr>
          <w:lang w:bidi="ar"/>
        </w:rPr>
      </w:pPr>
    </w:p>
    <w:p w14:paraId="3289AEB9">
      <w:pPr>
        <w:rPr>
          <w:lang w:bidi="ar"/>
        </w:rPr>
      </w:pPr>
    </w:p>
    <w:p w14:paraId="6700AC1F">
      <w:pPr>
        <w:rPr>
          <w:lang w:bidi="ar"/>
        </w:rPr>
      </w:pPr>
    </w:p>
    <w:p w14:paraId="1FD814F4">
      <w:pPr>
        <w:rPr>
          <w:lang w:bidi="ar"/>
        </w:rPr>
      </w:pPr>
    </w:p>
    <w:p w14:paraId="3FA89980">
      <w:pPr>
        <w:rPr>
          <w:lang w:bidi="ar"/>
        </w:rPr>
      </w:pPr>
    </w:p>
    <w:p w14:paraId="42159A91">
      <w:pPr>
        <w:rPr>
          <w:lang w:bidi="ar"/>
        </w:rPr>
      </w:pPr>
    </w:p>
    <w:p w14:paraId="51D78910">
      <w:pPr>
        <w:rPr>
          <w:lang w:bidi="ar"/>
        </w:rPr>
      </w:pPr>
    </w:p>
    <w:p w14:paraId="54B2033A">
      <w:pPr>
        <w:rPr>
          <w:lang w:bidi="ar"/>
        </w:rPr>
      </w:pPr>
    </w:p>
    <w:p w14:paraId="4C32AECC">
      <w:pPr>
        <w:rPr>
          <w:lang w:bidi="ar"/>
        </w:rPr>
      </w:pPr>
    </w:p>
    <w:p w14:paraId="4F68A312">
      <w:pPr>
        <w:rPr>
          <w:lang w:bidi="ar"/>
        </w:rPr>
      </w:pPr>
    </w:p>
    <w:p w14:paraId="7C44D702">
      <w:pPr>
        <w:rPr>
          <w:lang w:bidi="ar"/>
        </w:rPr>
      </w:pPr>
    </w:p>
    <w:p w14:paraId="77F95006">
      <w:pPr>
        <w:rPr>
          <w:lang w:bidi="ar"/>
        </w:rPr>
      </w:pPr>
    </w:p>
    <w:p w14:paraId="327FF064">
      <w:pPr>
        <w:rPr>
          <w:lang w:bidi="ar"/>
        </w:rPr>
      </w:pPr>
    </w:p>
    <w:p w14:paraId="7135E9B1">
      <w:pPr>
        <w:rPr>
          <w:lang w:bidi="ar"/>
        </w:rPr>
      </w:pPr>
    </w:p>
    <w:p w14:paraId="3C532270">
      <w:pPr>
        <w:rPr>
          <w:lang w:bidi="ar"/>
        </w:rPr>
      </w:pPr>
    </w:p>
    <w:p w14:paraId="5C5CF555">
      <w:pPr>
        <w:rPr>
          <w:lang w:bidi="ar"/>
        </w:rPr>
      </w:pPr>
    </w:p>
    <w:p w14:paraId="753CA521">
      <w:pPr>
        <w:rPr>
          <w:lang w:bidi="ar"/>
        </w:rPr>
      </w:pPr>
    </w:p>
    <w:p w14:paraId="3297C85E">
      <w:pPr>
        <w:rPr>
          <w:lang w:bidi="ar"/>
        </w:rPr>
      </w:pPr>
    </w:p>
    <w:p w14:paraId="03EE8EDA">
      <w:pPr>
        <w:rPr>
          <w:lang w:bidi="ar"/>
        </w:rPr>
      </w:pPr>
    </w:p>
    <w:p w14:paraId="71EAE65B">
      <w:pPr>
        <w:rPr>
          <w:lang w:bidi="ar"/>
        </w:rPr>
      </w:pPr>
    </w:p>
    <w:p w14:paraId="5B9434DB">
      <w:pPr>
        <w:rPr>
          <w:lang w:bidi="ar"/>
        </w:rPr>
      </w:pPr>
    </w:p>
    <w:p w14:paraId="5FBCA2E1">
      <w:pPr>
        <w:rPr>
          <w:lang w:bidi="ar"/>
        </w:rPr>
      </w:pPr>
    </w:p>
    <w:p w14:paraId="62C16C1A">
      <w:pPr>
        <w:rPr>
          <w:lang w:bidi="ar"/>
        </w:rPr>
      </w:pPr>
    </w:p>
    <w:p w14:paraId="315CFD89">
      <w:pPr>
        <w:rPr>
          <w:lang w:bidi="ar"/>
        </w:rPr>
      </w:pPr>
    </w:p>
    <w:p w14:paraId="57772D4F">
      <w:pPr>
        <w:pStyle w:val="91"/>
        <w:keepNext w:val="0"/>
        <w:keepLines w:val="0"/>
        <w:pageBreakBefore w:val="0"/>
        <w:widowControl w:val="0"/>
        <w:kinsoku/>
        <w:wordWrap/>
        <w:overflowPunct/>
        <w:topLinePunct w:val="0"/>
        <w:autoSpaceDE/>
        <w:autoSpaceDN/>
        <w:bidi w:val="0"/>
        <w:adjustRightInd/>
        <w:snapToGrid/>
        <w:spacing w:before="0" w:after="0"/>
        <w:ind w:left="0" w:firstLine="640" w:firstLineChars="200"/>
        <w:jc w:val="both"/>
        <w:textAlignment w:val="auto"/>
        <w:rPr>
          <w:rFonts w:hint="default" w:ascii="Times New Roman" w:hAnsi="Times New Roman" w:eastAsia="仿宋_GB2312" w:cs="Times New Roman"/>
          <w:bCs/>
          <w:sz w:val="32"/>
          <w:lang w:val="en-US" w:eastAsia="zh-CN"/>
        </w:rPr>
      </w:pPr>
      <w:bookmarkStart w:id="111" w:name="_Toc19634"/>
      <w:r>
        <w:rPr>
          <w:rFonts w:ascii="Times New Roman" w:hAnsi="Times New Roman" w:eastAsia="仿宋_GB2312" w:cs="Times New Roman"/>
          <w:bCs/>
          <w:sz w:val="32"/>
        </w:rPr>
        <w:t>附件5：</w:t>
      </w:r>
      <w:r>
        <w:rPr>
          <w:rFonts w:hint="eastAsia" w:ascii="Times New Roman" w:hAnsi="Times New Roman" w:eastAsia="仿宋_GB2312" w:cs="Times New Roman"/>
          <w:bCs/>
          <w:sz w:val="32"/>
          <w:lang w:val="en-US" w:eastAsia="zh-CN"/>
        </w:rPr>
        <w:t>绩效评价报告单位反馈意见单</w:t>
      </w:r>
      <w:bookmarkEnd w:id="111"/>
    </w:p>
    <w:p w14:paraId="121226EA">
      <w:pPr>
        <w:rPr>
          <w:rFonts w:hint="eastAsia" w:eastAsia="宋体"/>
          <w:lang w:eastAsia="zh-CN" w:bidi="ar"/>
        </w:rPr>
      </w:pPr>
      <w:r>
        <w:rPr>
          <w:rFonts w:hint="eastAsia" w:eastAsia="宋体"/>
          <w:lang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17145</wp:posOffset>
            </wp:positionV>
            <wp:extent cx="5692775" cy="7806055"/>
            <wp:effectExtent l="0" t="0" r="6985" b="12065"/>
            <wp:wrapNone/>
            <wp:docPr id="7" name="图片 7" descr="c6cc1d3473546017e82880f33c1486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6cc1d3473546017e82880f33c1486e4"/>
                    <pic:cNvPicPr>
                      <a:picLocks noChangeAspect="1"/>
                    </pic:cNvPicPr>
                  </pic:nvPicPr>
                  <pic:blipFill>
                    <a:blip r:embed="rId25"/>
                    <a:stretch>
                      <a:fillRect/>
                    </a:stretch>
                  </pic:blipFill>
                  <pic:spPr>
                    <a:xfrm>
                      <a:off x="0" y="0"/>
                      <a:ext cx="5692775" cy="7806055"/>
                    </a:xfrm>
                    <a:prstGeom prst="rect">
                      <a:avLst/>
                    </a:prstGeom>
                  </pic:spPr>
                </pic:pic>
              </a:graphicData>
            </a:graphic>
          </wp:anchor>
        </w:drawing>
      </w:r>
    </w:p>
    <w:p w14:paraId="190FB356"/>
    <w:p w14:paraId="689BCD0E"/>
    <w:p w14:paraId="6B784E96"/>
    <w:p w14:paraId="797A910F"/>
    <w:p w14:paraId="44BF0790"/>
    <w:p w14:paraId="34FCB303"/>
    <w:p w14:paraId="611C10F6"/>
    <w:p w14:paraId="243257A2"/>
    <w:p w14:paraId="753CD82F"/>
    <w:p w14:paraId="2150ACF7"/>
    <w:p w14:paraId="784FD30B"/>
    <w:p w14:paraId="4ECE84EB"/>
    <w:p w14:paraId="606D5CF2"/>
    <w:p w14:paraId="70093CE7"/>
    <w:p w14:paraId="145BDD6F"/>
    <w:p w14:paraId="52242883"/>
    <w:p w14:paraId="25FED83B"/>
    <w:p w14:paraId="550AE637"/>
    <w:p w14:paraId="1208E9CC"/>
    <w:p w14:paraId="05040658"/>
    <w:p w14:paraId="7871CAD1"/>
    <w:p w14:paraId="3BB0C705"/>
    <w:p w14:paraId="2F2FC211"/>
    <w:p w14:paraId="24EB9620"/>
    <w:p w14:paraId="79FCC3C6"/>
    <w:p w14:paraId="22851050"/>
    <w:p w14:paraId="30B0AEA9"/>
    <w:p w14:paraId="22F06EC8"/>
    <w:p w14:paraId="6D7055B9"/>
    <w:p w14:paraId="6263DAD7"/>
    <w:p w14:paraId="28692E41"/>
    <w:p w14:paraId="6DA9F2BD"/>
    <w:p w14:paraId="7E68F60B"/>
    <w:p w14:paraId="5BFE89FD"/>
    <w:p w14:paraId="1140DCD5"/>
    <w:p w14:paraId="240744C1"/>
    <w:p w14:paraId="0E8D353B"/>
    <w:p w14:paraId="5A38BDB7"/>
    <w:p w14:paraId="6847A331"/>
    <w:p w14:paraId="0F3B7C7E"/>
    <w:p w14:paraId="49CD8DB9"/>
    <w:p w14:paraId="2E63881A"/>
    <w:p w14:paraId="41B54D8E"/>
    <w:p w14:paraId="180890D3"/>
    <w:p w14:paraId="30366254"/>
    <w:p w14:paraId="5D2732E1"/>
    <w:p w14:paraId="12422C1C"/>
    <w:p w14:paraId="2923E9E0"/>
    <w:p w14:paraId="2217205A"/>
    <w:p w14:paraId="6D73A6EF">
      <w:pPr>
        <w:pStyle w:val="91"/>
        <w:keepNext w:val="0"/>
        <w:keepLines w:val="0"/>
        <w:pageBreakBefore w:val="0"/>
        <w:widowControl w:val="0"/>
        <w:kinsoku/>
        <w:wordWrap/>
        <w:overflowPunct/>
        <w:topLinePunct w:val="0"/>
        <w:autoSpaceDE/>
        <w:autoSpaceDN/>
        <w:bidi w:val="0"/>
        <w:adjustRightInd/>
        <w:snapToGrid/>
        <w:spacing w:before="0" w:after="0"/>
        <w:ind w:left="0" w:firstLine="640" w:firstLineChars="200"/>
        <w:jc w:val="both"/>
        <w:textAlignment w:val="auto"/>
        <w:rPr>
          <w:rFonts w:hint="default" w:ascii="Times New Roman" w:hAnsi="Times New Roman" w:eastAsia="仿宋_GB2312" w:cs="Times New Roman"/>
          <w:bCs/>
          <w:sz w:val="32"/>
          <w:lang w:val="en-US" w:eastAsia="zh-CN"/>
        </w:rPr>
      </w:pPr>
      <w:bookmarkStart w:id="112" w:name="_Toc17997"/>
      <w:r>
        <w:rPr>
          <w:rFonts w:ascii="Times New Roman" w:hAnsi="Times New Roman" w:eastAsia="仿宋_GB2312" w:cs="Times New Roman"/>
          <w:bCs/>
          <w:sz w:val="32"/>
        </w:rPr>
        <w:t>附件</w:t>
      </w:r>
      <w:r>
        <w:rPr>
          <w:rFonts w:hint="eastAsia" w:ascii="Times New Roman" w:hAnsi="Times New Roman" w:eastAsia="仿宋_GB2312" w:cs="Times New Roman"/>
          <w:bCs/>
          <w:sz w:val="32"/>
          <w:lang w:val="en-US" w:eastAsia="zh-CN"/>
        </w:rPr>
        <w:t>6</w:t>
      </w:r>
      <w:r>
        <w:rPr>
          <w:rFonts w:ascii="Times New Roman" w:hAnsi="Times New Roman" w:eastAsia="仿宋_GB2312" w:cs="Times New Roman"/>
          <w:bCs/>
          <w:sz w:val="32"/>
        </w:rPr>
        <w:t>：</w:t>
      </w:r>
      <w:r>
        <w:rPr>
          <w:rFonts w:hint="eastAsia" w:ascii="Times New Roman" w:hAnsi="Times New Roman" w:eastAsia="仿宋_GB2312" w:cs="Times New Roman"/>
          <w:bCs/>
          <w:sz w:val="32"/>
          <w:lang w:val="en-US" w:eastAsia="zh-CN"/>
        </w:rPr>
        <w:t>绩效评价报告财政部门反馈意见单</w:t>
      </w:r>
      <w:bookmarkEnd w:id="112"/>
    </w:p>
    <w:p w14:paraId="7E5568C4">
      <w:pPr>
        <w:rPr>
          <w:rFonts w:hint="eastAsia" w:eastAsia="宋体"/>
          <w:lang w:eastAsia="zh-CN"/>
        </w:rPr>
      </w:pPr>
      <w:r>
        <w:rPr>
          <w:rFonts w:hint="eastAsia" w:eastAsia="宋体"/>
          <w:lang w:eastAsia="zh-CN"/>
        </w:rPr>
        <w:drawing>
          <wp:anchor distT="0" distB="0" distL="114300" distR="114300" simplePos="0" relativeHeight="251665408" behindDoc="0" locked="0" layoutInCell="1" allowOverlap="1">
            <wp:simplePos x="0" y="0"/>
            <wp:positionH relativeFrom="column">
              <wp:posOffset>0</wp:posOffset>
            </wp:positionH>
            <wp:positionV relativeFrom="paragraph">
              <wp:posOffset>40640</wp:posOffset>
            </wp:positionV>
            <wp:extent cx="5635625" cy="7780020"/>
            <wp:effectExtent l="0" t="0" r="3175" b="7620"/>
            <wp:wrapNone/>
            <wp:docPr id="5" name="图片 5" descr="b31b2e3ef9a3070cda5a9c9010d3f9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b31b2e3ef9a3070cda5a9c9010d3f9da"/>
                    <pic:cNvPicPr>
                      <a:picLocks noChangeAspect="1"/>
                    </pic:cNvPicPr>
                  </pic:nvPicPr>
                  <pic:blipFill>
                    <a:blip r:embed="rId26"/>
                    <a:stretch>
                      <a:fillRect/>
                    </a:stretch>
                  </pic:blipFill>
                  <pic:spPr>
                    <a:xfrm>
                      <a:off x="0" y="0"/>
                      <a:ext cx="5635625" cy="7780020"/>
                    </a:xfrm>
                    <a:prstGeom prst="rect">
                      <a:avLst/>
                    </a:prstGeom>
                  </pic:spPr>
                </pic:pic>
              </a:graphicData>
            </a:graphic>
          </wp:anchor>
        </w:drawing>
      </w:r>
    </w:p>
    <w:sectPr>
      <w:footerReference r:id="rId16" w:type="default"/>
      <w:footerReference r:id="rId17" w:type="even"/>
      <w:pgSz w:w="11906" w:h="16838"/>
      <w:pgMar w:top="1985" w:right="1531" w:bottom="1701" w:left="1531" w:header="850"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MingLiU-ExtB">
    <w:panose1 w:val="02020500000000000000"/>
    <w:charset w:val="88"/>
    <w:family w:val="roman"/>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___WRD_EMBED_SUB_47">
    <w:altName w:val="Calibri"/>
    <w:panose1 w:val="00000000000000000000"/>
    <w:charset w:val="00"/>
    <w:family w:val="auto"/>
    <w:pitch w:val="default"/>
    <w:sig w:usb0="00000000" w:usb1="00000000" w:usb2="00000000" w:usb3="00000000" w:csb0="00000000" w:csb1="00000000"/>
  </w:font>
  <w:font w:name="方正黑体_GBK">
    <w:panose1 w:val="03000509000000000000"/>
    <w:charset w:val="86"/>
    <w:family w:val="script"/>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B921C">
    <w:pPr>
      <w:spacing w:line="233" w:lineRule="auto"/>
      <w:rPr>
        <w:rFonts w:hint="eastAsia" w:ascii="宋体" w:hAnsi="宋体" w:cs="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702CE">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2AC17">
    <w:pPr>
      <w:pStyle w:val="17"/>
      <w:tabs>
        <w:tab w:val="clear" w:pos="4153"/>
        <w:tab w:val="clear" w:pos="8306"/>
      </w:tabs>
      <w:rPr>
        <w:sz w:val="32"/>
        <w:szCs w:val="3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940AC8">
    <w:pPr>
      <w:pStyle w:val="17"/>
      <w:tabs>
        <w:tab w:val="clear" w:pos="4153"/>
        <w:tab w:val="clear" w:pos="8306"/>
      </w:tabs>
      <w:rPr>
        <w:sz w:val="32"/>
        <w:szCs w:val="3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B2DA5">
    <w:pPr>
      <w:pStyle w:val="17"/>
      <w:tabs>
        <w:tab w:val="clear" w:pos="4153"/>
        <w:tab w:val="clear" w:pos="8306"/>
      </w:tabs>
      <w:jc w:val="right"/>
      <w:rPr>
        <w:sz w:val="32"/>
        <w:szCs w:val="32"/>
      </w:rPr>
    </w:pPr>
    <w:r>
      <w:rPr>
        <w:sz w:val="32"/>
        <w:szCs w:val="32"/>
      </w:rPr>
      <w:fldChar w:fldCharType="begin"/>
    </w:r>
    <w:r>
      <w:rPr>
        <w:sz w:val="32"/>
        <w:szCs w:val="32"/>
      </w:rPr>
      <w:instrText xml:space="preserve"> PAGE  \* ArabicDash  \* MERGEFORMAT </w:instrText>
    </w:r>
    <w:r>
      <w:rPr>
        <w:sz w:val="32"/>
        <w:szCs w:val="32"/>
      </w:rPr>
      <w:fldChar w:fldCharType="separate"/>
    </w:r>
    <w:r>
      <w:rPr>
        <w:sz w:val="32"/>
        <w:szCs w:val="32"/>
      </w:rPr>
      <w:t>- 71 -</w:t>
    </w:r>
    <w:r>
      <w:rPr>
        <w:sz w:val="32"/>
        <w:szCs w:val="32"/>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E5203">
    <w:pPr>
      <w:pStyle w:val="17"/>
      <w:tabs>
        <w:tab w:val="clear" w:pos="4153"/>
        <w:tab w:val="clear" w:pos="8306"/>
      </w:tabs>
      <w:jc w:val="right"/>
      <w:rPr>
        <w:sz w:val="32"/>
        <w:szCs w:val="32"/>
      </w:rPr>
    </w:pPr>
    <w:r>
      <w:rPr>
        <w:sz w:val="32"/>
        <w:szCs w:val="32"/>
      </w:rPr>
      <w:fldChar w:fldCharType="begin"/>
    </w:r>
    <w:r>
      <w:rPr>
        <w:sz w:val="32"/>
        <w:szCs w:val="32"/>
      </w:rPr>
      <w:instrText xml:space="preserve"> PAGE  \* ArabicDash  \* MERGEFORMAT </w:instrText>
    </w:r>
    <w:r>
      <w:rPr>
        <w:sz w:val="32"/>
        <w:szCs w:val="32"/>
      </w:rPr>
      <w:fldChar w:fldCharType="separate"/>
    </w:r>
    <w:r>
      <w:rPr>
        <w:sz w:val="32"/>
        <w:szCs w:val="32"/>
      </w:rPr>
      <w:t>- 72 -</w:t>
    </w:r>
    <w:r>
      <w:rPr>
        <w:sz w:val="32"/>
        <w:szCs w:val="32"/>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FD9F2">
    <w:pPr>
      <w:pStyle w:val="17"/>
      <w:tabs>
        <w:tab w:val="clear" w:pos="4153"/>
        <w:tab w:val="clear" w:pos="8306"/>
      </w:tabs>
      <w:jc w:val="right"/>
      <w:rPr>
        <w:sz w:val="32"/>
        <w:szCs w:val="32"/>
      </w:rPr>
    </w:pPr>
    <w:r>
      <w:rPr>
        <w:sz w:val="32"/>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661AED">
                          <w:pPr>
                            <w:pStyle w:val="17"/>
                            <w:tabs>
                              <w:tab w:val="clear" w:pos="4153"/>
                              <w:tab w:val="clear" w:pos="8306"/>
                            </w:tabs>
                            <w:jc w:val="right"/>
                          </w:pPr>
                          <w:r>
                            <w:rPr>
                              <w:sz w:val="32"/>
                              <w:szCs w:val="32"/>
                            </w:rPr>
                            <w:fldChar w:fldCharType="begin"/>
                          </w:r>
                          <w:r>
                            <w:rPr>
                              <w:sz w:val="32"/>
                              <w:szCs w:val="32"/>
                            </w:rPr>
                            <w:instrText xml:space="preserve"> PAGE  \* ArabicDash  \* MERGEFORMAT </w:instrText>
                          </w:r>
                          <w:r>
                            <w:rPr>
                              <w:sz w:val="32"/>
                              <w:szCs w:val="32"/>
                            </w:rPr>
                            <w:fldChar w:fldCharType="separate"/>
                          </w:r>
                          <w:r>
                            <w:rPr>
                              <w:sz w:val="32"/>
                              <w:szCs w:val="32"/>
                            </w:rPr>
                            <w:t>- 71 -</w:t>
                          </w:r>
                          <w:r>
                            <w:rPr>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661AED">
                    <w:pPr>
                      <w:pStyle w:val="17"/>
                      <w:tabs>
                        <w:tab w:val="clear" w:pos="4153"/>
                        <w:tab w:val="clear" w:pos="8306"/>
                      </w:tabs>
                      <w:jc w:val="right"/>
                    </w:pPr>
                    <w:r>
                      <w:rPr>
                        <w:sz w:val="32"/>
                        <w:szCs w:val="32"/>
                      </w:rPr>
                      <w:fldChar w:fldCharType="begin"/>
                    </w:r>
                    <w:r>
                      <w:rPr>
                        <w:sz w:val="32"/>
                        <w:szCs w:val="32"/>
                      </w:rPr>
                      <w:instrText xml:space="preserve"> PAGE  \* ArabicDash  \* MERGEFORMAT </w:instrText>
                    </w:r>
                    <w:r>
                      <w:rPr>
                        <w:sz w:val="32"/>
                        <w:szCs w:val="32"/>
                      </w:rPr>
                      <w:fldChar w:fldCharType="separate"/>
                    </w:r>
                    <w:r>
                      <w:rPr>
                        <w:sz w:val="32"/>
                        <w:szCs w:val="32"/>
                      </w:rPr>
                      <w:t>- 71 -</w:t>
                    </w:r>
                    <w:r>
                      <w:rPr>
                        <w:sz w:val="32"/>
                        <w:szCs w:val="32"/>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36731">
    <w:pPr>
      <w:pStyle w:val="17"/>
      <w:tabs>
        <w:tab w:val="clear" w:pos="4153"/>
        <w:tab w:val="clear" w:pos="8306"/>
      </w:tabs>
      <w:jc w:val="right"/>
      <w:rPr>
        <w:sz w:val="32"/>
        <w:szCs w:val="32"/>
      </w:rPr>
    </w:pPr>
    <w:r>
      <w:rPr>
        <w:sz w:val="32"/>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391DA">
                          <w:pPr>
                            <w:pStyle w:val="17"/>
                            <w:tabs>
                              <w:tab w:val="clear" w:pos="4153"/>
                              <w:tab w:val="clear" w:pos="8306"/>
                            </w:tabs>
                            <w:jc w:val="right"/>
                          </w:pPr>
                          <w:r>
                            <w:rPr>
                              <w:sz w:val="32"/>
                              <w:szCs w:val="32"/>
                            </w:rPr>
                            <w:fldChar w:fldCharType="begin"/>
                          </w:r>
                          <w:r>
                            <w:rPr>
                              <w:sz w:val="32"/>
                              <w:szCs w:val="32"/>
                            </w:rPr>
                            <w:instrText xml:space="preserve"> PAGE  \* ArabicDash  \* MERGEFORMAT </w:instrText>
                          </w:r>
                          <w:r>
                            <w:rPr>
                              <w:sz w:val="32"/>
                              <w:szCs w:val="32"/>
                            </w:rPr>
                            <w:fldChar w:fldCharType="separate"/>
                          </w:r>
                          <w:r>
                            <w:rPr>
                              <w:sz w:val="32"/>
                              <w:szCs w:val="32"/>
                            </w:rPr>
                            <w:t>-71-</w:t>
                          </w:r>
                          <w:r>
                            <w:rPr>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B3391DA">
                    <w:pPr>
                      <w:pStyle w:val="17"/>
                      <w:tabs>
                        <w:tab w:val="clear" w:pos="4153"/>
                        <w:tab w:val="clear" w:pos="8306"/>
                      </w:tabs>
                      <w:jc w:val="right"/>
                    </w:pPr>
                    <w:r>
                      <w:rPr>
                        <w:sz w:val="32"/>
                        <w:szCs w:val="32"/>
                      </w:rPr>
                      <w:fldChar w:fldCharType="begin"/>
                    </w:r>
                    <w:r>
                      <w:rPr>
                        <w:sz w:val="32"/>
                        <w:szCs w:val="32"/>
                      </w:rPr>
                      <w:instrText xml:space="preserve"> PAGE  \* ArabicDash  \* MERGEFORMAT </w:instrText>
                    </w:r>
                    <w:r>
                      <w:rPr>
                        <w:sz w:val="32"/>
                        <w:szCs w:val="32"/>
                      </w:rPr>
                      <w:fldChar w:fldCharType="separate"/>
                    </w:r>
                    <w:r>
                      <w:rPr>
                        <w:sz w:val="32"/>
                        <w:szCs w:val="32"/>
                      </w:rPr>
                      <w:t>-71-</w:t>
                    </w:r>
                    <w:r>
                      <w:rPr>
                        <w:sz w:val="32"/>
                        <w:szCs w:val="32"/>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2802E">
    <w:pPr>
      <w:pStyle w:val="17"/>
      <w:tabs>
        <w:tab w:val="clear" w:pos="4153"/>
        <w:tab w:val="clear" w:pos="8306"/>
      </w:tabs>
      <w:jc w:val="right"/>
      <w:rPr>
        <w:sz w:val="32"/>
        <w:szCs w:val="32"/>
      </w:rPr>
    </w:pPr>
    <w:r>
      <w:rPr>
        <w:sz w:val="32"/>
        <w:szCs w:val="32"/>
      </w:rPr>
      <w:fldChar w:fldCharType="begin"/>
    </w:r>
    <w:r>
      <w:rPr>
        <w:sz w:val="32"/>
        <w:szCs w:val="32"/>
      </w:rPr>
      <w:instrText xml:space="preserve"> PAGE  \* ArabicDash  \* MERGEFORMAT </w:instrText>
    </w:r>
    <w:r>
      <w:rPr>
        <w:sz w:val="32"/>
        <w:szCs w:val="32"/>
      </w:rPr>
      <w:fldChar w:fldCharType="separate"/>
    </w:r>
    <w:r>
      <w:rPr>
        <w:sz w:val="32"/>
        <w:szCs w:val="32"/>
      </w:rPr>
      <w:t>-72-</w:t>
    </w:r>
    <w:r>
      <w:rPr>
        <w:sz w:val="32"/>
        <w:szCs w:val="32"/>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5D909">
    <w:pPr>
      <w:pStyle w:val="17"/>
      <w:tabs>
        <w:tab w:val="clear" w:pos="4153"/>
        <w:tab w:val="clear" w:pos="8306"/>
      </w:tabs>
      <w:jc w:val="right"/>
      <w:rPr>
        <w:sz w:val="32"/>
        <w:szCs w:val="32"/>
      </w:rPr>
    </w:pPr>
    <w:r>
      <w:rPr>
        <w:sz w:val="32"/>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D5722E">
                          <w:pPr>
                            <w:pStyle w:val="17"/>
                            <w:tabs>
                              <w:tab w:val="clear" w:pos="4153"/>
                              <w:tab w:val="clear" w:pos="8306"/>
                            </w:tabs>
                            <w:jc w:val="right"/>
                            <w:rPr>
                              <w:sz w:val="32"/>
                              <w:szCs w:val="32"/>
                            </w:rPr>
                          </w:pPr>
                        </w:p>
                        <w:p w14:paraId="3AB7A3EF">
                          <w:pPr>
                            <w:pStyle w:val="17"/>
                            <w:tabs>
                              <w:tab w:val="clear" w:pos="4153"/>
                              <w:tab w:val="clear" w:pos="8306"/>
                            </w:tabs>
                            <w:jc w:val="right"/>
                          </w:pPr>
                          <w:r>
                            <w:rPr>
                              <w:sz w:val="32"/>
                              <w:szCs w:val="32"/>
                            </w:rPr>
                            <w:fldChar w:fldCharType="begin"/>
                          </w:r>
                          <w:r>
                            <w:rPr>
                              <w:sz w:val="32"/>
                              <w:szCs w:val="32"/>
                            </w:rPr>
                            <w:instrText xml:space="preserve"> PAGE  \* ArabicDash  \* MERGEFORMAT </w:instrText>
                          </w:r>
                          <w:r>
                            <w:rPr>
                              <w:sz w:val="32"/>
                              <w:szCs w:val="32"/>
                            </w:rPr>
                            <w:fldChar w:fldCharType="separate"/>
                          </w:r>
                          <w:r>
                            <w:rPr>
                              <w:sz w:val="32"/>
                              <w:szCs w:val="32"/>
                            </w:rPr>
                            <w:t>- 64 -</w:t>
                          </w:r>
                          <w:r>
                            <w:rPr>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BD5722E">
                    <w:pPr>
                      <w:pStyle w:val="17"/>
                      <w:tabs>
                        <w:tab w:val="clear" w:pos="4153"/>
                        <w:tab w:val="clear" w:pos="8306"/>
                      </w:tabs>
                      <w:jc w:val="right"/>
                      <w:rPr>
                        <w:sz w:val="32"/>
                        <w:szCs w:val="32"/>
                      </w:rPr>
                    </w:pPr>
                  </w:p>
                  <w:p w14:paraId="3AB7A3EF">
                    <w:pPr>
                      <w:pStyle w:val="17"/>
                      <w:tabs>
                        <w:tab w:val="clear" w:pos="4153"/>
                        <w:tab w:val="clear" w:pos="8306"/>
                      </w:tabs>
                      <w:jc w:val="right"/>
                    </w:pPr>
                    <w:r>
                      <w:rPr>
                        <w:sz w:val="32"/>
                        <w:szCs w:val="32"/>
                      </w:rPr>
                      <w:fldChar w:fldCharType="begin"/>
                    </w:r>
                    <w:r>
                      <w:rPr>
                        <w:sz w:val="32"/>
                        <w:szCs w:val="32"/>
                      </w:rPr>
                      <w:instrText xml:space="preserve"> PAGE  \* ArabicDash  \* MERGEFORMAT </w:instrText>
                    </w:r>
                    <w:r>
                      <w:rPr>
                        <w:sz w:val="32"/>
                        <w:szCs w:val="32"/>
                      </w:rPr>
                      <w:fldChar w:fldCharType="separate"/>
                    </w:r>
                    <w:r>
                      <w:rPr>
                        <w:sz w:val="32"/>
                        <w:szCs w:val="32"/>
                      </w:rPr>
                      <w:t>- 64 -</w:t>
                    </w:r>
                    <w:r>
                      <w:rPr>
                        <w:sz w:val="32"/>
                        <w:szCs w:val="32"/>
                      </w:rPr>
                      <w:fldChar w:fldCharType="end"/>
                    </w:r>
                  </w:p>
                </w:txbxContent>
              </v:textbox>
            </v:shape>
          </w:pict>
        </mc:Fallback>
      </mc:AlternateContent>
    </w:r>
  </w:p>
  <w:p w14:paraId="55E3FCB8">
    <w:pPr>
      <w:pStyle w:val="17"/>
      <w:tabs>
        <w:tab w:val="clear" w:pos="4153"/>
        <w:tab w:val="clear" w:pos="8306"/>
      </w:tabs>
      <w:rPr>
        <w:sz w:val="32"/>
        <w:szCs w:val="3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773C4">
    <w:pPr>
      <w:pStyle w:val="17"/>
      <w:tabs>
        <w:tab w:val="clear" w:pos="4153"/>
        <w:tab w:val="clear" w:pos="8306"/>
      </w:tabs>
      <w:rPr>
        <w:sz w:val="32"/>
        <w:szCs w:val="3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6030D">
    <w:pPr>
      <w:pStyle w:val="18"/>
      <w:widowControl w:val="0"/>
      <w:pBdr>
        <w:top w:val="none" w:color="auto" w:sz="0" w:space="1"/>
        <w:left w:val="none" w:color="auto" w:sz="0" w:space="4"/>
        <w:bottom w:val="none" w:color="auto" w:sz="0" w:space="1"/>
        <w:right w:val="none" w:color="auto" w:sz="0" w:space="4"/>
        <w:between w:val="none" w:color="auto" w:sz="0" w:space="0"/>
      </w:pBdr>
      <w:snapToGrid w:val="0"/>
      <w:jc w:val="lef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A3B1A">
    <w:pPr>
      <w:pStyle w:val="18"/>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jc w:val="left"/>
      <w:textAlignment w:val="auto"/>
      <w:rPr>
        <w:rFonts w:hint="eastAsia" w:ascii="宋体" w:hAnsi="宋体" w:eastAsia="宋体" w:cs="宋体"/>
        <w:lang w:eastAsia="zh-CN"/>
      </w:rPr>
    </w:pPr>
    <w:r>
      <w:rPr>
        <w:rFonts w:hint="eastAsia" w:ascii="宋体" w:hAnsi="宋体" w:eastAsia="宋体" w:cs="宋体"/>
        <w:lang w:eastAsia="zh-CN"/>
      </w:rPr>
      <w:drawing>
        <wp:anchor distT="0" distB="0" distL="114300" distR="114300" simplePos="0" relativeHeight="251666432" behindDoc="1" locked="0" layoutInCell="1" allowOverlap="1">
          <wp:simplePos x="0" y="0"/>
          <wp:positionH relativeFrom="column">
            <wp:posOffset>0</wp:posOffset>
          </wp:positionH>
          <wp:positionV relativeFrom="paragraph">
            <wp:posOffset>0</wp:posOffset>
          </wp:positionV>
          <wp:extent cx="480060" cy="548640"/>
          <wp:effectExtent l="0" t="0" r="7620" b="0"/>
          <wp:wrapThrough wrapText="bothSides">
            <wp:wrapPolygon>
              <wp:start x="4114" y="0"/>
              <wp:lineTo x="0" y="3000"/>
              <wp:lineTo x="0" y="10200"/>
              <wp:lineTo x="1371" y="19200"/>
              <wp:lineTo x="2743" y="21000"/>
              <wp:lineTo x="4800" y="21000"/>
              <wp:lineTo x="8229" y="21000"/>
              <wp:lineTo x="16457" y="21000"/>
              <wp:lineTo x="21257" y="20400"/>
              <wp:lineTo x="21257" y="3000"/>
              <wp:lineTo x="16457" y="0"/>
              <wp:lineTo x="4114" y="0"/>
            </wp:wrapPolygon>
          </wp:wrapThrough>
          <wp:docPr id="9" name="图片 9" descr="812e24471a7491b7ce756b164b226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812e24471a7491b7ce756b164b226361"/>
                  <pic:cNvPicPr>
                    <a:picLocks noChangeAspect="1"/>
                  </pic:cNvPicPr>
                </pic:nvPicPr>
                <pic:blipFill>
                  <a:blip r:embed="rId1">
                    <a:clrChange>
                      <a:clrFrom>
                        <a:srgbClr val="FEFEFE">
                          <a:alpha val="100000"/>
                        </a:srgbClr>
                      </a:clrFrom>
                      <a:clrTo>
                        <a:srgbClr val="FEFEFE">
                          <a:alpha val="100000"/>
                          <a:alpha val="0"/>
                        </a:srgbClr>
                      </a:clrTo>
                    </a:clrChange>
                  </a:blip>
                  <a:stretch>
                    <a:fillRect/>
                  </a:stretch>
                </pic:blipFill>
                <pic:spPr>
                  <a:xfrm>
                    <a:off x="0" y="0"/>
                    <a:ext cx="480060" cy="548640"/>
                  </a:xfrm>
                  <a:prstGeom prst="rect">
                    <a:avLst/>
                  </a:prstGeom>
                </pic:spPr>
              </pic:pic>
            </a:graphicData>
          </a:graphic>
        </wp:anchor>
      </w:drawing>
    </w:r>
    <w:r>
      <w:rPr>
        <w:rFonts w:hint="eastAsia" w:ascii="宋体" w:hAnsi="宋体" w:eastAsia="宋体" w:cs="宋体"/>
        <w:lang w:eastAsia="zh-CN"/>
      </w:rPr>
      <w:t>新疆高博有限责任会计师事务所</w:t>
    </w:r>
  </w:p>
  <w:p w14:paraId="20D89DD8">
    <w:pPr>
      <w:pStyle w:val="18"/>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jc w:val="left"/>
      <w:textAlignment w:val="auto"/>
      <w:rPr>
        <w:rFonts w:hint="eastAsia" w:ascii="宋体" w:hAnsi="宋体" w:eastAsia="宋体" w:cs="宋体"/>
        <w:lang w:eastAsia="zh-CN"/>
      </w:rPr>
    </w:pPr>
    <w:r>
      <w:rPr>
        <w:rFonts w:hint="eastAsia" w:ascii="宋体" w:hAnsi="宋体" w:eastAsia="宋体" w:cs="宋体"/>
        <w:lang w:eastAsia="zh-CN"/>
      </w:rPr>
      <w:t>XINJIANGGAOBOCERTIFIEDPUBLICACCOUNTANTSCO.,LTD</w:t>
    </w:r>
  </w:p>
  <w:p w14:paraId="364C534A">
    <w:pPr>
      <w:pStyle w:val="18"/>
      <w:keepNext w:val="0"/>
      <w:keepLines w:val="0"/>
      <w:pageBreakBefore w:val="0"/>
      <w:widowControl w:val="0"/>
      <w:pBdr>
        <w:bottom w:val="single" w:color="auto" w:sz="4" w:space="1"/>
      </w:pBdr>
      <w:kinsoku/>
      <w:wordWrap/>
      <w:overflowPunct/>
      <w:topLinePunct w:val="0"/>
      <w:bidi w:val="0"/>
      <w:adjustRightInd/>
      <w:snapToGrid w:val="0"/>
      <w:spacing w:line="288" w:lineRule="auto"/>
      <w:ind w:firstLine="900" w:firstLineChars="500"/>
      <w:jc w:val="left"/>
      <w:textAlignment w:val="auto"/>
      <w:rPr>
        <w:rFonts w:hint="default" w:ascii="宋体" w:hAnsi="宋体" w:eastAsia="宋体" w:cs="宋体"/>
        <w:lang w:val="en-US" w:eastAsia="zh-CN"/>
      </w:rPr>
    </w:pPr>
    <w:r>
      <w:rPr>
        <w:rFonts w:hint="eastAsia" w:ascii="宋体" w:hAnsi="宋体" w:eastAsia="宋体" w:cs="宋体"/>
        <w:lang w:eastAsia="zh-CN"/>
      </w:rPr>
      <w:t>地址：乌鲁木齐</w:t>
    </w:r>
    <w:r>
      <w:rPr>
        <w:rFonts w:hint="eastAsia" w:ascii="宋体" w:hAnsi="宋体" w:eastAsia="宋体" w:cs="宋体"/>
        <w:lang w:val="en-US" w:eastAsia="zh-CN"/>
      </w:rPr>
      <w:t>市</w:t>
    </w:r>
    <w:r>
      <w:rPr>
        <w:rFonts w:hint="eastAsia" w:ascii="宋体" w:hAnsi="宋体" w:eastAsia="宋体" w:cs="宋体"/>
        <w:lang w:eastAsia="zh-CN"/>
      </w:rPr>
      <w:t>安居南路802号鸿瑞豪庭4号楼17层</w:t>
    </w:r>
    <w:r>
      <w:rPr>
        <w:rFonts w:hint="eastAsia" w:ascii="宋体" w:hAnsi="宋体" w:eastAsia="宋体" w:cs="宋体"/>
        <w:lang w:val="en-US" w:eastAsia="zh-CN"/>
      </w:rPr>
      <w:t xml:space="preserve"> </w:t>
    </w:r>
    <w:r>
      <w:rPr>
        <w:rFonts w:hint="eastAsia" w:ascii="宋体" w:hAnsi="宋体" w:eastAsia="宋体" w:cs="宋体"/>
        <w:lang w:eastAsia="zh-CN"/>
      </w:rPr>
      <w:t>电话：</w:t>
    </w:r>
    <w:r>
      <w:rPr>
        <w:rFonts w:hint="eastAsia" w:ascii="宋体" w:hAnsi="宋体" w:eastAsia="宋体" w:cs="宋体"/>
        <w:lang w:val="en-US" w:eastAsia="zh-CN"/>
      </w:rPr>
      <w:t>0991-2308726  2309726</w:t>
    </w:r>
  </w:p>
  <w:p w14:paraId="0EBEA8E1">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0A61E">
    <w:pPr>
      <w:pStyle w:val="18"/>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jc w:val="left"/>
      <w:textAlignment w:val="auto"/>
      <w:rPr>
        <w:rFonts w:hint="eastAsia" w:ascii="宋体" w:hAnsi="宋体" w:eastAsia="宋体" w:cs="宋体"/>
        <w:lang w:eastAsia="zh-CN"/>
      </w:rPr>
    </w:pPr>
    <w:r>
      <w:rPr>
        <w:rFonts w:hint="eastAsia" w:ascii="宋体" w:hAnsi="宋体" w:eastAsia="宋体" w:cs="宋体"/>
        <w:lang w:eastAsia="zh-CN"/>
      </w:rPr>
      <w:drawing>
        <wp:anchor distT="0" distB="0" distL="114300" distR="114300" simplePos="0" relativeHeight="251670528" behindDoc="1" locked="0" layoutInCell="1" allowOverlap="1">
          <wp:simplePos x="0" y="0"/>
          <wp:positionH relativeFrom="column">
            <wp:posOffset>0</wp:posOffset>
          </wp:positionH>
          <wp:positionV relativeFrom="paragraph">
            <wp:posOffset>0</wp:posOffset>
          </wp:positionV>
          <wp:extent cx="480060" cy="548640"/>
          <wp:effectExtent l="0" t="0" r="7620" b="0"/>
          <wp:wrapThrough wrapText="bothSides">
            <wp:wrapPolygon>
              <wp:start x="4114" y="0"/>
              <wp:lineTo x="0" y="3000"/>
              <wp:lineTo x="0" y="10200"/>
              <wp:lineTo x="1371" y="19200"/>
              <wp:lineTo x="2743" y="21000"/>
              <wp:lineTo x="4800" y="21000"/>
              <wp:lineTo x="8229" y="21000"/>
              <wp:lineTo x="16457" y="21000"/>
              <wp:lineTo x="21257" y="20400"/>
              <wp:lineTo x="21257" y="3000"/>
              <wp:lineTo x="16457" y="0"/>
              <wp:lineTo x="4114" y="0"/>
            </wp:wrapPolygon>
          </wp:wrapThrough>
          <wp:docPr id="11" name="图片 11" descr="812e24471a7491b7ce756b164b226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812e24471a7491b7ce756b164b226361"/>
                  <pic:cNvPicPr>
                    <a:picLocks noChangeAspect="1"/>
                  </pic:cNvPicPr>
                </pic:nvPicPr>
                <pic:blipFill>
                  <a:blip r:embed="rId1">
                    <a:clrChange>
                      <a:clrFrom>
                        <a:srgbClr val="FEFEFE">
                          <a:alpha val="100000"/>
                        </a:srgbClr>
                      </a:clrFrom>
                      <a:clrTo>
                        <a:srgbClr val="FEFEFE">
                          <a:alpha val="100000"/>
                          <a:alpha val="0"/>
                        </a:srgbClr>
                      </a:clrTo>
                    </a:clrChange>
                  </a:blip>
                  <a:stretch>
                    <a:fillRect/>
                  </a:stretch>
                </pic:blipFill>
                <pic:spPr>
                  <a:xfrm>
                    <a:off x="0" y="0"/>
                    <a:ext cx="480060" cy="548640"/>
                  </a:xfrm>
                  <a:prstGeom prst="rect">
                    <a:avLst/>
                  </a:prstGeom>
                </pic:spPr>
              </pic:pic>
            </a:graphicData>
          </a:graphic>
        </wp:anchor>
      </w:drawing>
    </w:r>
    <w:r>
      <w:rPr>
        <w:rFonts w:hint="eastAsia" w:ascii="宋体" w:hAnsi="宋体" w:eastAsia="宋体" w:cs="宋体"/>
        <w:lang w:eastAsia="zh-CN"/>
      </w:rPr>
      <w:t>新疆高博有限责任会计师事务所</w:t>
    </w:r>
  </w:p>
  <w:p w14:paraId="177C813A">
    <w:pPr>
      <w:pStyle w:val="18"/>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jc w:val="left"/>
      <w:textAlignment w:val="auto"/>
      <w:rPr>
        <w:rFonts w:hint="eastAsia" w:ascii="宋体" w:hAnsi="宋体" w:eastAsia="宋体" w:cs="宋体"/>
        <w:lang w:eastAsia="zh-CN"/>
      </w:rPr>
    </w:pPr>
    <w:r>
      <w:rPr>
        <w:rFonts w:hint="eastAsia" w:ascii="宋体" w:hAnsi="宋体" w:eastAsia="宋体" w:cs="宋体"/>
        <w:lang w:eastAsia="zh-CN"/>
      </w:rPr>
      <w:t>XINJIANGGAOBOCERTIFIEDPUBLICACCOUNTANTSCO.,LTD</w:t>
    </w:r>
  </w:p>
  <w:p w14:paraId="757063D1">
    <w:pPr>
      <w:pStyle w:val="18"/>
      <w:keepNext w:val="0"/>
      <w:keepLines w:val="0"/>
      <w:pageBreakBefore w:val="0"/>
      <w:widowControl w:val="0"/>
      <w:pBdr>
        <w:bottom w:val="single" w:color="auto" w:sz="4" w:space="1"/>
      </w:pBdr>
      <w:kinsoku/>
      <w:wordWrap/>
      <w:overflowPunct/>
      <w:topLinePunct w:val="0"/>
      <w:bidi w:val="0"/>
      <w:adjustRightInd/>
      <w:snapToGrid w:val="0"/>
      <w:spacing w:line="288" w:lineRule="auto"/>
      <w:ind w:firstLine="900" w:firstLineChars="500"/>
      <w:jc w:val="left"/>
      <w:textAlignment w:val="auto"/>
      <w:rPr>
        <w:rFonts w:hint="default" w:ascii="宋体" w:hAnsi="宋体" w:eastAsia="宋体" w:cs="宋体"/>
        <w:lang w:val="en-US" w:eastAsia="zh-CN"/>
      </w:rPr>
    </w:pPr>
    <w:r>
      <w:rPr>
        <w:rFonts w:hint="eastAsia" w:ascii="宋体" w:hAnsi="宋体" w:eastAsia="宋体" w:cs="宋体"/>
        <w:lang w:eastAsia="zh-CN"/>
      </w:rPr>
      <w:t>地址：乌鲁木齐</w:t>
    </w:r>
    <w:r>
      <w:rPr>
        <w:rFonts w:hint="eastAsia" w:ascii="宋体" w:hAnsi="宋体" w:eastAsia="宋体" w:cs="宋体"/>
        <w:lang w:val="en-US" w:eastAsia="zh-CN"/>
      </w:rPr>
      <w:t>市</w:t>
    </w:r>
    <w:r>
      <w:rPr>
        <w:rFonts w:hint="eastAsia" w:ascii="宋体" w:hAnsi="宋体" w:eastAsia="宋体" w:cs="宋体"/>
        <w:lang w:eastAsia="zh-CN"/>
      </w:rPr>
      <w:t>安居南路802号鸿瑞豪庭4号楼17层</w:t>
    </w:r>
    <w:r>
      <w:rPr>
        <w:rFonts w:hint="eastAsia" w:ascii="宋体" w:hAnsi="宋体" w:eastAsia="宋体" w:cs="宋体"/>
        <w:lang w:val="en-US" w:eastAsia="zh-CN"/>
      </w:rPr>
      <w:t xml:space="preserve"> </w:t>
    </w:r>
    <w:r>
      <w:rPr>
        <w:rFonts w:hint="eastAsia" w:ascii="宋体" w:hAnsi="宋体" w:eastAsia="宋体" w:cs="宋体"/>
        <w:lang w:eastAsia="zh-CN"/>
      </w:rPr>
      <w:t>电话：</w:t>
    </w:r>
    <w:r>
      <w:rPr>
        <w:rFonts w:hint="eastAsia" w:ascii="宋体" w:hAnsi="宋体" w:eastAsia="宋体" w:cs="宋体"/>
        <w:lang w:val="en-US" w:eastAsia="zh-CN"/>
      </w:rPr>
      <w:t>0991-2308726  2309726</w:t>
    </w:r>
  </w:p>
  <w:p w14:paraId="6A41DF41">
    <w:pPr>
      <w:pStyle w:val="18"/>
      <w:widowControl w:val="0"/>
      <w:pBdr>
        <w:top w:val="none" w:color="auto" w:sz="0" w:space="1"/>
        <w:left w:val="none" w:color="auto" w:sz="0" w:space="4"/>
        <w:bottom w:val="none" w:color="auto" w:sz="0" w:space="1"/>
        <w:right w:val="none" w:color="auto" w:sz="0" w:space="4"/>
        <w:between w:val="none" w:color="auto" w:sz="0" w:space="0"/>
      </w:pBdr>
      <w:snapToGrid w:val="0"/>
      <w:jc w:val="left"/>
      <w:rPr>
        <w:rFonts w:hint="eastAsia" w:eastAsia="宋体"/>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5366E">
    <w:pPr>
      <w:pStyle w:val="18"/>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jc w:val="left"/>
      <w:textAlignment w:val="auto"/>
      <w:rPr>
        <w:rFonts w:hint="eastAsia" w:ascii="宋体" w:hAnsi="宋体" w:eastAsia="宋体" w:cs="宋体"/>
        <w:lang w:eastAsia="zh-CN"/>
      </w:rPr>
    </w:pPr>
    <w:r>
      <w:rPr>
        <w:rFonts w:hint="eastAsia" w:ascii="宋体" w:hAnsi="宋体" w:eastAsia="宋体" w:cs="宋体"/>
        <w:lang w:eastAsia="zh-CN"/>
      </w:rPr>
      <w:drawing>
        <wp:anchor distT="0" distB="0" distL="114300" distR="114300" simplePos="0" relativeHeight="251668480" behindDoc="1" locked="0" layoutInCell="1" allowOverlap="1">
          <wp:simplePos x="0" y="0"/>
          <wp:positionH relativeFrom="column">
            <wp:posOffset>0</wp:posOffset>
          </wp:positionH>
          <wp:positionV relativeFrom="paragraph">
            <wp:posOffset>0</wp:posOffset>
          </wp:positionV>
          <wp:extent cx="480060" cy="548640"/>
          <wp:effectExtent l="0" t="0" r="7620" b="0"/>
          <wp:wrapThrough wrapText="bothSides">
            <wp:wrapPolygon>
              <wp:start x="4114" y="0"/>
              <wp:lineTo x="0" y="3000"/>
              <wp:lineTo x="0" y="10200"/>
              <wp:lineTo x="1371" y="19200"/>
              <wp:lineTo x="2743" y="21000"/>
              <wp:lineTo x="4800" y="21000"/>
              <wp:lineTo x="8229" y="21000"/>
              <wp:lineTo x="16457" y="21000"/>
              <wp:lineTo x="21257" y="20400"/>
              <wp:lineTo x="21257" y="3000"/>
              <wp:lineTo x="16457" y="0"/>
              <wp:lineTo x="4114" y="0"/>
            </wp:wrapPolygon>
          </wp:wrapThrough>
          <wp:docPr id="10" name="图片 10" descr="812e24471a7491b7ce756b164b226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812e24471a7491b7ce756b164b226361"/>
                  <pic:cNvPicPr>
                    <a:picLocks noChangeAspect="1"/>
                  </pic:cNvPicPr>
                </pic:nvPicPr>
                <pic:blipFill>
                  <a:blip r:embed="rId1">
                    <a:clrChange>
                      <a:clrFrom>
                        <a:srgbClr val="FEFEFE">
                          <a:alpha val="100000"/>
                        </a:srgbClr>
                      </a:clrFrom>
                      <a:clrTo>
                        <a:srgbClr val="FEFEFE">
                          <a:alpha val="100000"/>
                          <a:alpha val="0"/>
                        </a:srgbClr>
                      </a:clrTo>
                    </a:clrChange>
                  </a:blip>
                  <a:stretch>
                    <a:fillRect/>
                  </a:stretch>
                </pic:blipFill>
                <pic:spPr>
                  <a:xfrm>
                    <a:off x="0" y="0"/>
                    <a:ext cx="480060" cy="548640"/>
                  </a:xfrm>
                  <a:prstGeom prst="rect">
                    <a:avLst/>
                  </a:prstGeom>
                </pic:spPr>
              </pic:pic>
            </a:graphicData>
          </a:graphic>
        </wp:anchor>
      </w:drawing>
    </w:r>
    <w:r>
      <w:rPr>
        <w:rFonts w:hint="eastAsia" w:ascii="宋体" w:hAnsi="宋体" w:eastAsia="宋体" w:cs="宋体"/>
        <w:lang w:eastAsia="zh-CN"/>
      </w:rPr>
      <w:t>新疆高博有限责任会计师事务所</w:t>
    </w:r>
  </w:p>
  <w:p w14:paraId="6E2E420F">
    <w:pPr>
      <w:pStyle w:val="18"/>
      <w:keepNext w:val="0"/>
      <w:keepLines w:val="0"/>
      <w:pageBreakBefore w:val="0"/>
      <w:widowControl w:val="0"/>
      <w:pBdr>
        <w:bottom w:val="none" w:color="auto" w:sz="0" w:space="1"/>
      </w:pBdr>
      <w:kinsoku/>
      <w:wordWrap/>
      <w:overflowPunct/>
      <w:topLinePunct w:val="0"/>
      <w:bidi w:val="0"/>
      <w:adjustRightInd/>
      <w:snapToGrid w:val="0"/>
      <w:spacing w:line="288" w:lineRule="auto"/>
      <w:ind w:firstLine="900" w:firstLineChars="500"/>
      <w:jc w:val="left"/>
      <w:textAlignment w:val="auto"/>
      <w:rPr>
        <w:rFonts w:hint="eastAsia" w:ascii="宋体" w:hAnsi="宋体" w:eastAsia="宋体" w:cs="宋体"/>
        <w:lang w:eastAsia="zh-CN"/>
      </w:rPr>
    </w:pPr>
    <w:r>
      <w:rPr>
        <w:rFonts w:hint="eastAsia" w:ascii="宋体" w:hAnsi="宋体" w:eastAsia="宋体" w:cs="宋体"/>
        <w:lang w:eastAsia="zh-CN"/>
      </w:rPr>
      <w:t>XINJIANGGAOBOCERTIFIEDPUBLICACCOUNTANTSCO.,LTD</w:t>
    </w:r>
  </w:p>
  <w:p w14:paraId="73D74EF6">
    <w:pPr>
      <w:pStyle w:val="18"/>
      <w:keepNext w:val="0"/>
      <w:keepLines w:val="0"/>
      <w:pageBreakBefore w:val="0"/>
      <w:widowControl w:val="0"/>
      <w:pBdr>
        <w:bottom w:val="single" w:color="auto" w:sz="4" w:space="1"/>
      </w:pBdr>
      <w:kinsoku/>
      <w:wordWrap/>
      <w:overflowPunct/>
      <w:topLinePunct w:val="0"/>
      <w:bidi w:val="0"/>
      <w:adjustRightInd/>
      <w:snapToGrid w:val="0"/>
      <w:spacing w:line="288" w:lineRule="auto"/>
      <w:ind w:firstLine="900" w:firstLineChars="500"/>
      <w:jc w:val="left"/>
      <w:textAlignment w:val="auto"/>
      <w:rPr>
        <w:rFonts w:hint="default" w:ascii="宋体" w:hAnsi="宋体" w:eastAsia="宋体" w:cs="宋体"/>
        <w:lang w:val="en-US" w:eastAsia="zh-CN"/>
      </w:rPr>
    </w:pPr>
    <w:r>
      <w:rPr>
        <w:rFonts w:hint="eastAsia" w:ascii="宋体" w:hAnsi="宋体" w:eastAsia="宋体" w:cs="宋体"/>
        <w:lang w:eastAsia="zh-CN"/>
      </w:rPr>
      <w:t>地址：乌鲁木齐</w:t>
    </w:r>
    <w:r>
      <w:rPr>
        <w:rFonts w:hint="eastAsia" w:ascii="宋体" w:hAnsi="宋体" w:eastAsia="宋体" w:cs="宋体"/>
        <w:lang w:val="en-US" w:eastAsia="zh-CN"/>
      </w:rPr>
      <w:t>市</w:t>
    </w:r>
    <w:r>
      <w:rPr>
        <w:rFonts w:hint="eastAsia" w:ascii="宋体" w:hAnsi="宋体" w:eastAsia="宋体" w:cs="宋体"/>
        <w:lang w:eastAsia="zh-CN"/>
      </w:rPr>
      <w:t>安居南路802号鸿瑞豪庭4号楼17层</w:t>
    </w:r>
    <w:r>
      <w:rPr>
        <w:rFonts w:hint="eastAsia" w:ascii="宋体" w:hAnsi="宋体" w:eastAsia="宋体" w:cs="宋体"/>
        <w:lang w:val="en-US" w:eastAsia="zh-CN"/>
      </w:rPr>
      <w:t xml:space="preserve"> </w:t>
    </w:r>
    <w:r>
      <w:rPr>
        <w:rFonts w:hint="eastAsia" w:ascii="宋体" w:hAnsi="宋体" w:eastAsia="宋体" w:cs="宋体"/>
        <w:lang w:eastAsia="zh-CN"/>
      </w:rPr>
      <w:t>电话：</w:t>
    </w:r>
    <w:r>
      <w:rPr>
        <w:rFonts w:hint="eastAsia" w:ascii="宋体" w:hAnsi="宋体" w:eastAsia="宋体" w:cs="宋体"/>
        <w:lang w:val="en-US" w:eastAsia="zh-CN"/>
      </w:rPr>
      <w:t>0991-2308726  2309726</w:t>
    </w:r>
  </w:p>
  <w:p w14:paraId="411FFA15">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52271B"/>
    <w:multiLevelType w:val="multilevel"/>
    <w:tmpl w:val="0D52271B"/>
    <w:lvl w:ilvl="0" w:tentative="0">
      <w:start w:val="1"/>
      <w:numFmt w:val="chineseCountingThousand"/>
      <w:pStyle w:val="76"/>
      <w:lvlText w:val="(%1)"/>
      <w:lvlJc w:val="left"/>
      <w:pPr>
        <w:ind w:left="720" w:hanging="420"/>
      </w:pPr>
    </w:lvl>
    <w:lvl w:ilvl="1" w:tentative="0">
      <w:start w:val="1"/>
      <w:numFmt w:val="lowerLetter"/>
      <w:lvlText w:val="%2)"/>
      <w:lvlJc w:val="left"/>
      <w:pPr>
        <w:ind w:left="1140" w:hanging="420"/>
      </w:pPr>
    </w:lvl>
    <w:lvl w:ilvl="2" w:tentative="0">
      <w:start w:val="1"/>
      <w:numFmt w:val="lowerRoman"/>
      <w:lvlText w:val="%3."/>
      <w:lvlJc w:val="right"/>
      <w:pPr>
        <w:ind w:left="1560" w:hanging="420"/>
      </w:pPr>
    </w:lvl>
    <w:lvl w:ilvl="3" w:tentative="0">
      <w:start w:val="1"/>
      <w:numFmt w:val="decimal"/>
      <w:lvlText w:val="%4."/>
      <w:lvlJc w:val="left"/>
      <w:pPr>
        <w:ind w:left="1980" w:hanging="420"/>
      </w:pPr>
    </w:lvl>
    <w:lvl w:ilvl="4" w:tentative="0">
      <w:start w:val="1"/>
      <w:numFmt w:val="lowerLetter"/>
      <w:lvlText w:val="%5)"/>
      <w:lvlJc w:val="left"/>
      <w:pPr>
        <w:ind w:left="2400" w:hanging="420"/>
      </w:pPr>
    </w:lvl>
    <w:lvl w:ilvl="5" w:tentative="0">
      <w:start w:val="1"/>
      <w:numFmt w:val="lowerRoman"/>
      <w:lvlText w:val="%6."/>
      <w:lvlJc w:val="right"/>
      <w:pPr>
        <w:ind w:left="2820" w:hanging="420"/>
      </w:pPr>
    </w:lvl>
    <w:lvl w:ilvl="6" w:tentative="0">
      <w:start w:val="1"/>
      <w:numFmt w:val="decimal"/>
      <w:lvlText w:val="%7."/>
      <w:lvlJc w:val="left"/>
      <w:pPr>
        <w:ind w:left="3240" w:hanging="420"/>
      </w:pPr>
    </w:lvl>
    <w:lvl w:ilvl="7" w:tentative="0">
      <w:start w:val="1"/>
      <w:numFmt w:val="lowerLetter"/>
      <w:lvlText w:val="%8)"/>
      <w:lvlJc w:val="left"/>
      <w:pPr>
        <w:ind w:left="3660" w:hanging="420"/>
      </w:pPr>
    </w:lvl>
    <w:lvl w:ilvl="8" w:tentative="0">
      <w:start w:val="1"/>
      <w:numFmt w:val="lowerRoman"/>
      <w:lvlText w:val="%9."/>
      <w:lvlJc w:val="right"/>
      <w:pPr>
        <w:ind w:left="4080" w:hanging="420"/>
      </w:pPr>
    </w:lvl>
  </w:abstractNum>
  <w:abstractNum w:abstractNumId="1">
    <w:nsid w:val="0DEF4C76"/>
    <w:multiLevelType w:val="multilevel"/>
    <w:tmpl w:val="0DEF4C76"/>
    <w:lvl w:ilvl="0" w:tentative="0">
      <w:start w:val="1"/>
      <w:numFmt w:val="chineseCountingThousand"/>
      <w:pStyle w:val="79"/>
      <w:lvlText w:val="%1、"/>
      <w:lvlJc w:val="left"/>
      <w:pPr>
        <w:ind w:left="987"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5C7"/>
    <w:rsid w:val="000270E7"/>
    <w:rsid w:val="00194A54"/>
    <w:rsid w:val="00226DF2"/>
    <w:rsid w:val="002C0441"/>
    <w:rsid w:val="00387CF7"/>
    <w:rsid w:val="003D48E1"/>
    <w:rsid w:val="004D4656"/>
    <w:rsid w:val="004F6939"/>
    <w:rsid w:val="00560921"/>
    <w:rsid w:val="00585EF1"/>
    <w:rsid w:val="005F15C7"/>
    <w:rsid w:val="0061084F"/>
    <w:rsid w:val="00686EE3"/>
    <w:rsid w:val="00706805"/>
    <w:rsid w:val="007C0D8E"/>
    <w:rsid w:val="007D50EF"/>
    <w:rsid w:val="00862001"/>
    <w:rsid w:val="0088576C"/>
    <w:rsid w:val="008A07A3"/>
    <w:rsid w:val="009275FE"/>
    <w:rsid w:val="00BA2AFF"/>
    <w:rsid w:val="00CE6CDB"/>
    <w:rsid w:val="00D81D8A"/>
    <w:rsid w:val="00DE7C21"/>
    <w:rsid w:val="00E364A0"/>
    <w:rsid w:val="00E5032E"/>
    <w:rsid w:val="00EC45B4"/>
    <w:rsid w:val="00F8797C"/>
    <w:rsid w:val="01204704"/>
    <w:rsid w:val="043B10FF"/>
    <w:rsid w:val="06C32577"/>
    <w:rsid w:val="06F35CC1"/>
    <w:rsid w:val="08DA06F5"/>
    <w:rsid w:val="09627E1C"/>
    <w:rsid w:val="0BB13920"/>
    <w:rsid w:val="0C8E0522"/>
    <w:rsid w:val="0EBB3568"/>
    <w:rsid w:val="0FB861EA"/>
    <w:rsid w:val="0FF705D0"/>
    <w:rsid w:val="10086339"/>
    <w:rsid w:val="130A686C"/>
    <w:rsid w:val="14A01236"/>
    <w:rsid w:val="14D56A06"/>
    <w:rsid w:val="153656F6"/>
    <w:rsid w:val="174C0707"/>
    <w:rsid w:val="17AA23CB"/>
    <w:rsid w:val="181B0BD3"/>
    <w:rsid w:val="186C7681"/>
    <w:rsid w:val="18F27B86"/>
    <w:rsid w:val="198C7FDB"/>
    <w:rsid w:val="1B617245"/>
    <w:rsid w:val="1BCD078D"/>
    <w:rsid w:val="1BFD6F6E"/>
    <w:rsid w:val="1CB45404"/>
    <w:rsid w:val="1D570900"/>
    <w:rsid w:val="1E993BEA"/>
    <w:rsid w:val="1EA753ED"/>
    <w:rsid w:val="20565153"/>
    <w:rsid w:val="20A6315F"/>
    <w:rsid w:val="20CD4FA8"/>
    <w:rsid w:val="20DF30E6"/>
    <w:rsid w:val="223C00C4"/>
    <w:rsid w:val="22C31FA9"/>
    <w:rsid w:val="2432352D"/>
    <w:rsid w:val="245B3096"/>
    <w:rsid w:val="24E73CFD"/>
    <w:rsid w:val="25B85CB3"/>
    <w:rsid w:val="27D72D69"/>
    <w:rsid w:val="280C22E7"/>
    <w:rsid w:val="29BD5F8E"/>
    <w:rsid w:val="2A8146B4"/>
    <w:rsid w:val="2C9A25B7"/>
    <w:rsid w:val="2D3E2F42"/>
    <w:rsid w:val="2E4256CC"/>
    <w:rsid w:val="2ED13D16"/>
    <w:rsid w:val="30466CDD"/>
    <w:rsid w:val="307E39A9"/>
    <w:rsid w:val="32BA750F"/>
    <w:rsid w:val="32F12805"/>
    <w:rsid w:val="336B7A62"/>
    <w:rsid w:val="36D861B6"/>
    <w:rsid w:val="376C69FB"/>
    <w:rsid w:val="377C4D93"/>
    <w:rsid w:val="395F5539"/>
    <w:rsid w:val="398D0D62"/>
    <w:rsid w:val="3A5B15D7"/>
    <w:rsid w:val="3A5C6B02"/>
    <w:rsid w:val="3AA765CB"/>
    <w:rsid w:val="3B2C4D22"/>
    <w:rsid w:val="3B8701AA"/>
    <w:rsid w:val="3BF84820"/>
    <w:rsid w:val="3CA134EE"/>
    <w:rsid w:val="3E157CEF"/>
    <w:rsid w:val="3FB81C74"/>
    <w:rsid w:val="40C907D4"/>
    <w:rsid w:val="40D519B8"/>
    <w:rsid w:val="416D1BF0"/>
    <w:rsid w:val="417E5BAB"/>
    <w:rsid w:val="419608F0"/>
    <w:rsid w:val="433C187A"/>
    <w:rsid w:val="43544E16"/>
    <w:rsid w:val="43946551"/>
    <w:rsid w:val="44827761"/>
    <w:rsid w:val="45FB3C6E"/>
    <w:rsid w:val="473F7B8B"/>
    <w:rsid w:val="491D5CAA"/>
    <w:rsid w:val="493C6A78"/>
    <w:rsid w:val="4B9E4A06"/>
    <w:rsid w:val="4D135D42"/>
    <w:rsid w:val="4D613A6D"/>
    <w:rsid w:val="4D671BE9"/>
    <w:rsid w:val="4E0833CC"/>
    <w:rsid w:val="4F4E12B3"/>
    <w:rsid w:val="4FF43C08"/>
    <w:rsid w:val="50947199"/>
    <w:rsid w:val="50B96C00"/>
    <w:rsid w:val="515C7800"/>
    <w:rsid w:val="527B519B"/>
    <w:rsid w:val="543A0058"/>
    <w:rsid w:val="545D5050"/>
    <w:rsid w:val="54894FEF"/>
    <w:rsid w:val="55053464"/>
    <w:rsid w:val="55564A1D"/>
    <w:rsid w:val="560C77D2"/>
    <w:rsid w:val="574F19B4"/>
    <w:rsid w:val="57CC546B"/>
    <w:rsid w:val="586E207E"/>
    <w:rsid w:val="58B101BD"/>
    <w:rsid w:val="59AC10B0"/>
    <w:rsid w:val="5DEC7B42"/>
    <w:rsid w:val="5F2B2A77"/>
    <w:rsid w:val="601A29BE"/>
    <w:rsid w:val="60265228"/>
    <w:rsid w:val="60326087"/>
    <w:rsid w:val="60A9459B"/>
    <w:rsid w:val="62FF1540"/>
    <w:rsid w:val="638906B4"/>
    <w:rsid w:val="64153CF6"/>
    <w:rsid w:val="66212E26"/>
    <w:rsid w:val="666B22F3"/>
    <w:rsid w:val="67784CC7"/>
    <w:rsid w:val="69666FCA"/>
    <w:rsid w:val="69715E72"/>
    <w:rsid w:val="698C2CAC"/>
    <w:rsid w:val="6A2B4273"/>
    <w:rsid w:val="6A4A3317"/>
    <w:rsid w:val="6A8D6CDC"/>
    <w:rsid w:val="6ACB3360"/>
    <w:rsid w:val="6B360912"/>
    <w:rsid w:val="6B637FDF"/>
    <w:rsid w:val="6B9F643D"/>
    <w:rsid w:val="6BB43DF4"/>
    <w:rsid w:val="6C2673A1"/>
    <w:rsid w:val="71431EA2"/>
    <w:rsid w:val="717C7162"/>
    <w:rsid w:val="72E2393D"/>
    <w:rsid w:val="733A6CBD"/>
    <w:rsid w:val="739247F9"/>
    <w:rsid w:val="74161AF0"/>
    <w:rsid w:val="74E07FB9"/>
    <w:rsid w:val="771557E0"/>
    <w:rsid w:val="775766A7"/>
    <w:rsid w:val="785521FE"/>
    <w:rsid w:val="78AC5733"/>
    <w:rsid w:val="798A119E"/>
    <w:rsid w:val="7A0D0F7D"/>
    <w:rsid w:val="7AC53928"/>
    <w:rsid w:val="7ADE49EA"/>
    <w:rsid w:val="7B564EC8"/>
    <w:rsid w:val="7C06244A"/>
    <w:rsid w:val="7C316F19"/>
    <w:rsid w:val="7F1B4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3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35"/>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3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3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38"/>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3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4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4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8">
    <w:name w:val="Default Paragraph Font"/>
    <w:semiHidden/>
    <w:unhideWhenUsed/>
    <w:qFormat/>
    <w:uiPriority w:val="1"/>
  </w:style>
  <w:style w:type="table" w:default="1" w:styleId="2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Normal Indent"/>
    <w:basedOn w:val="1"/>
    <w:qFormat/>
    <w:uiPriority w:val="0"/>
    <w:pPr>
      <w:ind w:firstLine="200" w:firstLineChars="200"/>
    </w:pPr>
    <w:rPr>
      <w:rFonts w:eastAsia="仿宋_GB2312"/>
      <w:sz w:val="28"/>
      <w:szCs w:val="20"/>
    </w:rPr>
  </w:style>
  <w:style w:type="paragraph" w:styleId="12">
    <w:name w:val="annotation text"/>
    <w:basedOn w:val="1"/>
    <w:link w:val="54"/>
    <w:qFormat/>
    <w:uiPriority w:val="0"/>
    <w:pPr>
      <w:jc w:val="left"/>
    </w:pPr>
  </w:style>
  <w:style w:type="paragraph" w:styleId="13">
    <w:name w:val="Body Text"/>
    <w:basedOn w:val="1"/>
    <w:link w:val="55"/>
    <w:qFormat/>
    <w:uiPriority w:val="99"/>
    <w:pPr>
      <w:spacing w:after="120"/>
    </w:pPr>
  </w:style>
  <w:style w:type="paragraph" w:styleId="14">
    <w:name w:val="Body Text Indent"/>
    <w:basedOn w:val="1"/>
    <w:link w:val="56"/>
    <w:qFormat/>
    <w:uiPriority w:val="0"/>
    <w:pPr>
      <w:spacing w:after="120"/>
      <w:ind w:left="420" w:leftChars="200"/>
    </w:pPr>
  </w:style>
  <w:style w:type="paragraph" w:styleId="15">
    <w:name w:val="Date"/>
    <w:basedOn w:val="1"/>
    <w:link w:val="57"/>
    <w:qFormat/>
    <w:uiPriority w:val="0"/>
    <w:pPr>
      <w:ind w:left="100" w:leftChars="2500"/>
    </w:pPr>
  </w:style>
  <w:style w:type="paragraph" w:styleId="16">
    <w:name w:val="Balloon Text"/>
    <w:basedOn w:val="1"/>
    <w:link w:val="58"/>
    <w:qFormat/>
    <w:uiPriority w:val="0"/>
    <w:rPr>
      <w:sz w:val="18"/>
      <w:szCs w:val="18"/>
    </w:rPr>
  </w:style>
  <w:style w:type="paragraph" w:styleId="17">
    <w:name w:val="footer"/>
    <w:basedOn w:val="1"/>
    <w:link w:val="53"/>
    <w:unhideWhenUsed/>
    <w:qFormat/>
    <w:uiPriority w:val="99"/>
    <w:pPr>
      <w:tabs>
        <w:tab w:val="center" w:pos="4153"/>
        <w:tab w:val="right" w:pos="8306"/>
      </w:tabs>
      <w:snapToGrid w:val="0"/>
      <w:jc w:val="left"/>
    </w:pPr>
    <w:rPr>
      <w:sz w:val="18"/>
      <w:szCs w:val="18"/>
    </w:rPr>
  </w:style>
  <w:style w:type="paragraph" w:styleId="18">
    <w:name w:val="header"/>
    <w:basedOn w:val="1"/>
    <w:link w:val="52"/>
    <w:unhideWhenUsed/>
    <w:qFormat/>
    <w:uiPriority w:val="99"/>
    <w:pPr>
      <w:tabs>
        <w:tab w:val="center" w:pos="4153"/>
        <w:tab w:val="right" w:pos="8306"/>
      </w:tabs>
      <w:snapToGrid w:val="0"/>
      <w:jc w:val="center"/>
    </w:pPr>
    <w:rPr>
      <w:sz w:val="18"/>
      <w:szCs w:val="18"/>
    </w:rPr>
  </w:style>
  <w:style w:type="paragraph" w:styleId="19">
    <w:name w:val="toc 1"/>
    <w:basedOn w:val="1"/>
    <w:next w:val="1"/>
    <w:autoRedefine/>
    <w:unhideWhenUsed/>
    <w:qFormat/>
    <w:uiPriority w:val="39"/>
  </w:style>
  <w:style w:type="paragraph" w:styleId="20">
    <w:name w:val="Subtitle"/>
    <w:basedOn w:val="1"/>
    <w:next w:val="1"/>
    <w:link w:val="4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toc 2"/>
    <w:basedOn w:val="1"/>
    <w:next w:val="1"/>
    <w:autoRedefine/>
    <w:unhideWhenUsed/>
    <w:qFormat/>
    <w:uiPriority w:val="39"/>
    <w:pPr>
      <w:ind w:left="420" w:leftChars="200"/>
    </w:pPr>
  </w:style>
  <w:style w:type="paragraph" w:styleId="22">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23">
    <w:name w:val="Title"/>
    <w:basedOn w:val="1"/>
    <w:next w:val="1"/>
    <w:link w:val="43"/>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4">
    <w:name w:val="annotation subject"/>
    <w:basedOn w:val="12"/>
    <w:link w:val="59"/>
    <w:qFormat/>
    <w:uiPriority w:val="0"/>
    <w:rPr>
      <w:b/>
      <w:bCs/>
    </w:rPr>
  </w:style>
  <w:style w:type="paragraph" w:styleId="25">
    <w:name w:val="Body Text First Indent"/>
    <w:basedOn w:val="13"/>
    <w:link w:val="60"/>
    <w:qFormat/>
    <w:uiPriority w:val="0"/>
    <w:pPr>
      <w:spacing w:after="0" w:line="540" w:lineRule="exact"/>
      <w:ind w:firstLine="200" w:firstLineChars="200"/>
    </w:pPr>
    <w:rPr>
      <w:rFonts w:eastAsia="仿宋_GB2312"/>
      <w:sz w:val="32"/>
      <w:szCs w:val="20"/>
    </w:rPr>
  </w:style>
  <w:style w:type="table" w:styleId="27">
    <w:name w:val="Table Grid"/>
    <w:basedOn w:val="26"/>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0"/>
    <w:rPr>
      <w:b/>
      <w:bCs/>
    </w:rPr>
  </w:style>
  <w:style w:type="character" w:styleId="30">
    <w:name w:val="FollowedHyperlink"/>
    <w:semiHidden/>
    <w:unhideWhenUsed/>
    <w:qFormat/>
    <w:uiPriority w:val="99"/>
    <w:rPr>
      <w:color w:val="954F72"/>
      <w:u w:val="single"/>
    </w:rPr>
  </w:style>
  <w:style w:type="character" w:styleId="31">
    <w:name w:val="Emphasis"/>
    <w:qFormat/>
    <w:uiPriority w:val="0"/>
    <w:rPr>
      <w:i/>
      <w:iCs/>
    </w:rPr>
  </w:style>
  <w:style w:type="character" w:styleId="32">
    <w:name w:val="Hyperlink"/>
    <w:qFormat/>
    <w:uiPriority w:val="99"/>
    <w:rPr>
      <w:u w:val="single"/>
    </w:rPr>
  </w:style>
  <w:style w:type="character" w:styleId="33">
    <w:name w:val="annotation reference"/>
    <w:qFormat/>
    <w:uiPriority w:val="0"/>
    <w:rPr>
      <w:sz w:val="21"/>
      <w:szCs w:val="21"/>
    </w:rPr>
  </w:style>
  <w:style w:type="character" w:customStyle="1" w:styleId="34">
    <w:name w:val="标题 1 字符"/>
    <w:basedOn w:val="28"/>
    <w:link w:val="2"/>
    <w:qFormat/>
    <w:uiPriority w:val="9"/>
    <w:rPr>
      <w:rFonts w:asciiTheme="majorHAnsi" w:hAnsiTheme="majorHAnsi" w:eastAsiaTheme="majorEastAsia" w:cstheme="majorBidi"/>
      <w:color w:val="104862" w:themeColor="accent1" w:themeShade="BF"/>
      <w:sz w:val="48"/>
      <w:szCs w:val="48"/>
    </w:rPr>
  </w:style>
  <w:style w:type="character" w:customStyle="1" w:styleId="35">
    <w:name w:val="标题 2 字符"/>
    <w:basedOn w:val="2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36">
    <w:name w:val="标题 3 字符"/>
    <w:basedOn w:val="2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37">
    <w:name w:val="标题 4 字符"/>
    <w:basedOn w:val="28"/>
    <w:link w:val="5"/>
    <w:semiHidden/>
    <w:qFormat/>
    <w:uiPriority w:val="9"/>
    <w:rPr>
      <w:rFonts w:cstheme="majorBidi"/>
      <w:color w:val="104862" w:themeColor="accent1" w:themeShade="BF"/>
      <w:sz w:val="28"/>
      <w:szCs w:val="28"/>
    </w:rPr>
  </w:style>
  <w:style w:type="character" w:customStyle="1" w:styleId="38">
    <w:name w:val="标题 5 字符"/>
    <w:basedOn w:val="28"/>
    <w:link w:val="6"/>
    <w:semiHidden/>
    <w:qFormat/>
    <w:uiPriority w:val="9"/>
    <w:rPr>
      <w:rFonts w:cstheme="majorBidi"/>
      <w:color w:val="104862" w:themeColor="accent1" w:themeShade="BF"/>
      <w:sz w:val="24"/>
      <w:szCs w:val="24"/>
    </w:rPr>
  </w:style>
  <w:style w:type="character" w:customStyle="1" w:styleId="39">
    <w:name w:val="标题 6 字符"/>
    <w:basedOn w:val="28"/>
    <w:link w:val="7"/>
    <w:semiHidden/>
    <w:qFormat/>
    <w:uiPriority w:val="9"/>
    <w:rPr>
      <w:rFonts w:cstheme="majorBidi"/>
      <w:b/>
      <w:bCs/>
      <w:color w:val="104862" w:themeColor="accent1" w:themeShade="BF"/>
    </w:rPr>
  </w:style>
  <w:style w:type="character" w:customStyle="1" w:styleId="40">
    <w:name w:val="标题 7 字符"/>
    <w:basedOn w:val="2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1">
    <w:name w:val="标题 8 字符"/>
    <w:basedOn w:val="2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2">
    <w:name w:val="标题 9 字符"/>
    <w:basedOn w:val="2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3">
    <w:name w:val="标题 字符"/>
    <w:basedOn w:val="28"/>
    <w:link w:val="23"/>
    <w:qFormat/>
    <w:uiPriority w:val="10"/>
    <w:rPr>
      <w:rFonts w:asciiTheme="majorHAnsi" w:hAnsiTheme="majorHAnsi" w:eastAsiaTheme="majorEastAsia" w:cstheme="majorBidi"/>
      <w:spacing w:val="-10"/>
      <w:kern w:val="28"/>
      <w:sz w:val="56"/>
      <w:szCs w:val="56"/>
    </w:rPr>
  </w:style>
  <w:style w:type="character" w:customStyle="1" w:styleId="44">
    <w:name w:val="副标题 字符"/>
    <w:basedOn w:val="28"/>
    <w:link w:val="20"/>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5">
    <w:name w:val="Quote"/>
    <w:basedOn w:val="1"/>
    <w:next w:val="1"/>
    <w:link w:val="4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6">
    <w:name w:val="引用 字符"/>
    <w:basedOn w:val="28"/>
    <w:link w:val="45"/>
    <w:qFormat/>
    <w:uiPriority w:val="29"/>
    <w:rPr>
      <w:i/>
      <w:iCs/>
      <w:color w:val="404040" w:themeColor="text1" w:themeTint="BF"/>
      <w14:textFill>
        <w14:solidFill>
          <w14:schemeClr w14:val="tx1">
            <w14:lumMod w14:val="75000"/>
            <w14:lumOff w14:val="25000"/>
          </w14:schemeClr>
        </w14:solidFill>
      </w14:textFill>
    </w:rPr>
  </w:style>
  <w:style w:type="paragraph" w:styleId="47">
    <w:name w:val="List Paragraph"/>
    <w:basedOn w:val="1"/>
    <w:qFormat/>
    <w:uiPriority w:val="34"/>
    <w:pPr>
      <w:ind w:left="720"/>
      <w:contextualSpacing/>
    </w:pPr>
  </w:style>
  <w:style w:type="character" w:customStyle="1" w:styleId="48">
    <w:name w:val="Intense Emphasis"/>
    <w:basedOn w:val="28"/>
    <w:qFormat/>
    <w:uiPriority w:val="21"/>
    <w:rPr>
      <w:i/>
      <w:iCs/>
      <w:color w:val="104862" w:themeColor="accent1" w:themeShade="BF"/>
    </w:rPr>
  </w:style>
  <w:style w:type="paragraph" w:styleId="49">
    <w:name w:val="Intense Quote"/>
    <w:basedOn w:val="1"/>
    <w:next w:val="1"/>
    <w:link w:val="5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50">
    <w:name w:val="明显引用 字符"/>
    <w:basedOn w:val="28"/>
    <w:link w:val="49"/>
    <w:qFormat/>
    <w:uiPriority w:val="30"/>
    <w:rPr>
      <w:i/>
      <w:iCs/>
      <w:color w:val="104862" w:themeColor="accent1" w:themeShade="BF"/>
    </w:rPr>
  </w:style>
  <w:style w:type="character" w:customStyle="1" w:styleId="51">
    <w:name w:val="Intense Reference"/>
    <w:basedOn w:val="28"/>
    <w:qFormat/>
    <w:uiPriority w:val="32"/>
    <w:rPr>
      <w:b/>
      <w:bCs/>
      <w:smallCaps/>
      <w:color w:val="104862" w:themeColor="accent1" w:themeShade="BF"/>
      <w:spacing w:val="5"/>
    </w:rPr>
  </w:style>
  <w:style w:type="character" w:customStyle="1" w:styleId="52">
    <w:name w:val="页眉 字符"/>
    <w:basedOn w:val="28"/>
    <w:link w:val="18"/>
    <w:qFormat/>
    <w:uiPriority w:val="99"/>
    <w:rPr>
      <w:sz w:val="18"/>
      <w:szCs w:val="18"/>
    </w:rPr>
  </w:style>
  <w:style w:type="character" w:customStyle="1" w:styleId="53">
    <w:name w:val="页脚 字符"/>
    <w:basedOn w:val="28"/>
    <w:link w:val="17"/>
    <w:qFormat/>
    <w:uiPriority w:val="99"/>
    <w:rPr>
      <w:sz w:val="18"/>
      <w:szCs w:val="18"/>
    </w:rPr>
  </w:style>
  <w:style w:type="character" w:customStyle="1" w:styleId="54">
    <w:name w:val="批注文字 字符"/>
    <w:basedOn w:val="28"/>
    <w:link w:val="12"/>
    <w:qFormat/>
    <w:uiPriority w:val="0"/>
    <w:rPr>
      <w:rFonts w:ascii="Times New Roman" w:hAnsi="Times New Roman" w:eastAsia="宋体" w:cs="Times New Roman"/>
    </w:rPr>
  </w:style>
  <w:style w:type="character" w:customStyle="1" w:styleId="55">
    <w:name w:val="正文文本 字符"/>
    <w:basedOn w:val="28"/>
    <w:link w:val="13"/>
    <w:qFormat/>
    <w:uiPriority w:val="99"/>
    <w:rPr>
      <w:rFonts w:ascii="Times New Roman" w:hAnsi="Times New Roman" w:eastAsia="宋体" w:cs="Times New Roman"/>
    </w:rPr>
  </w:style>
  <w:style w:type="character" w:customStyle="1" w:styleId="56">
    <w:name w:val="正文文本缩进 字符"/>
    <w:basedOn w:val="28"/>
    <w:link w:val="14"/>
    <w:uiPriority w:val="0"/>
    <w:rPr>
      <w:rFonts w:ascii="Times New Roman" w:hAnsi="Times New Roman" w:eastAsia="宋体" w:cs="Times New Roman"/>
    </w:rPr>
  </w:style>
  <w:style w:type="character" w:customStyle="1" w:styleId="57">
    <w:name w:val="日期 字符"/>
    <w:basedOn w:val="28"/>
    <w:link w:val="15"/>
    <w:qFormat/>
    <w:uiPriority w:val="0"/>
    <w:rPr>
      <w:rFonts w:ascii="Times New Roman" w:hAnsi="Times New Roman" w:eastAsia="宋体" w:cs="Times New Roman"/>
    </w:rPr>
  </w:style>
  <w:style w:type="character" w:customStyle="1" w:styleId="58">
    <w:name w:val="批注框文本 字符"/>
    <w:basedOn w:val="28"/>
    <w:link w:val="16"/>
    <w:qFormat/>
    <w:uiPriority w:val="0"/>
    <w:rPr>
      <w:rFonts w:ascii="Times New Roman" w:hAnsi="Times New Roman" w:eastAsia="宋体" w:cs="Times New Roman"/>
      <w:sz w:val="18"/>
      <w:szCs w:val="18"/>
    </w:rPr>
  </w:style>
  <w:style w:type="character" w:customStyle="1" w:styleId="59">
    <w:name w:val="批注主题 字符"/>
    <w:basedOn w:val="54"/>
    <w:link w:val="24"/>
    <w:uiPriority w:val="0"/>
    <w:rPr>
      <w:rFonts w:ascii="Times New Roman" w:hAnsi="Times New Roman" w:eastAsia="宋体" w:cs="Times New Roman"/>
      <w:b/>
      <w:bCs/>
    </w:rPr>
  </w:style>
  <w:style w:type="character" w:customStyle="1" w:styleId="60">
    <w:name w:val="正文文本首行缩进 字符"/>
    <w:basedOn w:val="55"/>
    <w:link w:val="25"/>
    <w:uiPriority w:val="0"/>
    <w:rPr>
      <w:rFonts w:ascii="Times New Roman" w:hAnsi="Times New Roman" w:eastAsia="仿宋_GB2312" w:cs="Times New Roman"/>
      <w:sz w:val="32"/>
      <w:szCs w:val="20"/>
    </w:rPr>
  </w:style>
  <w:style w:type="paragraph" w:customStyle="1" w:styleId="61">
    <w:name w:val="目录 31"/>
    <w:basedOn w:val="1"/>
    <w:qFormat/>
    <w:uiPriority w:val="0"/>
    <w:pPr>
      <w:ind w:left="840" w:leftChars="400"/>
    </w:pPr>
    <w:rPr>
      <w:szCs w:val="24"/>
    </w:rPr>
  </w:style>
  <w:style w:type="paragraph" w:customStyle="1" w:styleId="62">
    <w:name w:val="目录 11"/>
    <w:basedOn w:val="1"/>
    <w:qFormat/>
    <w:uiPriority w:val="0"/>
    <w:rPr>
      <w:szCs w:val="24"/>
    </w:rPr>
  </w:style>
  <w:style w:type="paragraph" w:customStyle="1" w:styleId="63">
    <w:name w:val="目录 61"/>
    <w:basedOn w:val="1"/>
    <w:qFormat/>
    <w:uiPriority w:val="0"/>
    <w:pPr>
      <w:ind w:left="2100" w:leftChars="1000"/>
    </w:pPr>
  </w:style>
  <w:style w:type="paragraph" w:customStyle="1" w:styleId="64">
    <w:name w:val="目录 21"/>
    <w:basedOn w:val="1"/>
    <w:qFormat/>
    <w:uiPriority w:val="0"/>
    <w:pPr>
      <w:ind w:left="420" w:leftChars="200"/>
    </w:pPr>
    <w:rPr>
      <w:szCs w:val="24"/>
    </w:rPr>
  </w:style>
  <w:style w:type="paragraph" w:customStyle="1" w:styleId="65">
    <w:name w:val="正文首行缩进1"/>
    <w:basedOn w:val="13"/>
    <w:qFormat/>
    <w:uiPriority w:val="0"/>
    <w:pPr>
      <w:ind w:firstLine="420" w:firstLineChars="100"/>
    </w:pPr>
  </w:style>
  <w:style w:type="paragraph" w:customStyle="1" w:styleId="66">
    <w:name w:val="正文首行缩进 21"/>
    <w:basedOn w:val="14"/>
    <w:qFormat/>
    <w:uiPriority w:val="0"/>
    <w:pPr>
      <w:ind w:firstLine="420" w:firstLineChars="200"/>
    </w:pPr>
    <w:rPr>
      <w:rFonts w:ascii="Calibri" w:hAnsi="Calibri"/>
    </w:rPr>
  </w:style>
  <w:style w:type="paragraph" w:customStyle="1" w:styleId="67">
    <w:name w:val="列出段落"/>
    <w:basedOn w:val="1"/>
    <w:qFormat/>
    <w:uiPriority w:val="0"/>
    <w:pPr>
      <w:ind w:firstLine="420" w:firstLineChars="200"/>
    </w:pPr>
  </w:style>
  <w:style w:type="character" w:customStyle="1" w:styleId="68">
    <w:name w:val="font41"/>
    <w:qFormat/>
    <w:uiPriority w:val="0"/>
    <w:rPr>
      <w:rFonts w:ascii="仿宋_GB2312" w:eastAsia="仿宋_GB2312"/>
      <w:sz w:val="24"/>
      <w:szCs w:val="24"/>
      <w:u w:val="none"/>
    </w:rPr>
  </w:style>
  <w:style w:type="paragraph" w:customStyle="1" w:styleId="69">
    <w:name w:val="样式6"/>
    <w:basedOn w:val="1"/>
    <w:qFormat/>
    <w:uiPriority w:val="0"/>
    <w:pPr>
      <w:spacing w:line="360" w:lineRule="auto"/>
      <w:ind w:firstLine="560" w:firstLineChars="200"/>
    </w:pPr>
    <w:rPr>
      <w:rFonts w:ascii="仿宋_GB2312" w:eastAsia="仿宋_GB2312"/>
      <w:b/>
      <w:sz w:val="36"/>
      <w:szCs w:val="32"/>
    </w:rPr>
  </w:style>
  <w:style w:type="paragraph" w:customStyle="1" w:styleId="70">
    <w:name w:val="（一）标"/>
    <w:basedOn w:val="1"/>
    <w:link w:val="71"/>
    <w:qFormat/>
    <w:uiPriority w:val="0"/>
    <w:pPr>
      <w:spacing w:line="590" w:lineRule="exact"/>
      <w:ind w:left="-143" w:leftChars="-68" w:firstLine="664" w:firstLineChars="200"/>
      <w:outlineLvl w:val="1"/>
    </w:pPr>
    <w:rPr>
      <w:rFonts w:ascii="楷体_GB2312" w:hAnsi="仿宋" w:eastAsia="楷体_GB2312"/>
      <w:spacing w:val="6"/>
      <w:sz w:val="32"/>
      <w:szCs w:val="32"/>
    </w:rPr>
  </w:style>
  <w:style w:type="character" w:customStyle="1" w:styleId="71">
    <w:name w:val="（一）标 Char"/>
    <w:link w:val="70"/>
    <w:qFormat/>
    <w:uiPriority w:val="0"/>
    <w:rPr>
      <w:rFonts w:ascii="楷体_GB2312" w:hAnsi="仿宋" w:eastAsia="楷体_GB2312" w:cs="Times New Roman"/>
      <w:spacing w:val="6"/>
      <w:sz w:val="32"/>
      <w:szCs w:val="32"/>
    </w:rPr>
  </w:style>
  <w:style w:type="paragraph" w:customStyle="1" w:styleId="72">
    <w:name w:val="GB正文"/>
    <w:basedOn w:val="1"/>
    <w:link w:val="73"/>
    <w:qFormat/>
    <w:uiPriority w:val="0"/>
    <w:pPr>
      <w:spacing w:line="590" w:lineRule="exact"/>
      <w:ind w:firstLine="707" w:firstLineChars="221"/>
    </w:pPr>
    <w:rPr>
      <w:rFonts w:ascii="仿宋_GB2312" w:eastAsia="仿宋_GB2312"/>
      <w:spacing w:val="6"/>
      <w:sz w:val="32"/>
      <w:szCs w:val="32"/>
    </w:rPr>
  </w:style>
  <w:style w:type="character" w:customStyle="1" w:styleId="73">
    <w:name w:val="GB正文 Char"/>
    <w:link w:val="72"/>
    <w:qFormat/>
    <w:uiPriority w:val="0"/>
    <w:rPr>
      <w:rFonts w:ascii="仿宋_GB2312" w:hAnsi="Times New Roman" w:eastAsia="仿宋_GB2312" w:cs="Times New Roman"/>
      <w:spacing w:val="6"/>
      <w:sz w:val="32"/>
      <w:szCs w:val="32"/>
    </w:rPr>
  </w:style>
  <w:style w:type="paragraph" w:customStyle="1" w:styleId="74">
    <w:name w:val="一、标"/>
    <w:link w:val="75"/>
    <w:qFormat/>
    <w:uiPriority w:val="0"/>
    <w:pPr>
      <w:spacing w:before="240" w:line="580" w:lineRule="exact"/>
      <w:ind w:firstLine="664" w:firstLineChars="200"/>
      <w:jc w:val="both"/>
      <w:outlineLvl w:val="0"/>
    </w:pPr>
    <w:rPr>
      <w:rFonts w:ascii="Times New Roman" w:hAnsi="Times New Roman" w:eastAsia="黑体" w:cs="Times New Roman"/>
      <w:spacing w:val="6"/>
      <w:kern w:val="0"/>
      <w:sz w:val="32"/>
      <w:szCs w:val="32"/>
      <w:lang w:val="en-US" w:eastAsia="zh-CN" w:bidi="ar-SA"/>
    </w:rPr>
  </w:style>
  <w:style w:type="character" w:customStyle="1" w:styleId="75">
    <w:name w:val="一、标 Char"/>
    <w:link w:val="74"/>
    <w:qFormat/>
    <w:uiPriority w:val="0"/>
    <w:rPr>
      <w:rFonts w:ascii="Times New Roman" w:hAnsi="Times New Roman" w:eastAsia="黑体" w:cs="Times New Roman"/>
      <w:spacing w:val="6"/>
      <w:kern w:val="0"/>
      <w:sz w:val="32"/>
      <w:szCs w:val="32"/>
    </w:rPr>
  </w:style>
  <w:style w:type="paragraph" w:customStyle="1" w:styleId="76">
    <w:name w:val="一标"/>
    <w:basedOn w:val="1"/>
    <w:link w:val="77"/>
    <w:qFormat/>
    <w:uiPriority w:val="0"/>
    <w:pPr>
      <w:numPr>
        <w:ilvl w:val="0"/>
        <w:numId w:val="1"/>
      </w:numPr>
      <w:ind w:left="0" w:firstLine="640"/>
      <w:jc w:val="left"/>
    </w:pPr>
    <w:rPr>
      <w:rFonts w:ascii="黑体" w:hAnsi="黑体" w:eastAsia="黑体"/>
      <w:szCs w:val="32"/>
    </w:rPr>
  </w:style>
  <w:style w:type="character" w:customStyle="1" w:styleId="77">
    <w:name w:val="一标 Char"/>
    <w:link w:val="76"/>
    <w:qFormat/>
    <w:uiPriority w:val="0"/>
    <w:rPr>
      <w:rFonts w:ascii="黑体" w:hAnsi="黑体" w:eastAsia="黑体" w:cs="Times New Roman"/>
      <w:szCs w:val="32"/>
    </w:rPr>
  </w:style>
  <w:style w:type="paragraph" w:customStyle="1" w:styleId="78">
    <w:name w:val="TOC 标题1"/>
    <w:basedOn w:val="2"/>
    <w:qFormat/>
    <w:uiPriority w:val="0"/>
    <w:pPr>
      <w:widowControl/>
      <w:spacing w:before="240" w:after="0" w:line="259" w:lineRule="auto"/>
      <w:jc w:val="left"/>
      <w:outlineLvl w:val="9"/>
    </w:pPr>
    <w:rPr>
      <w:rFonts w:ascii="Cambria" w:hAnsi="Cambria" w:eastAsia="宋体" w:cs="Times New Roman"/>
      <w:color w:val="auto"/>
      <w:kern w:val="0"/>
      <w:sz w:val="32"/>
      <w:szCs w:val="32"/>
      <w:lang w:eastAsia="en-US"/>
    </w:rPr>
  </w:style>
  <w:style w:type="paragraph" w:customStyle="1" w:styleId="79">
    <w:name w:val="Style1"/>
    <w:basedOn w:val="1"/>
    <w:qFormat/>
    <w:uiPriority w:val="0"/>
    <w:pPr>
      <w:numPr>
        <w:ilvl w:val="0"/>
        <w:numId w:val="2"/>
      </w:numPr>
    </w:pPr>
  </w:style>
  <w:style w:type="paragraph" w:customStyle="1" w:styleId="80">
    <w:name w:val="Default"/>
    <w:qFormat/>
    <w:uiPriority w:val="0"/>
    <w:pPr>
      <w:widowControl w:val="0"/>
      <w:autoSpaceDE w:val="0"/>
      <w:autoSpaceDN w:val="0"/>
    </w:pPr>
    <w:rPr>
      <w:rFonts w:ascii="仿宋_GB2312" w:hAnsi="Times New Roman" w:eastAsia="仿宋_GB2312" w:cs="Times New Roman"/>
      <w:kern w:val="0"/>
      <w:sz w:val="24"/>
      <w:szCs w:val="24"/>
      <w:lang w:val="en-US" w:eastAsia="zh-CN" w:bidi="ar-SA"/>
    </w:rPr>
  </w:style>
  <w:style w:type="character" w:customStyle="1" w:styleId="81">
    <w:name w:val="bjh-p"/>
    <w:qFormat/>
    <w:uiPriority w:val="0"/>
  </w:style>
  <w:style w:type="paragraph" w:customStyle="1" w:styleId="82">
    <w:name w:val="修订1"/>
    <w:semiHidden/>
    <w:qFormat/>
    <w:uiPriority w:val="0"/>
    <w:rPr>
      <w:rFonts w:ascii="Times New Roman" w:hAnsi="Times New Roman" w:eastAsia="宋体" w:cs="Times New Roman"/>
      <w:kern w:val="2"/>
      <w:sz w:val="21"/>
      <w:szCs w:val="22"/>
      <w:lang w:val="en-US" w:eastAsia="zh-CN" w:bidi="ar-SA"/>
    </w:rPr>
  </w:style>
  <w:style w:type="paragraph" w:customStyle="1" w:styleId="83">
    <w:name w:val="*正文"/>
    <w:basedOn w:val="1"/>
    <w:qFormat/>
    <w:uiPriority w:val="0"/>
    <w:pPr>
      <w:ind w:firstLine="200" w:firstLineChars="200"/>
    </w:pPr>
    <w:rPr>
      <w:rFonts w:ascii="宋体" w:hAnsi="宋体"/>
      <w:kern w:val="0"/>
      <w:szCs w:val="24"/>
    </w:rPr>
  </w:style>
  <w:style w:type="paragraph" w:customStyle="1" w:styleId="84">
    <w:name w:val="Char"/>
    <w:basedOn w:val="1"/>
    <w:qFormat/>
    <w:uiPriority w:val="0"/>
    <w:rPr>
      <w:szCs w:val="20"/>
    </w:rPr>
  </w:style>
  <w:style w:type="character" w:customStyle="1" w:styleId="85">
    <w:name w:val="15"/>
    <w:qFormat/>
    <w:uiPriority w:val="0"/>
  </w:style>
  <w:style w:type="character" w:customStyle="1" w:styleId="86">
    <w:name w:val="NormalCharacter"/>
    <w:semiHidden/>
    <w:qFormat/>
    <w:uiPriority w:val="0"/>
  </w:style>
  <w:style w:type="character" w:customStyle="1" w:styleId="87">
    <w:name w:val="uxbejhej9"/>
    <w:qFormat/>
    <w:uiPriority w:val="0"/>
  </w:style>
  <w:style w:type="paragraph" w:customStyle="1" w:styleId="88">
    <w:name w:val="和田正文1a"/>
    <w:basedOn w:val="1"/>
    <w:link w:val="89"/>
    <w:qFormat/>
    <w:uiPriority w:val="0"/>
    <w:pPr>
      <w:spacing w:line="560" w:lineRule="exact"/>
      <w:ind w:firstLine="1004" w:firstLineChars="200"/>
      <w:jc w:val="left"/>
    </w:pPr>
    <w:rPr>
      <w:rFonts w:eastAsia="仿宋_GB2312"/>
      <w:kern w:val="0"/>
      <w:sz w:val="32"/>
      <w:szCs w:val="32"/>
      <w:lang w:bidi="en-US"/>
    </w:rPr>
  </w:style>
  <w:style w:type="character" w:customStyle="1" w:styleId="89">
    <w:name w:val="和田正文1a Char"/>
    <w:link w:val="88"/>
    <w:qFormat/>
    <w:uiPriority w:val="0"/>
    <w:rPr>
      <w:rFonts w:ascii="Times New Roman" w:hAnsi="Times New Roman" w:eastAsia="仿宋_GB2312" w:cs="Times New Roman"/>
      <w:kern w:val="0"/>
      <w:sz w:val="32"/>
      <w:szCs w:val="32"/>
      <w:lang w:bidi="en-US"/>
    </w:rPr>
  </w:style>
  <w:style w:type="paragraph" w:customStyle="1" w:styleId="90">
    <w:name w:val="闻政正文"/>
    <w:basedOn w:val="1"/>
    <w:qFormat/>
    <w:uiPriority w:val="0"/>
    <w:pPr>
      <w:spacing w:line="500" w:lineRule="exact"/>
      <w:ind w:firstLine="560" w:firstLineChars="200"/>
    </w:pPr>
    <w:rPr>
      <w:rFonts w:eastAsia="仿宋_GB2312"/>
      <w:sz w:val="28"/>
      <w:szCs w:val="28"/>
    </w:rPr>
  </w:style>
  <w:style w:type="paragraph" w:customStyle="1" w:styleId="91">
    <w:name w:val="和标1"/>
    <w:basedOn w:val="1"/>
    <w:qFormat/>
    <w:uiPriority w:val="0"/>
    <w:pPr>
      <w:widowControl/>
      <w:spacing w:before="120" w:after="60" w:line="560" w:lineRule="exact"/>
      <w:ind w:left="1400"/>
      <w:jc w:val="left"/>
      <w:outlineLvl w:val="0"/>
    </w:pPr>
    <w:rPr>
      <w:rFonts w:hint="eastAsia" w:ascii="宋体" w:hAnsi="宋体" w:eastAsia="黑体"/>
      <w:bCs/>
      <w:kern w:val="0"/>
      <w:sz w:val="32"/>
      <w:szCs w:val="32"/>
      <w:lang w:bidi="en-US"/>
    </w:rPr>
  </w:style>
  <w:style w:type="paragraph" w:customStyle="1" w:styleId="92">
    <w:name w:val="和标2"/>
    <w:basedOn w:val="1"/>
    <w:qFormat/>
    <w:uiPriority w:val="0"/>
    <w:pPr>
      <w:keepNext/>
      <w:keepLines/>
      <w:spacing w:line="560" w:lineRule="exact"/>
      <w:ind w:firstLine="1004" w:firstLineChars="200"/>
      <w:jc w:val="left"/>
      <w:outlineLvl w:val="1"/>
    </w:pPr>
    <w:rPr>
      <w:rFonts w:hint="eastAsia" w:ascii="楷体" w:hAnsi="楷体" w:eastAsia="楷体"/>
      <w:b/>
      <w:bCs/>
      <w:kern w:val="0"/>
      <w:sz w:val="32"/>
      <w:szCs w:val="32"/>
    </w:rPr>
  </w:style>
  <w:style w:type="character" w:customStyle="1" w:styleId="93">
    <w:name w:val="页脚 Char"/>
    <w:qFormat/>
    <w:uiPriority w:val="0"/>
    <w:rPr>
      <w:rFonts w:eastAsia="Calibri"/>
      <w:sz w:val="21"/>
    </w:rPr>
  </w:style>
  <w:style w:type="character" w:customStyle="1" w:styleId="94">
    <w:name w:val="font71"/>
    <w:qFormat/>
    <w:uiPriority w:val="0"/>
    <w:rPr>
      <w:rFonts w:hint="eastAsia" w:ascii="宋体" w:hAnsi="宋体" w:eastAsia="宋体"/>
      <w:sz w:val="22"/>
      <w:szCs w:val="22"/>
      <w:u w:val="none"/>
    </w:rPr>
  </w:style>
  <w:style w:type="character" w:customStyle="1" w:styleId="95">
    <w:name w:val="font91"/>
    <w:qFormat/>
    <w:uiPriority w:val="0"/>
    <w:rPr>
      <w:rFonts w:ascii="Arial" w:hAnsi="Arial"/>
      <w:sz w:val="20"/>
      <w:szCs w:val="20"/>
      <w:u w:val="none"/>
    </w:rPr>
  </w:style>
  <w:style w:type="character" w:customStyle="1" w:styleId="96">
    <w:name w:val="font11"/>
    <w:qFormat/>
    <w:uiPriority w:val="0"/>
    <w:rPr>
      <w:rFonts w:hint="eastAsia" w:ascii="宋体" w:hAnsi="宋体" w:eastAsia="宋体"/>
      <w:sz w:val="20"/>
      <w:szCs w:val="20"/>
      <w:u w:val="none"/>
    </w:rPr>
  </w:style>
  <w:style w:type="character" w:customStyle="1" w:styleId="97">
    <w:name w:val="font21"/>
    <w:qFormat/>
    <w:uiPriority w:val="0"/>
    <w:rPr>
      <w:rFonts w:hint="eastAsia" w:ascii="宋体" w:hAnsi="宋体" w:eastAsia="宋体"/>
      <w:sz w:val="22"/>
      <w:szCs w:val="22"/>
      <w:u w:val="none"/>
    </w:rPr>
  </w:style>
  <w:style w:type="character" w:customStyle="1" w:styleId="98">
    <w:name w:val="font61"/>
    <w:qFormat/>
    <w:uiPriority w:val="0"/>
    <w:rPr>
      <w:rFonts w:ascii="Arial" w:hAnsi="Arial"/>
      <w:sz w:val="20"/>
      <w:szCs w:val="20"/>
      <w:u w:val="none"/>
    </w:rPr>
  </w:style>
  <w:style w:type="paragraph" w:customStyle="1" w:styleId="99">
    <w:name w:val="Body text|1"/>
    <w:basedOn w:val="1"/>
    <w:qFormat/>
    <w:uiPriority w:val="0"/>
    <w:pPr>
      <w:spacing w:line="377" w:lineRule="auto"/>
      <w:ind w:firstLine="400"/>
    </w:pPr>
    <w:rPr>
      <w:lang w:val="zh-TW" w:eastAsia="zh-TW" w:bidi="zh-TW"/>
    </w:rPr>
  </w:style>
  <w:style w:type="character" w:customStyle="1" w:styleId="100">
    <w:name w:val="font31"/>
    <w:qFormat/>
    <w:uiPriority w:val="0"/>
    <w:rPr>
      <w:rFonts w:ascii="Times New Roman" w:hAnsi="Times New Roman"/>
      <w:sz w:val="22"/>
      <w:szCs w:val="22"/>
      <w:u w:val="none"/>
    </w:rPr>
  </w:style>
  <w:style w:type="character" w:customStyle="1" w:styleId="101">
    <w:name w:val="font01"/>
    <w:qFormat/>
    <w:uiPriority w:val="0"/>
    <w:rPr>
      <w:rFonts w:hint="eastAsia" w:ascii="宋体" w:hAnsi="宋体" w:eastAsia="宋体"/>
      <w:sz w:val="22"/>
      <w:szCs w:val="22"/>
      <w:u w:val="none"/>
    </w:rPr>
  </w:style>
  <w:style w:type="character" w:customStyle="1" w:styleId="102">
    <w:name w:val="font51"/>
    <w:qFormat/>
    <w:uiPriority w:val="0"/>
    <w:rPr>
      <w:rFonts w:ascii="Times New Roman" w:hAnsi="Times New Roman"/>
      <w:b/>
      <w:bCs/>
      <w:sz w:val="22"/>
      <w:szCs w:val="22"/>
      <w:u w:val="none"/>
    </w:rPr>
  </w:style>
  <w:style w:type="paragraph" w:customStyle="1" w:styleId="103">
    <w:name w:val="标题 51"/>
    <w:basedOn w:val="1"/>
    <w:next w:val="1"/>
    <w:semiHidden/>
    <w:unhideWhenUsed/>
    <w:qFormat/>
    <w:uiPriority w:val="9"/>
    <w:pPr>
      <w:keepNext/>
      <w:keepLines/>
      <w:spacing w:before="80" w:after="40"/>
      <w:outlineLvl w:val="4"/>
    </w:pPr>
    <w:rPr>
      <w:rFonts w:ascii="等线" w:hAnsi="等线" w:eastAsia="等线"/>
      <w:color w:val="0F4761"/>
      <w:sz w:val="24"/>
      <w:szCs w:val="24"/>
    </w:rPr>
  </w:style>
  <w:style w:type="paragraph" w:customStyle="1" w:styleId="104">
    <w:name w:val="标题 61"/>
    <w:basedOn w:val="1"/>
    <w:next w:val="1"/>
    <w:semiHidden/>
    <w:unhideWhenUsed/>
    <w:qFormat/>
    <w:uiPriority w:val="9"/>
    <w:pPr>
      <w:keepNext/>
      <w:keepLines/>
      <w:spacing w:before="40"/>
      <w:outlineLvl w:val="5"/>
    </w:pPr>
    <w:rPr>
      <w:rFonts w:ascii="等线" w:hAnsi="等线" w:eastAsia="等线"/>
      <w:b/>
      <w:bCs/>
      <w:color w:val="0F4761"/>
    </w:rPr>
  </w:style>
  <w:style w:type="paragraph" w:customStyle="1" w:styleId="105">
    <w:name w:val="标题 71"/>
    <w:basedOn w:val="1"/>
    <w:next w:val="1"/>
    <w:semiHidden/>
    <w:unhideWhenUsed/>
    <w:qFormat/>
    <w:uiPriority w:val="9"/>
    <w:pPr>
      <w:keepNext/>
      <w:keepLines/>
      <w:spacing w:before="40"/>
      <w:outlineLvl w:val="6"/>
    </w:pPr>
    <w:rPr>
      <w:rFonts w:ascii="等线" w:hAnsi="等线" w:eastAsia="等线"/>
      <w:b/>
      <w:bCs/>
      <w:color w:val="595959"/>
    </w:rPr>
  </w:style>
  <w:style w:type="paragraph" w:customStyle="1" w:styleId="106">
    <w:name w:val="标题 81"/>
    <w:basedOn w:val="1"/>
    <w:next w:val="1"/>
    <w:semiHidden/>
    <w:unhideWhenUsed/>
    <w:qFormat/>
    <w:uiPriority w:val="9"/>
    <w:pPr>
      <w:keepNext/>
      <w:keepLines/>
      <w:outlineLvl w:val="7"/>
    </w:pPr>
    <w:rPr>
      <w:rFonts w:ascii="等线" w:hAnsi="等线" w:eastAsia="等线"/>
      <w:color w:val="595959"/>
    </w:rPr>
  </w:style>
  <w:style w:type="paragraph" w:customStyle="1" w:styleId="107">
    <w:name w:val="标题 91"/>
    <w:basedOn w:val="1"/>
    <w:next w:val="1"/>
    <w:semiHidden/>
    <w:unhideWhenUsed/>
    <w:qFormat/>
    <w:uiPriority w:val="9"/>
    <w:pPr>
      <w:keepNext/>
      <w:keepLines/>
      <w:outlineLvl w:val="8"/>
    </w:pPr>
    <w:rPr>
      <w:rFonts w:ascii="等线" w:hAnsi="等线" w:eastAsia="等线 Light"/>
      <w:color w:val="595959"/>
    </w:rPr>
  </w:style>
  <w:style w:type="paragraph" w:customStyle="1" w:styleId="108">
    <w:name w:val="引用1"/>
    <w:basedOn w:val="1"/>
    <w:next w:val="1"/>
    <w:qFormat/>
    <w:uiPriority w:val="29"/>
    <w:pPr>
      <w:spacing w:before="160" w:after="160"/>
      <w:jc w:val="center"/>
    </w:pPr>
    <w:rPr>
      <w:rFonts w:ascii="等线" w:hAnsi="等线" w:eastAsia="等线"/>
      <w:i/>
      <w:iCs/>
      <w:color w:val="404040"/>
    </w:rPr>
  </w:style>
  <w:style w:type="character" w:customStyle="1" w:styleId="109">
    <w:name w:val="引用 字符1"/>
    <w:basedOn w:val="28"/>
    <w:qFormat/>
    <w:uiPriority w:val="29"/>
    <w:rPr>
      <w:i/>
      <w:iCs/>
      <w:color w:val="404040" w:themeColor="text1" w:themeTint="BF"/>
      <w:kern w:val="2"/>
      <w:sz w:val="21"/>
      <w:szCs w:val="22"/>
      <w14:textFill>
        <w14:solidFill>
          <w14:schemeClr w14:val="tx1">
            <w14:lumMod w14:val="75000"/>
            <w14:lumOff w14:val="25000"/>
          </w14:schemeClr>
        </w14:solidFill>
      </w14:textFill>
    </w:rPr>
  </w:style>
  <w:style w:type="paragraph" w:customStyle="1" w:styleId="110">
    <w:name w:val="列表段落1"/>
    <w:basedOn w:val="1"/>
    <w:next w:val="47"/>
    <w:qFormat/>
    <w:uiPriority w:val="34"/>
    <w:pPr>
      <w:ind w:left="720"/>
      <w:contextualSpacing/>
    </w:pPr>
    <w:rPr>
      <w:rFonts w:ascii="等线" w:hAnsi="等线" w:eastAsia="等线"/>
    </w:rPr>
  </w:style>
  <w:style w:type="character" w:customStyle="1" w:styleId="111">
    <w:name w:val="明显强调1"/>
    <w:qFormat/>
    <w:uiPriority w:val="21"/>
    <w:rPr>
      <w:i/>
      <w:iCs/>
      <w:color w:val="0F4761"/>
    </w:rPr>
  </w:style>
  <w:style w:type="paragraph" w:customStyle="1" w:styleId="112">
    <w:name w:val="明显引用1"/>
    <w:basedOn w:val="1"/>
    <w:next w:val="1"/>
    <w:qFormat/>
    <w:uiPriority w:val="30"/>
    <w:pPr>
      <w:pBdr>
        <w:top w:val="single" w:color="0F4761" w:sz="4" w:space="10"/>
        <w:bottom w:val="single" w:color="0F4761" w:sz="4" w:space="10"/>
      </w:pBdr>
      <w:spacing w:before="360" w:after="360"/>
      <w:ind w:left="864" w:right="864"/>
      <w:jc w:val="center"/>
    </w:pPr>
    <w:rPr>
      <w:rFonts w:ascii="等线" w:hAnsi="等线" w:eastAsia="等线"/>
      <w:i/>
      <w:iCs/>
      <w:color w:val="0F4761"/>
    </w:rPr>
  </w:style>
  <w:style w:type="character" w:customStyle="1" w:styleId="113">
    <w:name w:val="明显引用 字符1"/>
    <w:basedOn w:val="28"/>
    <w:qFormat/>
    <w:uiPriority w:val="30"/>
    <w:rPr>
      <w:i/>
      <w:iCs/>
      <w:color w:val="104862" w:themeColor="accent1" w:themeShade="BF"/>
      <w:kern w:val="2"/>
      <w:sz w:val="21"/>
      <w:szCs w:val="22"/>
    </w:rPr>
  </w:style>
  <w:style w:type="character" w:customStyle="1" w:styleId="114">
    <w:name w:val="明显参考1"/>
    <w:qFormat/>
    <w:uiPriority w:val="32"/>
    <w:rPr>
      <w:b/>
      <w:bCs/>
      <w:smallCaps/>
      <w:color w:val="0F4761"/>
      <w:spacing w:val="5"/>
    </w:rPr>
  </w:style>
  <w:style w:type="paragraph" w:customStyle="1" w:styleId="115">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6">
    <w:name w:val="font5"/>
    <w:basedOn w:val="1"/>
    <w:qFormat/>
    <w:uiPriority w:val="0"/>
    <w:pPr>
      <w:widowControl/>
      <w:spacing w:before="100" w:beforeAutospacing="1" w:after="100" w:afterAutospacing="1"/>
      <w:jc w:val="left"/>
    </w:pPr>
    <w:rPr>
      <w:rFonts w:ascii="仿宋_GB2312" w:hAnsi="宋体" w:eastAsia="仿宋_GB2312" w:cs="宋体"/>
      <w:b/>
      <w:bCs/>
      <w:color w:val="000000"/>
      <w:kern w:val="0"/>
      <w:sz w:val="22"/>
    </w:rPr>
  </w:style>
  <w:style w:type="paragraph" w:customStyle="1" w:styleId="117">
    <w:name w:val="font6"/>
    <w:basedOn w:val="1"/>
    <w:qFormat/>
    <w:uiPriority w:val="0"/>
    <w:pPr>
      <w:widowControl/>
      <w:spacing w:before="100" w:beforeAutospacing="1" w:after="100" w:afterAutospacing="1"/>
      <w:jc w:val="left"/>
    </w:pPr>
    <w:rPr>
      <w:rFonts w:ascii="仿宋_GB2312" w:hAnsi="宋体" w:eastAsia="仿宋_GB2312" w:cs="宋体"/>
      <w:color w:val="000000"/>
      <w:kern w:val="0"/>
      <w:sz w:val="22"/>
    </w:rPr>
  </w:style>
  <w:style w:type="paragraph" w:customStyle="1" w:styleId="118">
    <w:name w:val="font7"/>
    <w:basedOn w:val="1"/>
    <w:qFormat/>
    <w:uiPriority w:val="0"/>
    <w:pPr>
      <w:widowControl/>
      <w:spacing w:before="100" w:beforeAutospacing="1" w:after="100" w:afterAutospacing="1"/>
      <w:jc w:val="left"/>
    </w:pPr>
    <w:rPr>
      <w:color w:val="000000"/>
      <w:kern w:val="0"/>
      <w:sz w:val="22"/>
    </w:rPr>
  </w:style>
  <w:style w:type="paragraph" w:customStyle="1" w:styleId="119">
    <w:name w:val="font8"/>
    <w:basedOn w:val="1"/>
    <w:qFormat/>
    <w:uiPriority w:val="0"/>
    <w:pPr>
      <w:widowControl/>
      <w:spacing w:before="100" w:beforeAutospacing="1" w:after="100" w:afterAutospacing="1"/>
      <w:jc w:val="left"/>
    </w:pPr>
    <w:rPr>
      <w:b/>
      <w:bCs/>
      <w:color w:val="000000"/>
      <w:kern w:val="0"/>
      <w:sz w:val="22"/>
    </w:rPr>
  </w:style>
  <w:style w:type="paragraph" w:customStyle="1" w:styleId="120">
    <w:name w:val="font9"/>
    <w:basedOn w:val="1"/>
    <w:qFormat/>
    <w:uiPriority w:val="0"/>
    <w:pPr>
      <w:widowControl/>
      <w:spacing w:before="100" w:beforeAutospacing="1" w:after="100" w:afterAutospacing="1"/>
      <w:jc w:val="left"/>
    </w:pPr>
    <w:rPr>
      <w:rFonts w:ascii="宋体" w:hAnsi="宋体" w:cs="宋体"/>
      <w:color w:val="000000"/>
      <w:kern w:val="0"/>
      <w:sz w:val="22"/>
    </w:rPr>
  </w:style>
  <w:style w:type="paragraph" w:customStyle="1" w:styleId="121">
    <w:name w:val="font10"/>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122">
    <w:name w:val="font12"/>
    <w:basedOn w:val="1"/>
    <w:qFormat/>
    <w:uiPriority w:val="0"/>
    <w:pPr>
      <w:widowControl/>
      <w:spacing w:before="100" w:beforeAutospacing="1" w:after="100" w:afterAutospacing="1"/>
      <w:jc w:val="left"/>
    </w:pPr>
    <w:rPr>
      <w:rFonts w:ascii="MingLiU-ExtB" w:hAnsi="MingLiU-ExtB" w:eastAsia="MingLiU-ExtB" w:cs="宋体"/>
      <w:color w:val="000000"/>
      <w:kern w:val="0"/>
      <w:sz w:val="22"/>
    </w:rPr>
  </w:style>
  <w:style w:type="paragraph" w:customStyle="1" w:styleId="123">
    <w:name w:val="font13"/>
    <w:basedOn w:val="1"/>
    <w:qFormat/>
    <w:uiPriority w:val="0"/>
    <w:pPr>
      <w:widowControl/>
      <w:spacing w:before="100" w:beforeAutospacing="1" w:after="100" w:afterAutospacing="1"/>
      <w:jc w:val="left"/>
    </w:pPr>
    <w:rPr>
      <w:rFonts w:ascii="Calibri" w:hAnsi="Calibri" w:cs="Calibri"/>
      <w:color w:val="000000"/>
      <w:kern w:val="0"/>
      <w:sz w:val="22"/>
    </w:rPr>
  </w:style>
  <w:style w:type="paragraph" w:customStyle="1" w:styleId="124">
    <w:name w:val="font14"/>
    <w:basedOn w:val="1"/>
    <w:qFormat/>
    <w:uiPriority w:val="0"/>
    <w:pPr>
      <w:widowControl/>
      <w:spacing w:before="100" w:beforeAutospacing="1" w:after="100" w:afterAutospacing="1"/>
      <w:jc w:val="left"/>
    </w:pPr>
    <w:rPr>
      <w:rFonts w:ascii="宋体" w:hAnsi="宋体" w:cs="宋体"/>
      <w:color w:val="000000"/>
      <w:kern w:val="0"/>
      <w:sz w:val="22"/>
    </w:rPr>
  </w:style>
  <w:style w:type="paragraph" w:customStyle="1" w:styleId="125">
    <w:name w:val="font15"/>
    <w:basedOn w:val="1"/>
    <w:qFormat/>
    <w:uiPriority w:val="0"/>
    <w:pPr>
      <w:widowControl/>
      <w:spacing w:before="100" w:beforeAutospacing="1" w:after="100" w:afterAutospacing="1"/>
      <w:jc w:val="left"/>
    </w:pPr>
    <w:rPr>
      <w:rFonts w:ascii="Calibri" w:hAnsi="Calibri" w:cs="Calibri"/>
      <w:color w:val="000000"/>
      <w:kern w:val="0"/>
      <w:sz w:val="22"/>
    </w:rPr>
  </w:style>
  <w:style w:type="paragraph" w:customStyle="1" w:styleId="126">
    <w:name w:val="font16"/>
    <w:basedOn w:val="1"/>
    <w:qFormat/>
    <w:uiPriority w:val="0"/>
    <w:pPr>
      <w:widowControl/>
      <w:spacing w:before="100" w:beforeAutospacing="1" w:after="100" w:afterAutospacing="1"/>
      <w:jc w:val="left"/>
    </w:pPr>
    <w:rPr>
      <w:rFonts w:ascii="微软雅黑" w:hAnsi="微软雅黑" w:eastAsia="微软雅黑" w:cs="宋体"/>
      <w:color w:val="000000"/>
      <w:kern w:val="0"/>
      <w:sz w:val="22"/>
    </w:rPr>
  </w:style>
  <w:style w:type="paragraph" w:customStyle="1" w:styleId="127">
    <w:name w:val="font17"/>
    <w:basedOn w:val="1"/>
    <w:qFormat/>
    <w:uiPriority w:val="0"/>
    <w:pPr>
      <w:widowControl/>
      <w:spacing w:before="100" w:beforeAutospacing="1" w:after="100" w:afterAutospacing="1"/>
      <w:jc w:val="left"/>
    </w:pPr>
    <w:rPr>
      <w:rFonts w:ascii="微软雅黑" w:hAnsi="微软雅黑" w:eastAsia="微软雅黑" w:cs="宋体"/>
      <w:color w:val="000000"/>
      <w:kern w:val="0"/>
      <w:sz w:val="22"/>
    </w:rPr>
  </w:style>
  <w:style w:type="paragraph" w:customStyle="1" w:styleId="128">
    <w:name w:val="xl65"/>
    <w:basedOn w:val="1"/>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129">
    <w:name w:val="xl66"/>
    <w:basedOn w:val="1"/>
    <w:qFormat/>
    <w:uiPriority w:val="0"/>
    <w:pPr>
      <w:widowControl/>
      <w:spacing w:before="100" w:beforeAutospacing="1" w:after="100" w:afterAutospacing="1"/>
      <w:jc w:val="center"/>
      <w:textAlignment w:val="center"/>
    </w:pPr>
    <w:rPr>
      <w:rFonts w:ascii="仿宋_GB2312" w:hAnsi="宋体" w:eastAsia="仿宋_GB2312" w:cs="宋体"/>
      <w:b/>
      <w:bCs/>
      <w:kern w:val="0"/>
      <w:sz w:val="24"/>
      <w:szCs w:val="24"/>
    </w:rPr>
  </w:style>
  <w:style w:type="paragraph" w:customStyle="1" w:styleId="130">
    <w:name w:val="xl67"/>
    <w:basedOn w:val="1"/>
    <w:qFormat/>
    <w:uiPriority w:val="0"/>
    <w:pPr>
      <w:widowControl/>
      <w:spacing w:before="100" w:beforeAutospacing="1" w:after="100" w:afterAutospacing="1"/>
      <w:jc w:val="left"/>
      <w:textAlignment w:val="center"/>
    </w:pPr>
    <w:rPr>
      <w:rFonts w:ascii="宋体" w:hAnsi="宋体" w:cs="宋体"/>
      <w:kern w:val="0"/>
      <w:sz w:val="24"/>
      <w:szCs w:val="24"/>
    </w:rPr>
  </w:style>
  <w:style w:type="paragraph" w:customStyle="1" w:styleId="131">
    <w:name w:val="xl68"/>
    <w:basedOn w:val="1"/>
    <w:qFormat/>
    <w:uiPriority w:val="0"/>
    <w:pPr>
      <w:widowControl/>
      <w:spacing w:before="100" w:beforeAutospacing="1" w:after="100" w:afterAutospacing="1"/>
      <w:jc w:val="center"/>
      <w:textAlignment w:val="center"/>
    </w:pPr>
    <w:rPr>
      <w:rFonts w:ascii="仿宋_GB2312" w:hAnsi="宋体" w:eastAsia="仿宋_GB2312" w:cs="宋体"/>
      <w:b/>
      <w:bCs/>
      <w:kern w:val="0"/>
      <w:sz w:val="24"/>
      <w:szCs w:val="24"/>
    </w:rPr>
  </w:style>
  <w:style w:type="paragraph" w:customStyle="1" w:styleId="132">
    <w:name w:val="xl69"/>
    <w:basedOn w:val="1"/>
    <w:qFormat/>
    <w:uiPriority w:val="0"/>
    <w:pPr>
      <w:widowControl/>
      <w:spacing w:before="100" w:beforeAutospacing="1" w:after="100" w:afterAutospacing="1"/>
      <w:jc w:val="center"/>
      <w:textAlignment w:val="center"/>
    </w:pPr>
    <w:rPr>
      <w:rFonts w:ascii="仿宋_GB2312" w:hAnsi="宋体" w:eastAsia="仿宋_GB2312" w:cs="宋体"/>
      <w:kern w:val="0"/>
      <w:sz w:val="24"/>
      <w:szCs w:val="24"/>
    </w:rPr>
  </w:style>
  <w:style w:type="paragraph" w:customStyle="1" w:styleId="133">
    <w:name w:val="xl70"/>
    <w:basedOn w:val="1"/>
    <w:qFormat/>
    <w:uiPriority w:val="0"/>
    <w:pPr>
      <w:widowControl/>
      <w:spacing w:before="100" w:beforeAutospacing="1" w:after="100" w:afterAutospacing="1"/>
      <w:jc w:val="left"/>
      <w:textAlignment w:val="center"/>
    </w:pPr>
    <w:rPr>
      <w:rFonts w:ascii="仿宋_GB2312" w:hAnsi="宋体" w:eastAsia="仿宋_GB2312" w:cs="宋体"/>
      <w:kern w:val="0"/>
      <w:sz w:val="24"/>
      <w:szCs w:val="24"/>
    </w:rPr>
  </w:style>
  <w:style w:type="paragraph" w:customStyle="1" w:styleId="134">
    <w:name w:val="xl71"/>
    <w:basedOn w:val="1"/>
    <w:qFormat/>
    <w:uiPriority w:val="0"/>
    <w:pPr>
      <w:widowControl/>
      <w:spacing w:before="100" w:beforeAutospacing="1" w:after="100" w:afterAutospacing="1"/>
      <w:jc w:val="center"/>
      <w:textAlignment w:val="center"/>
    </w:pPr>
    <w:rPr>
      <w:kern w:val="0"/>
      <w:sz w:val="24"/>
      <w:szCs w:val="24"/>
    </w:rPr>
  </w:style>
  <w:style w:type="paragraph" w:customStyle="1" w:styleId="135">
    <w:name w:val="xl72"/>
    <w:basedOn w:val="1"/>
    <w:qFormat/>
    <w:uiPriority w:val="0"/>
    <w:pPr>
      <w:widowControl/>
      <w:spacing w:before="100" w:beforeAutospacing="1" w:after="100" w:afterAutospacing="1"/>
      <w:jc w:val="center"/>
      <w:textAlignment w:val="center"/>
    </w:pPr>
    <w:rPr>
      <w:kern w:val="0"/>
      <w:sz w:val="24"/>
      <w:szCs w:val="24"/>
    </w:rPr>
  </w:style>
  <w:style w:type="paragraph" w:customStyle="1" w:styleId="136">
    <w:name w:val="xl73"/>
    <w:basedOn w:val="1"/>
    <w:qFormat/>
    <w:uiPriority w:val="0"/>
    <w:pPr>
      <w:widowControl/>
      <w:spacing w:before="100" w:beforeAutospacing="1" w:after="100" w:afterAutospacing="1"/>
      <w:jc w:val="center"/>
      <w:textAlignment w:val="center"/>
    </w:pPr>
    <w:rPr>
      <w:rFonts w:ascii="仿宋_GB2312" w:hAnsi="宋体" w:eastAsia="仿宋_GB2312" w:cs="宋体"/>
      <w:kern w:val="0"/>
      <w:sz w:val="24"/>
      <w:szCs w:val="24"/>
    </w:rPr>
  </w:style>
  <w:style w:type="paragraph" w:customStyle="1" w:styleId="137">
    <w:name w:val="xl74"/>
    <w:basedOn w:val="1"/>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138">
    <w:name w:val="xl75"/>
    <w:basedOn w:val="1"/>
    <w:qFormat/>
    <w:uiPriority w:val="0"/>
    <w:pPr>
      <w:widowControl/>
      <w:spacing w:before="100" w:beforeAutospacing="1" w:after="100" w:afterAutospacing="1"/>
      <w:jc w:val="center"/>
      <w:textAlignment w:val="center"/>
    </w:pPr>
    <w:rPr>
      <w:kern w:val="0"/>
      <w:sz w:val="24"/>
      <w:szCs w:val="24"/>
    </w:rPr>
  </w:style>
  <w:style w:type="paragraph" w:customStyle="1" w:styleId="139">
    <w:name w:val="xl76"/>
    <w:basedOn w:val="1"/>
    <w:qFormat/>
    <w:uiPriority w:val="0"/>
    <w:pPr>
      <w:widowControl/>
      <w:spacing w:before="100" w:beforeAutospacing="1" w:after="100" w:afterAutospacing="1"/>
      <w:jc w:val="center"/>
      <w:textAlignment w:val="center"/>
    </w:pPr>
    <w:rPr>
      <w:rFonts w:ascii="仿宋_GB2312" w:hAnsi="宋体" w:eastAsia="仿宋_GB2312" w:cs="宋体"/>
      <w:kern w:val="0"/>
      <w:sz w:val="20"/>
      <w:szCs w:val="20"/>
    </w:rPr>
  </w:style>
  <w:style w:type="paragraph" w:customStyle="1" w:styleId="140">
    <w:name w:val="xl77"/>
    <w:basedOn w:val="1"/>
    <w:qFormat/>
    <w:uiPriority w:val="0"/>
    <w:pPr>
      <w:widowControl/>
      <w:spacing w:before="100" w:beforeAutospacing="1" w:after="100" w:afterAutospacing="1"/>
      <w:textAlignment w:val="center"/>
    </w:pPr>
    <w:rPr>
      <w:rFonts w:ascii="宋体" w:hAnsi="宋体" w:cs="宋体"/>
      <w:kern w:val="0"/>
      <w:sz w:val="24"/>
      <w:szCs w:val="24"/>
    </w:rPr>
  </w:style>
  <w:style w:type="paragraph" w:customStyle="1" w:styleId="141">
    <w:name w:val="xl78"/>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42">
    <w:name w:val="xl79"/>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43">
    <w:name w:val="xl80"/>
    <w:basedOn w:val="1"/>
    <w:qFormat/>
    <w:uiPriority w:val="0"/>
    <w:pPr>
      <w:widowControl/>
      <w:spacing w:before="100" w:beforeAutospacing="1" w:after="100" w:afterAutospacing="1"/>
      <w:jc w:val="center"/>
      <w:textAlignment w:val="center"/>
    </w:pPr>
    <w:rPr>
      <w:rFonts w:ascii="宋体" w:hAnsi="宋体" w:cs="宋体"/>
      <w:kern w:val="0"/>
      <w:sz w:val="24"/>
      <w:szCs w:val="24"/>
    </w:rPr>
  </w:style>
  <w:style w:type="paragraph" w:customStyle="1" w:styleId="144">
    <w:name w:val="xl81"/>
    <w:basedOn w:val="1"/>
    <w:qFormat/>
    <w:uiPriority w:val="0"/>
    <w:pPr>
      <w:widowControl/>
      <w:spacing w:before="100" w:beforeAutospacing="1" w:after="100" w:afterAutospacing="1"/>
      <w:jc w:val="center"/>
      <w:textAlignment w:val="center"/>
    </w:pPr>
    <w:rPr>
      <w:b/>
      <w:bCs/>
      <w:kern w:val="0"/>
      <w:sz w:val="24"/>
      <w:szCs w:val="24"/>
    </w:rPr>
  </w:style>
  <w:style w:type="paragraph" w:customStyle="1" w:styleId="145">
    <w:name w:val="xl82"/>
    <w:basedOn w:val="1"/>
    <w:qFormat/>
    <w:uiPriority w:val="0"/>
    <w:pPr>
      <w:widowControl/>
      <w:spacing w:before="100" w:beforeAutospacing="1" w:after="100" w:afterAutospacing="1"/>
      <w:jc w:val="center"/>
      <w:textAlignment w:val="center"/>
    </w:pPr>
    <w:rPr>
      <w:b/>
      <w:bCs/>
      <w:kern w:val="0"/>
      <w:sz w:val="24"/>
      <w:szCs w:val="24"/>
    </w:rPr>
  </w:style>
  <w:style w:type="paragraph" w:customStyle="1" w:styleId="146">
    <w:name w:val="xl83"/>
    <w:basedOn w:val="1"/>
    <w:qFormat/>
    <w:uiPriority w:val="0"/>
    <w:pPr>
      <w:widowControl/>
      <w:spacing w:before="100" w:beforeAutospacing="1" w:after="100" w:afterAutospacing="1"/>
      <w:jc w:val="center"/>
      <w:textAlignment w:val="center"/>
    </w:pPr>
    <w:rPr>
      <w:b/>
      <w:bCs/>
      <w:kern w:val="0"/>
      <w:sz w:val="24"/>
      <w:szCs w:val="24"/>
    </w:rPr>
  </w:style>
  <w:style w:type="table" w:customStyle="1" w:styleId="147">
    <w:name w:val="网格型1"/>
    <w:basedOn w:val="26"/>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8">
    <w:name w:val="标题 5 字符1"/>
    <w:semiHidden/>
    <w:qFormat/>
    <w:uiPriority w:val="9"/>
    <w:rPr>
      <w:b/>
      <w:bCs/>
      <w:kern w:val="2"/>
      <w:sz w:val="28"/>
      <w:szCs w:val="28"/>
    </w:rPr>
  </w:style>
  <w:style w:type="character" w:customStyle="1" w:styleId="149">
    <w:name w:val="标题 6 字符1"/>
    <w:semiHidden/>
    <w:qFormat/>
    <w:uiPriority w:val="9"/>
    <w:rPr>
      <w:rFonts w:ascii="等线 Light" w:hAnsi="等线 Light" w:eastAsia="等线 Light" w:cs="Times New Roman"/>
      <w:b/>
      <w:bCs/>
      <w:kern w:val="2"/>
      <w:sz w:val="24"/>
      <w:szCs w:val="24"/>
    </w:rPr>
  </w:style>
  <w:style w:type="character" w:customStyle="1" w:styleId="150">
    <w:name w:val="标题 7 字符1"/>
    <w:semiHidden/>
    <w:qFormat/>
    <w:uiPriority w:val="9"/>
    <w:rPr>
      <w:b/>
      <w:bCs/>
      <w:kern w:val="2"/>
      <w:sz w:val="24"/>
      <w:szCs w:val="24"/>
    </w:rPr>
  </w:style>
  <w:style w:type="character" w:customStyle="1" w:styleId="151">
    <w:name w:val="标题 8 字符1"/>
    <w:semiHidden/>
    <w:qFormat/>
    <w:uiPriority w:val="9"/>
    <w:rPr>
      <w:rFonts w:ascii="等线 Light" w:hAnsi="等线 Light" w:eastAsia="等线 Light" w:cs="Times New Roman"/>
      <w:kern w:val="2"/>
      <w:sz w:val="24"/>
      <w:szCs w:val="24"/>
    </w:rPr>
  </w:style>
  <w:style w:type="character" w:customStyle="1" w:styleId="152">
    <w:name w:val="标题 9 字符1"/>
    <w:semiHidden/>
    <w:qFormat/>
    <w:uiPriority w:val="9"/>
    <w:rPr>
      <w:rFonts w:ascii="等线 Light" w:hAnsi="等线 Light" w:eastAsia="等线 Light" w:cs="Times New Roman"/>
      <w:kern w:val="2"/>
      <w:sz w:val="21"/>
      <w:szCs w:val="21"/>
    </w:rPr>
  </w:style>
  <w:style w:type="character" w:customStyle="1" w:styleId="153">
    <w:name w:val="明显强调2"/>
    <w:qFormat/>
    <w:uiPriority w:val="21"/>
    <w:rPr>
      <w:i/>
      <w:iCs/>
      <w:color w:val="4472C4"/>
    </w:rPr>
  </w:style>
  <w:style w:type="character" w:customStyle="1" w:styleId="154">
    <w:name w:val="明显参考2"/>
    <w:qFormat/>
    <w:uiPriority w:val="32"/>
    <w:rPr>
      <w:b/>
      <w:bCs/>
      <w:smallCaps/>
      <w:color w:val="4472C4"/>
      <w:spacing w:val="5"/>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2.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9.jpeg"/><Relationship Id="rId25" Type="http://schemas.openxmlformats.org/officeDocument/2006/relationships/image" Target="media/image8.jpeg"/><Relationship Id="rId24" Type="http://schemas.openxmlformats.org/officeDocument/2006/relationships/image" Target="media/image7.jpeg"/><Relationship Id="rId23" Type="http://schemas.openxmlformats.org/officeDocument/2006/relationships/image" Target="media/image6.jpeg"/><Relationship Id="rId22" Type="http://schemas.openxmlformats.org/officeDocument/2006/relationships/image" Target="media/image5.jpeg"/><Relationship Id="rId21" Type="http://schemas.openxmlformats.org/officeDocument/2006/relationships/image" Target="media/image4.jpeg"/><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theme" Target="theme/theme1.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2cb9a725-e5f5-41ad-9900-36b1ece8ddc2</errorID>
      <errorWord>抽检应公布</errorWord>
      <group>L1_Grammar</group>
      <groupName>语法问题</groupName>
      <ability>L2_Grammar</ability>
      <abilityName>语法错误</abilityName>
      <candidateList>
        <item>抽检</item>
      </candidateList>
      <explain/>
      <paraID>34C97C62</paraID>
      <start>4</start>
      <end>9</end>
      <status>ignored</status>
      <modifiedWord/>
      <trackRevisions>false</trackRevisions>
    </reviewItem>
    <reviewItem>
      <errorID>4c66df00-5fa1-48e8-ba45-34e68e2161f0</errorID>
      <errorWord>=99%</errorWord>
      <group>L1_Other</group>
      <groupName>其他问题</groupName>
      <ability>L2_Consistency</ability>
      <abilityName>一致性检查</abilityName>
      <candidateList>
        <item>≥99%</item>
      </candidateList>
      <explain>数字一致性错误，原文中该指标预期目标为特种设备注册登记率不低于99%，但在表3-2评价指标目标表中误写为年度目标值=99%，与前文预期指标值不一致</explain>
      <paraID>2D0232B2</paraID>
      <start>0</start>
      <end>4</end>
      <status>modified</status>
      <modifiedWord>≥99%</modifiedWord>
      <trackRevisions>false</trackRevisions>
    </reviewItem>
    <reviewItem>
      <errorID>17b4685f-f4c0-43f3-b50b-896dda364354</errorID>
      <errorWord>、</errorWord>
      <group>L1_Punc</group>
      <groupName>标点问题</groupName>
      <ability>L2_Punc_CN</ability>
      <abilityName>标点符号问题</abilityName>
      <candidateList>
        <item>，</item>
      </candidateList>
      <explain/>
      <paraID>71693EDF</paraID>
      <start>34</start>
      <end>35</end>
      <status>ignored</status>
      <modifiedWord/>
      <trackRevisions>false</trackRevisions>
    </reviewItem>
    <reviewItem>
      <errorID>18adad1c-85f3-4d8b-8cc3-03b56a28a71b</errorID>
      <errorWord>喀什市</errorWord>
      <group>L1_Punc</group>
      <groupName>标点问题</groupName>
      <ability>L2_Punc_CN</ability>
      <abilityName>标点符号问题</abilityName>
      <candidateList>
        <item>，喀什市</item>
      </candidateList>
      <explain/>
      <paraID>71693EDF</paraID>
      <start>54</start>
      <end>57</end>
      <status>ignored</status>
      <modifiedWord/>
      <trackRevisions>false</trackRevisions>
    </reviewItem>
    <reviewItem>
      <errorID>cf634c4d-4352-4773-871c-a295b126bb43</errorID>
      <errorWord>打造</errorWord>
      <group>L1_Grammar</group>
      <groupName>语法问题</groupName>
      <ability>L2_Grammar</ability>
      <abilityName>语法错误</abilityName>
      <candidateList>
        <item>特点，打造</item>
      </candidateList>
      <explain/>
      <paraID>71693EDF</paraID>
      <start>70</start>
      <end>72</end>
      <status>unmodified</status>
      <modifiedWord/>
      <trackRevisions>false</trackRevisions>
    </reviewItem>
    <reviewItem>
      <errorID>10f07a92-4fa5-4821-9310-f84e25400802</errorID>
      <errorWord>，</errorWord>
      <group>L1_Punc</group>
      <groupName>标点问题</groupName>
      <ability>L2_Punc_CN</ability>
      <abilityName>标点符号问题</abilityName>
      <candidateList>
        <item>。</item>
      </candidateList>
      <explain/>
      <paraID>71693EDF</paraID>
      <start>107</start>
      <end>108</end>
      <status>ignored</status>
      <modifiedWord/>
      <trackRevisions>false</trackRevisions>
    </reviewItem>
    <reviewItem>
      <errorID>39210259-59b9-4fe2-bee3-92b2d03a958b</errorID>
      <errorWord>、</errorWord>
      <group>L1_Grammar</group>
      <groupName>语法问题</groupName>
      <ability>L2_Grammar</ability>
      <abilityName>语法错误</abilityName>
      <candidateList>
        <item>，实现</item>
      </candidateList>
      <explain/>
      <paraID>71693EDF</paraID>
      <start>164</start>
      <end>165</end>
      <status>unmodified</status>
      <modifiedWord/>
      <trackRevisions>false</trackRevisions>
    </reviewItem>
    <reviewItem>
      <errorID>ae229f4b-3fe0-462f-b3a9-50c12ed89e29</errorID>
      <errorWord>及</errorWord>
      <group>L1_Word</group>
      <groupName>字词问题</groupName>
      <ability>L2_Typo</ability>
      <abilityName>字词错误</abilityName>
      <candidateList>
        <item>，</item>
      </candidateList>
      <explain/>
      <paraID>3AB83DCC</paraID>
      <start>21</start>
      <end>22</end>
      <status>unmodified</status>
      <modifiedWord/>
      <trackRevisions>false</trackRevisions>
    </reviewItem>
    <reviewItem>
      <errorID>4f2dc6f1-9087-44c3-9ebe-c0ebac751712</errorID>
      <errorWord>贯彻落实全面实施</errorWord>
      <group>L1_Grammar</group>
      <groupName>语法问题</groupName>
      <ability>L2_Grammar</ability>
      <abilityName>语法错误</abilityName>
      <candidateList>
        <item>全面贯彻落实</item>
      </candidateList>
      <explain/>
      <paraID>7633BD7D</paraID>
      <start>1</start>
      <end>9</end>
      <status>unmodified</status>
      <modifiedWord/>
      <trackRevisions>false</trackRevisions>
    </reviewItem>
    <reviewItem>
      <errorID>1c3d8e79-1443-4196-ba7b-f5d14aa3c73a</errorID>
      <errorWord>日至2026年</errorWord>
      <group>L1_Word</group>
      <groupName>字词问题</groupName>
      <ability>L2_Typo</ability>
      <abilityName>字词错误</abilityName>
      <candidateList>
        <item>日起至2026年</item>
      </candidateList>
      <explain/>
      <paraID>7633BD7D</paraID>
      <start>106</start>
      <end>113</end>
      <status>unmodified</status>
      <modifiedWord/>
      <trackRevisions>false</trackRevisions>
    </reviewItem>
    <reviewItem>
      <errorID>f18fc6af-c233-4c49-b010-0c405324bf66</errorID>
      <errorWord>、</errorWord>
      <group>L1_Word</group>
      <groupName>字词问题</groupName>
      <ability>L2_Typo</ability>
      <abilityName>字词错误</abilityName>
      <candidateList>
        <item>等</item>
      </candidateList>
      <explain/>
      <paraID>5EF219C8</paraID>
      <start>54</start>
      <end>55</end>
      <status>unmodified</status>
      <modifiedWord/>
      <trackRevisions>false</trackRevisions>
    </reviewItem>
    <reviewItem>
      <errorID>8f74fe7f-b77d-481d-930f-5f9cfe559b2e</errorID>
      <errorWord>委员会领导小组</errorWord>
      <group>L1_Grammar</group>
      <groupName>语法问题</groupName>
      <ability>L2_Grammar</ability>
      <abilityName>语法错误</abilityName>
      <candidateList>
        <item>委员会</item>
      </candidateList>
      <explain/>
      <paraID>1B335483</paraID>
      <start>13</start>
      <end>20</end>
      <status>unmodified</status>
      <modifiedWord/>
      <trackRevisions>false</trackRevisions>
    </reviewItem>
    <reviewItem>
      <errorID>9a8dc382-a005-41d5-af32-04a0203737b2</errorID>
      <errorWord>固定资产</errorWord>
      <group>L1_Word</group>
      <groupName>字词问题</groupName>
      <ability>L2_Typo</ability>
      <abilityName>字词错误</abilityName>
      <candidateList>
        <item>在固定资产</item>
      </candidateList>
      <explain/>
      <paraID>4991F935</paraID>
      <start>0</start>
      <end>4</end>
      <status>unmodified</status>
      <modifiedWord/>
      <trackRevisions>false</trackRevisions>
    </reviewItem>
    <reviewItem>
      <errorID>76ddaf01-522e-47ca-806e-13128870270e</errorID>
      <errorWord>资产的</errorWord>
      <group>L1_Word</group>
      <groupName>字词问题</groupName>
      <ability>L2_Typo</ability>
      <abilityName>字词错误</abilityName>
      <candidateList>
        <item>资产</item>
      </candidateList>
      <explain/>
      <paraID>4991F935</paraID>
      <start>7</start>
      <end>10</end>
      <status>unmodified</status>
      <modifiedWord/>
      <trackRevisions>false</trackRevisions>
    </reviewItem>
    <reviewItem>
      <errorID>0f0b694e-d472-402d-a72e-2c35a5e1e778</errorID>
      <errorWord>可行性</errorWord>
      <group>L1_Grammar</group>
      <groupName>语法问题</groupName>
      <ability>L2_Grammar</ability>
      <abilityName>语法错误</abilityName>
      <candidateList>
        <item>进行可行性</item>
      </candidateList>
      <explain/>
      <paraID>4991F935</paraID>
      <start>42</start>
      <end>45</end>
      <status>unmodified</status>
      <modifiedWord/>
      <trackRevisions>false</trackRevisions>
    </reviewItem>
    <reviewItem>
      <errorID>14dca104-195b-415c-9b86-6da9675871f0</errorID>
      <errorWord>确保</errorWord>
      <group>L1_Punc</group>
      <groupName>标点问题</groupName>
      <ability>L2_Punc_CN</ability>
      <abilityName>标点符号问题</abilityName>
      <candidateList>
        <item>，确保</item>
      </candidateList>
      <explain/>
      <paraID>4991F935</paraID>
      <start>63</start>
      <end>65</end>
      <status>unmodified</status>
      <modifiedWord/>
      <trackRevisions>false</trackRevisions>
    </reviewItem>
    <reviewItem>
      <errorID>b49c767b-1b11-48d6-b002-13b260c4a154</errorID>
      <errorWord>一次</errorWord>
      <group>L1_Grammar</group>
      <groupName>语法问题</groupName>
      <ability>L2_Grammar</ability>
      <abilityName>语法错误</abilityName>
      <candidateList>
        <item>进行一次</item>
      </candidateList>
      <explain/>
      <paraID>4991F935</paraID>
      <start>196</start>
      <end>198</end>
      <status>unmodified</status>
      <modifiedWord/>
      <trackRevisions>false</trackRevisions>
    </reviewItem>
    <reviewItem>
      <errorID>5841c22c-98de-4bf1-aa08-449158ce9175</errorID>
      <errorWord>“3 15”消费者权益日</errorWord>
      <group>L1_Knowledge</group>
      <groupName>知识性问题</groupName>
      <ability>L2_Knowledge</ability>
      <abilityName>其他知识</abilityName>
      <candidateList>
        <item>“3·15”消费者权益日</item>
      </candidateList>
      <explain/>
      <paraID>4865C1D4</paraID>
      <start>8</start>
      <end>20</end>
      <status>modified</status>
      <modifiedWord>“3·15”消费者权益日</modifiedWord>
      <trackRevisions>false</trackRevisions>
    </reviewItem>
    <reviewItem>
      <errorID>799740e3-3a10-400c-95d8-c20e670c3757</errorID>
      <errorWord>“4 15”全民国家安全教育日</errorWord>
      <group>L1_Political</group>
      <groupName>政治性问题</groupName>
      <ability>L2_Keyword</ability>
      <abilityName>固定表述</abilityName>
      <candidateList>
        <item>“4·15”全民国家安全教育日</item>
      </candidateList>
      <explain>此处内容疑似含有固定表述相关错误，建议核查。</explain>
      <paraID>4865C1D4</paraID>
      <start>21</start>
      <end>36</end>
      <status>modified</status>
      <modifiedWord>“4·15”全民国家安全教育日</modifiedWord>
      <trackRevisions>false</trackRevisions>
    </reviewItem>
    <reviewItem>
      <errorID>f53e4418-d54c-42f1-b12d-fbfa685b7aba</errorID>
      <errorWord> </errorWord>
      <group>L1_Punc</group>
      <groupName>标点问题</groupName>
      <ability>L2_Punc_CN</ability>
      <abilityName>标点符号问题</abilityName>
      <candidateList>
        <item>·</item>
      </candidateList>
      <explain/>
      <paraID>4865C1D4</paraID>
      <start>39</start>
      <end>40</end>
      <status>modified</status>
      <modifiedWord>·</modifiedWord>
      <trackRevisions>false</trackRevisions>
    </reviewItem>
    <reviewItem>
      <errorID>7fd2c236-2819-470d-a77a-9b52bdcd6a57</errorID>
      <errorWord> </errorWord>
      <group>L1_Punc</group>
      <groupName>标点问题</groupName>
      <ability>L2_Punc_CN</ability>
      <abilityName>标点符号问题</abilityName>
      <candidateList>
        <item>·</item>
      </candidateList>
      <explain/>
      <paraID>4865C1D4</paraID>
      <start>53</start>
      <end>54</end>
      <status>modified</status>
      <modifiedWord>·</modifiedWord>
      <trackRevisions>false</trackRevisions>
    </reviewItem>
    <reviewItem>
      <errorID>57e82c20-3f94-4ab6-9f72-63e86428a870</errorID>
      <errorWord> </errorWord>
      <group>L1_Punc</group>
      <groupName>标点问题</groupName>
      <ability>L2_Punc_CN</ability>
      <abilityName>标点符号问题</abilityName>
      <candidateList>
        <item>·</item>
      </candidateList>
      <explain/>
      <paraID>4865C1D4</paraID>
      <start>65</start>
      <end>66</end>
      <status>modified</status>
      <modifiedWord>·</modifiedWord>
      <trackRevisions>false</trackRevisions>
    </reviewItem>
    <reviewItem>
      <errorID>2100368a-2771-4e55-a6d1-8a73a9747bc1</errorID>
      <errorWord> </errorWord>
      <group>L1_Punc</group>
      <groupName>标点问题</groupName>
      <ability>L2_Punc_CN</ability>
      <abilityName>标点符号问题</abilityName>
      <candidateList>
        <item>·</item>
      </candidateList>
      <explain/>
      <paraID>4865C1D4</paraID>
      <start>76</start>
      <end>77</end>
      <status>modified</status>
      <modifiedWord>·</modifiedWord>
      <trackRevisions>false</trackRevisions>
    </reviewItem>
    <reviewItem>
      <errorID>f16d07bf-d53a-43c8-a0d7-90100dde3fa8</errorID>
      <errorWord>，</errorWord>
      <group>L1_Punc</group>
      <groupName>标点问题</groupName>
      <ability>L2_Punc_CN</ability>
      <abilityName>标点符号问题</abilityName>
      <candidateList>
        <item>；</item>
      </candidateList>
      <explain/>
      <paraID>3DABE1DD</paraID>
      <start>141</start>
      <end>142</end>
      <status>unmodified</status>
      <modifiedWord/>
      <trackRevisions>false</trackRevisions>
    </reviewItem>
    <reviewItem>
      <errorID>e55e6828-4021-4da8-9f06-a1ac0310e843</errorID>
      <errorWord>“3 15”消费者权益日</errorWord>
      <group>L1_Knowledge</group>
      <groupName>知识性问题</groupName>
      <ability>L2_Knowledge</ability>
      <abilityName>其他知识</abilityName>
      <candidateList>
        <item>“3·15”消费者权益日</item>
      </candidateList>
      <explain/>
      <paraID>3DABE1DD</paraID>
      <start>396</start>
      <end>408</end>
      <status>modified</status>
      <modifiedWord>“3·15”消费者权益日</modifiedWord>
      <trackRevisions>false</trackRevisions>
    </reviewItem>
    <reviewItem>
      <errorID>6af64d70-eecd-4b2b-b410-2d84a62e60a8</errorID>
      <errorWord>至2025年12</errorWord>
      <group>L1_Word</group>
      <groupName>字词问题</groupName>
      <ability>L2_Typo</ability>
      <abilityName>字词错误</abilityName>
      <candidateList>
        <item>截至2025年12</item>
      </candidateList>
      <explain/>
      <paraID>5D5AD138</paraID>
      <start>138</start>
      <end>146</end>
      <status>unmodified</status>
      <modifiedWord/>
      <trackRevisions>false</trackRevisions>
    </reviewItem>
    <reviewItem>
      <errorID>5fac8676-d477-427b-bc82-d40228b8b535</errorID>
      <errorWord>社会效益实现</errorWord>
      <group>L1_Grammar</group>
      <groupName>语法问题</groupName>
      <ability>L2_Grammar</ability>
      <abilityName>语法错误</abilityName>
      <candidateList>
        <item>社会效益</item>
      </candidateList>
      <explain/>
      <paraID>7FB03BB0</paraID>
      <start>124</start>
      <end>130</end>
      <status>unmodified</status>
      <modifiedWord/>
      <trackRevisions>false</trackRevisions>
    </reviewItem>
    <reviewItem>
      <errorID>a1c79853-c3e0-42d8-a9de-24d395d026b5</errorID>
      <errorWord>，并</errorWord>
      <group>L1_Word</group>
      <groupName>字词问题</groupName>
      <ability>L2_Typo</ability>
      <abilityName>字词错误</abilityName>
      <candidateList>
        <item>来</item>
      </candidateList>
      <explain/>
      <paraID> B45C21F</paraID>
      <start>213</start>
      <end>215</end>
      <status>unmodified</status>
      <modifiedWord/>
      <trackRevisions>false</trackRevisions>
    </reviewItem>
    <reviewItem>
      <errorID>2a6e9b93-b21f-48ec-bfa8-98deb328eeb0</errorID>
      <errorWord>和</errorWord>
      <group>L1_Word</group>
      <groupName>字词问题</groupName>
      <ability>L2_Typo</ability>
      <abilityName>字词错误</abilityName>
      <candidateList>
        <item>，</item>
      </candidateList>
      <explain/>
      <paraID>354DB462</paraID>
      <start>17</start>
      <end>18</end>
      <status>unmodified</status>
      <modifiedWord/>
      <trackRevisions>false</trackRevisions>
    </reviewItem>
    <reviewItem>
      <errorID>1f65d75b-afce-404e-9f2d-9794084cbea4</errorID>
      <errorWord>内部</errorWord>
      <group>L1_Grammar</group>
      <groupName>语法问题</groupName>
      <ability>L2_Grammar</ability>
      <abilityName>语法错误</abilityName>
      <candidateList>
        <item>，进行内部</item>
      </candidateList>
      <explain/>
      <paraID>354DB462</paraID>
      <start>24</start>
      <end>26</end>
      <status>unmodified</status>
      <modifiedWord/>
      <trackRevisions>false</trackRevisions>
    </reviewItem>
    <reviewItem>
      <errorID>57335897-5715-4ba3-9821-759e2e1ae63a</errorID>
      <errorWord>，整理及数据分析、</errorWord>
      <group>L1_Word</group>
      <groupName>字词问题</groupName>
      <ability>L2_Typo</ability>
      <abilityName>字词错误</abilityName>
      <candidateList>
        <item>、整理及数据分析，</item>
      </candidateList>
      <explain/>
      <paraID>4EDCFCA6</paraID>
      <start>14</start>
      <end>23</end>
      <status>unmodified</status>
      <modifiedWord/>
      <trackRevisions>false</trackRevisions>
    </reviewItem>
    <reviewItem>
      <errorID>d4326420-d75c-4a68-b21c-4f238b4def60</errorID>
      <errorWord>及评价报告并对</errorWord>
      <group>L1_Grammar</group>
      <groupName>语法问题</groupName>
      <ability>L2_Grammar</ability>
      <abilityName>语法错误</abilityName>
      <candidateList>
        <item>及</item>
      </candidateList>
      <explain/>
      <paraID>4EDCFCA6</paraID>
      <start>29</start>
      <end>36</end>
      <status>unmodified</status>
      <modifiedWord/>
      <trackRevisions>false</trackRevisions>
    </reviewItem>
    <reviewItem>
      <errorID>8a8b7528-a519-4ff7-b6e3-bbce41e7edbd</errorID>
      <errorWord>报告进行负责</errorWord>
      <group>L1_Grammar</group>
      <groupName>语法问题</groupName>
      <ability>L2_Grammar</ability>
      <abilityName>语法错误</abilityName>
      <candidateList>
        <item>报告</item>
      </candidateList>
      <explain/>
      <paraID>4EDCFCA6</paraID>
      <start>38</start>
      <end>44</end>
      <status>unmodified</status>
      <modifiedWord/>
      <trackRevisions>false</trackRevisions>
    </reviewItem>
    <reviewItem>
      <errorID>1194416a-d6b2-4c28-9531-b54ecc8e9d20</errorID>
      <errorWord>日至2026年</errorWord>
      <group>L1_Word</group>
      <groupName>字词问题</groupName>
      <ability>L2_Typo</ability>
      <abilityName>字词错误</abilityName>
      <candidateList>
        <item>日起至2026年</item>
      </candidateList>
      <explain/>
      <paraID>709A0492</paraID>
      <start>17</start>
      <end>24</end>
      <status>unmodified</status>
      <modifiedWord/>
      <trackRevisions>false</trackRevisions>
    </reviewItem>
    <reviewItem>
      <errorID>4722e7f4-9b25-42c2-aa55-4490d5102ad5</errorID>
      <errorWord>日至2026年</errorWord>
      <group>L1_Word</group>
      <groupName>字词问题</groupName>
      <ability>L2_Typo</ability>
      <abilityName>字词错误</abilityName>
      <candidateList>
        <item>日起至2026年</item>
      </candidateList>
      <explain/>
      <paraID>5FAE51A5</paraID>
      <start>17</start>
      <end>24</end>
      <status>unmodified</status>
      <modifiedWord/>
      <trackRevisions>false</trackRevisions>
    </reviewItem>
    <reviewItem>
      <errorID>f2d0a6f7-54af-46d9-adaf-68f77a5e9dcd</errorID>
      <errorWord>项目</errorWord>
      <group>L1_Word</group>
      <groupName>字词问题</groupName>
      <ability>L2_Typo</ability>
      <abilityName>字词错误</abilityName>
      <candidateList>
        <item>给项目</item>
      </candidateList>
      <explain/>
      <paraID>5FAE51A5</paraID>
      <start>160</start>
      <end>162</end>
      <status>unmodified</status>
      <modifiedWord/>
      <trackRevisions>false</trackRevisions>
    </reviewItem>
    <reviewItem>
      <errorID>1fba7895-0156-45bc-91cd-e76b040dc8e9</errorID>
      <errorWord>日至2026年</errorWord>
      <group>L1_Word</group>
      <groupName>字词问题</groupName>
      <ability>L2_Typo</ability>
      <abilityName>字词错误</abilityName>
      <candidateList>
        <item>日起至2026年</item>
      </candidateList>
      <explain/>
      <paraID>3D7F037A</paraID>
      <start>18</start>
      <end>25</end>
      <status>unmodified</status>
      <modifiedWord/>
      <trackRevisions>false</trackRevisions>
    </reviewItem>
    <reviewItem>
      <errorID>368e7dec-4282-45b3-af17-270b03b4eba9</errorID>
      <errorWord>日至2026年</errorWord>
      <group>L1_Word</group>
      <groupName>字词问题</groupName>
      <ability>L2_Typo</ability>
      <abilityName>字词错误</abilityName>
      <candidateList>
        <item>日起至2026年</item>
      </candidateList>
      <explain/>
      <paraID>4CB545AC</paraID>
      <start>17</start>
      <end>24</end>
      <status>unmodified</status>
      <modifiedWord/>
      <trackRevisions>false</trackRevisions>
    </reviewItem>
    <reviewItem>
      <errorID>3f8b9e04-699e-4ba0-87fa-753bae5bd35c</errorID>
      <errorWord>日至2026年</errorWord>
      <group>L1_Word</group>
      <groupName>字词问题</groupName>
      <ability>L2_Typo</ability>
      <abilityName>字词错误</abilityName>
      <candidateList>
        <item>日起至2026年</item>
      </candidateList>
      <explain/>
      <paraID>6DF8A59C</paraID>
      <start>23</start>
      <end>30</end>
      <status>unmodified</status>
      <modifiedWord/>
      <trackRevisions>false</trackRevisions>
    </reviewItem>
    <reviewItem>
      <errorID>15ad9345-ca34-4f4d-b96a-50b6f30f6acb</errorID>
      <errorWord>“3 15”消费者权益日</errorWord>
      <group>L1_Knowledge</group>
      <groupName>知识性问题</groupName>
      <ability>L2_Knowledge</ability>
      <abilityName>其他知识</abilityName>
      <candidateList>
        <item>“3·15”消费者权益日</item>
      </candidateList>
      <explain/>
      <paraID>2A10B7AE</paraID>
      <start>498</start>
      <end>510</end>
      <status>modified</status>
      <modifiedWord>“3·15”消费者权益日</modifiedWord>
      <trackRevisions>false</trackRevisions>
    </reviewItem>
    <reviewItem>
      <errorID>c06abb9e-a1af-4d90-8873-ab5ca80f209d</errorID>
      <errorWord>“4 15”全民国家安全教育日</errorWord>
      <group>L1_Political</group>
      <groupName>政治性问题</groupName>
      <ability>L2_Keyword</ability>
      <abilityName>固定表述</abilityName>
      <candidateList>
        <item>“4·15”全民国家安全教育日</item>
      </candidateList>
      <explain>此处内容疑似含有固定表述相关错误，建议核查。</explain>
      <paraID>2A10B7AE</paraID>
      <start>511</start>
      <end>526</end>
      <status>modified</status>
      <modifiedWord>“4·15”全民国家安全教育日</modifiedWord>
      <trackRevisions>false</trackRevisions>
    </reviewItem>
    <reviewItem>
      <errorID>121f8a9a-5f13-453b-8aa6-b6dad4b3cbad</errorID>
      <errorWord> </errorWord>
      <group>L1_Punc</group>
      <groupName>标点问题</groupName>
      <ability>L2_Punc_CN</ability>
      <abilityName>标点符号问题</abilityName>
      <candidateList>
        <item>·</item>
      </candidateList>
      <explain/>
      <paraID>2A10B7AE</paraID>
      <start>529</start>
      <end>530</end>
      <status>modified</status>
      <modifiedWord>·</modifiedWord>
      <trackRevisions>false</trackRevisions>
    </reviewItem>
    <reviewItem>
      <errorID>acf58a67-e9a4-43d1-9b95-c521fc6be812</errorID>
      <errorWord> </errorWord>
      <group>L1_Punc</group>
      <groupName>标点问题</groupName>
      <ability>L2_Punc_CN</ability>
      <abilityName>标点符号问题</abilityName>
      <candidateList>
        <item>·</item>
      </candidateList>
      <explain/>
      <paraID>2A10B7AE</paraID>
      <start>543</start>
      <end>544</end>
      <status>modified</status>
      <modifiedWord>·</modifiedWord>
      <trackRevisions>false</trackRevisions>
    </reviewItem>
    <reviewItem>
      <errorID>914882c2-b24f-475f-892b-b47e720adaef</errorID>
      <errorWord> </errorWord>
      <group>L1_Punc</group>
      <groupName>标点问题</groupName>
      <ability>L2_Punc_CN</ability>
      <abilityName>标点符号问题</abilityName>
      <candidateList>
        <item>·</item>
      </candidateList>
      <explain/>
      <paraID>2A10B7AE</paraID>
      <start>555</start>
      <end>556</end>
      <status>modified</status>
      <modifiedWord>·</modifiedWord>
      <trackRevisions>false</trackRevisions>
    </reviewItem>
    <reviewItem>
      <errorID>b2daa97e-a0f7-4720-928c-437136547f12</errorID>
      <errorWord> </errorWord>
      <group>L1_Punc</group>
      <groupName>标点问题</groupName>
      <ability>L2_Punc_CN</ability>
      <abilityName>标点符号问题</abilityName>
      <candidateList>
        <item>·</item>
      </candidateList>
      <explain/>
      <paraID>2A10B7AE</paraID>
      <start>566</start>
      <end>567</end>
      <status>modified</status>
      <modifiedWord>·</modifiedWord>
      <trackRevisions>false</trackRevisions>
    </reviewItem>
    <reviewItem>
      <errorID>f44d702f-6d7b-4955-88c6-eafde1cdf3c9</errorID>
      <errorWord>=99%</errorWord>
      <group>L1_Other</group>
      <groupName>其他问题</groupName>
      <ability>L2_Consistency</ability>
      <abilityName>一致性检查</abilityName>
      <candidateList>
        <item>≥99%</item>
      </candidateList>
      <explain>数字一致性错误，原文中该指标预期目标为特种设备注册登记率不低于99%，但在表3-2评价指标目标表中误写为年度目标值=99%，与前文预期指标值不一致</explain>
      <paraID>40BADFF2</paraID>
      <start>0</start>
      <end>4</end>
      <status>modified</status>
      <modifiedWord>≥99%</modifiedWord>
      <trackRevisions>false</trackRevisions>
    </reviewItem>
    <reviewItem>
      <errorID>c4de582d-1a34-454e-ae52-a236eab8d8e0</errorID>
      <errorWord>国务院关于</errorWord>
      <group>L1_Political</group>
      <groupName>政治性问题</groupName>
      <ability>L2_Keyword</ability>
      <abilityName>固定表述</abilityName>
      <candidateList>
        <item>《国务院关于</item>
      </candidateList>
      <explain>此处内容疑似含有固定表述相关错误，建议核查。</explain>
      <paraID>580A32A8</paraID>
      <start>2</start>
      <end>7</end>
      <status>unmodified</status>
      <modifiedWord/>
      <trackRevisions>false</trackRevisions>
    </reviewItem>
    <reviewItem>
      <errorID>30ba8017-496b-4ade-ab95-6e62419d87ea</errorID>
      <errorWord>《</errorWord>
      <group>L1_Punc</group>
      <groupName>标点问题</groupName>
      <ability>L2_Punc_CN</ability>
      <abilityName>标点符号问题</abilityName>
      <candidateList>
        <item>〈</item>
      </candidateList>
      <explain/>
      <paraID>580A32A8</paraID>
      <start>9</start>
      <end>10</end>
      <status>unmodified</status>
      <modifiedWord/>
      <trackRevisions>false</trackRevisions>
    </reviewItem>
    <reviewItem>
      <errorID>774556d9-d1ff-44c6-8a81-ffc9245315d5</errorID>
      <errorWord>》</errorWord>
      <group>L1_Punc</group>
      <groupName>标点问题</groupName>
      <ability>L2_Punc_CN</ability>
      <abilityName>标点符号问题</abilityName>
      <candidateList>
        <item>〉</item>
      </candidateList>
      <explain/>
      <paraID>580A32A8</paraID>
      <start>24</start>
      <end>25</end>
      <status>unmodified</status>
      <modifiedWord/>
      <trackRevisions>false</trackRevisions>
    </reviewItem>
    <reviewItem>
      <errorID>9c5177fc-c260-46a7-b6d0-cc020c84bbbb</errorID>
      <errorWord>、</errorWord>
      <group>L1_Punc</group>
      <groupName>标点问题</groupName>
      <ability>L2_Punc_CN</ability>
      <abilityName>标点符号问题</abilityName>
      <candidateList>
        <item>》</item>
      </candidateList>
      <explain/>
      <paraID>580A32A8</paraID>
      <start>28</start>
      <end>29</end>
      <status>unmodified</status>
      <modifiedWord/>
      <trackRevisions>false</trackRevisions>
    </reviewItem>
    <reviewItem>
      <errorID>6d1fb3c3-b76c-4e2b-a91a-26073d7ffd1a</errorID>
      <errorWord>》分析</errorWord>
      <group>L1_Grammar</group>
      <groupName>语法问题</groupName>
      <ability>L2_Grammar</ability>
      <abilityName>语法错误</abilityName>
      <candidateList>
        <item>》</item>
      </candidateList>
      <explain/>
      <paraID>580A32A8</paraID>
      <start>80</start>
      <end>83</end>
      <status>unmodified</status>
      <modifiedWord/>
      <trackRevisions>false</trackRevisions>
    </reviewItem>
    <reviewItem>
      <errorID>fbf13866-12aa-4921-8c13-1407e34474ef</errorID>
      <errorWord>。</errorWord>
      <group>L1_Punc</group>
      <groupName>标点问题</groupName>
      <ability>L2_Punc_CN</ability>
      <abilityName>标点符号问题</abilityName>
      <candidateList>
        <item>；</item>
      </candidateList>
      <explain/>
      <paraID>10A2BA23</paraID>
      <start>114</start>
      <end>115</end>
      <status>unmodified</status>
      <modifiedWord/>
      <trackRevisions>false</trackRevisions>
    </reviewItem>
    <reviewItem>
      <errorID>2a0f5f7b-4398-4afe-b6c5-55b6e287af2a</errorID>
      <errorWord>全年预算执行数</errorWord>
      <group>L1_Grammar</group>
      <groupName>语法问题</groupName>
      <ability>L2_Grammar</ability>
      <abilityName>语法错误</abilityName>
      <candidateList>
        <item>为</item>
      </candidateList>
      <explain/>
      <paraID>24EEEF2F</paraID>
      <start>88</start>
      <end>95</end>
      <status>ignored</status>
      <modifiedWord/>
      <trackRevisions>false</trackRevisions>
    </reviewItem>
    <reviewItem>
      <errorID>15d3716f-97a6-4a08-a919-f0c2bc5f3ebe</errorID>
      <errorWord>实施</errorWord>
      <group>L1_Grammar</group>
      <groupName>语法问题</groupName>
      <ability>L2_Grammar</ability>
      <abilityName>语法错误</abilityName>
      <candidateList>
        <item>用于实施</item>
      </candidateList>
      <explain/>
      <paraID>6A08F127</paraID>
      <start>32</start>
      <end>34</end>
      <status>ignored</status>
      <modifiedWord/>
      <trackRevisions>false</trackRevisions>
    </reviewItem>
    <reviewItem>
      <errorID>71ed985b-c484-422d-85f1-4dfe80755457</errorID>
      <errorWord>，</errorWord>
      <group>L1_Punc</group>
      <groupName>标点问题</groupName>
      <ability>L2_Punc_CN</ability>
      <abilityName>标点符号问题</abilityName>
      <candidateList>
        <item>。</item>
      </candidateList>
      <explain/>
      <paraID>6A08F127</paraID>
      <start>109</start>
      <end>110</end>
      <status>ignored</status>
      <modifiedWord/>
      <trackRevisions>false</trackRevisions>
    </reviewItem>
    <reviewItem>
      <errorID>79eea087-859b-477f-b0d0-94fb1a53eec0</errorID>
      <errorWord>均已经</errorWord>
      <group>L1_Grammar</group>
      <groupName>语法问题</groupName>
      <ability>L2_Grammar</ability>
      <abilityName>语法错误</abilityName>
      <candidateList>
        <item>均</item>
      </candidateList>
      <explain/>
      <paraID>6A08F127</paraID>
      <start>159</start>
      <end>162</end>
      <status>unmodified</status>
      <modifiedWord/>
      <trackRevisions>false</trackRevisions>
    </reviewItem>
    <reviewItem>
      <errorID>8d175a46-cc6f-456b-be2c-6b44508c2d62</errorID>
      <errorWord>，</errorWord>
      <group>L1_Punc</group>
      <groupName>标点问题</groupName>
      <ability>L2_Punc_CN</ability>
      <abilityName>标点符号问题</abilityName>
      <candidateList>
        <item>、</item>
      </candidateList>
      <explain/>
      <paraID>654F3231</paraID>
      <start>24</start>
      <end>25</end>
      <status>unmodified</status>
      <modifiedWord/>
      <trackRevisions>false</trackRevisions>
    </reviewItem>
    <reviewItem>
      <errorID>1db26275-472b-4657-b4ac-38dba84e9050</errorID>
      <errorWord>，</errorWord>
      <group>L1_Punc</group>
      <groupName>标点问题</groupName>
      <ability>L2_Punc_CN</ability>
      <abilityName>标点符号问题</abilityName>
      <candidateList>
        <item>、</item>
      </candidateList>
      <explain/>
      <paraID>654F3231</paraID>
      <start>53</start>
      <end>54</end>
      <status>unmodified</status>
      <modifiedWord/>
      <trackRevisions>false</trackRevisions>
    </reviewItem>
    <reviewItem>
      <errorID>cc1c4cba-6671-43c9-a015-ecb02e59716d</errorID>
      <errorWord>“3 15”消费者权益日</errorWord>
      <group>L1_Knowledge</group>
      <groupName>知识性问题</groupName>
      <ability>L2_Knowledge</ability>
      <abilityName>其他知识</abilityName>
      <candidateList>
        <item>“3·15”消费者权益日</item>
      </candidateList>
      <explain/>
      <paraID>654F3231</paraID>
      <start>251</start>
      <end>263</end>
      <status>modified</status>
      <modifiedWord>“3·15”消费者权益日</modifiedWord>
      <trackRevisions>false</trackRevisions>
    </reviewItem>
    <reviewItem>
      <errorID>95f4b1a9-4ada-4235-a76f-43d1ac6fddd4</errorID>
      <errorWord>“3 15”消费者权益日</errorWord>
      <group>L1_Knowledge</group>
      <groupName>知识性问题</groupName>
      <ability>L2_Knowledge</ability>
      <abilityName>其他知识</abilityName>
      <candidateList>
        <item>“3·15”消费者权益日</item>
      </candidateList>
      <explain/>
      <paraID>2A45799D</paraID>
      <start>170</start>
      <end>182</end>
      <status>modified</status>
      <modifiedWord>“3·15”消费者权益日</modifiedWord>
      <trackRevisions>false</trackRevisions>
    </reviewItem>
    <reviewItem>
      <errorID>98925855-24b5-44c4-9f49-a9b2988c26f5</errorID>
      <errorWord>报表显示</errorWord>
      <group>L1_Grammar</group>
      <groupName>语法问题</groupName>
      <ability>L2_Grammar</ability>
      <abilityName>语法错误</abilityName>
      <candidateList>
        <item>报表</item>
      </candidateList>
      <explain/>
      <paraID>388976E9</paraID>
      <start>45</start>
      <end>49</end>
      <status>unmodified</status>
      <modifiedWord/>
      <trackRevisions>false</trackRevisions>
    </reviewItem>
    <reviewItem>
      <errorID>40cbae14-248e-4876-b353-858c34586c30</errorID>
      <errorWord>报表显示</errorWord>
      <group>L1_Grammar</group>
      <groupName>语法问题</groupName>
      <ability>L2_Grammar</ability>
      <abilityName>语法错误</abilityName>
      <candidateList>
        <item>报表</item>
      </candidateList>
      <explain/>
      <paraID>7C1EC668</paraID>
      <start>41</start>
      <end>45</end>
      <status>unmodified</status>
      <modifiedWord/>
      <trackRevisions>false</trackRevisions>
    </reviewItem>
    <reviewItem>
      <errorID>7feac2c8-e1fc-481d-89b7-557544ab34df</errorID>
      <errorWord>）</errorWord>
      <group>L1_Punc</group>
      <groupName>标点问题</groupName>
      <ability>L2_Punc_CN</ability>
      <abilityName>标点符号问题</abilityName>
      <candidateList/>
      <explain>同一形式括号套用。</explain>
      <paraID>13908B02</paraID>
      <start>99</start>
      <end>100</end>
      <status>unmodified</status>
      <modifiedWord/>
      <trackRevisions>false</trackRevisions>
    </reviewItem>
    <reviewItem>
      <errorID>97dcfd3d-9d25-4c2f-8e98-6548cc0f7b1c</errorID>
      <errorWord>“3 15”消费者权益日</errorWord>
      <group>L1_Knowledge</group>
      <groupName>知识性问题</groupName>
      <ability>L2_Knowledge</ability>
      <abilityName>其他知识</abilityName>
      <candidateList>
        <item>“3·15”消费者权益日</item>
      </candidateList>
      <explain/>
      <paraID> 96F6921</paraID>
      <start>97</start>
      <end>109</end>
      <status>modified</status>
      <modifiedWord>“3·15”消费者权益日</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2a5deb-7a34-4262-b88d-fa5aa1c98b66}">
  <ds:schemaRefs/>
</ds:datastoreItem>
</file>

<file path=docProps/app.xml><?xml version="1.0" encoding="utf-8"?>
<Properties xmlns="http://schemas.openxmlformats.org/officeDocument/2006/extended-properties" xmlns:vt="http://schemas.openxmlformats.org/officeDocument/2006/docPropsVTypes">
  <Template>Normal</Template>
  <Pages>103</Pages>
  <Words>3993</Words>
  <Characters>4345</Characters>
  <Lines>355</Lines>
  <Paragraphs>100</Paragraphs>
  <TotalTime>12</TotalTime>
  <ScaleCrop>false</ScaleCrop>
  <LinksUpToDate>false</LinksUpToDate>
  <CharactersWithSpaces>4362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2026-08-21T10:28:00Z</dcterms:created>
  <dc:creator>子航 李</dc:creator>
  <cp:lastModifiedBy>珍惜</cp:lastModifiedBy>
  <cp:lastPrinted>2026-08-21T11:21:00Z</cp:lastPrinted>
  <dcterms:modified xsi:type="dcterms:W3CDTF">2026-09-03T03:25:42Z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eyJoZGlkIjoiN2YzNjBkOTgyNWQ1YTMxYzM3MzMwNWFiODNmOWIzYWMiLCJ1c2VySWQiOiIxMTQ0MjcyMjM5In0=</vt:lpwstr>
  </property>
  <property fmtid="{D5CDD505-2E9C-101B-9397-08002B2CF9AE}" pid="3" name="KSOProductBuildVer">
    <vt:lpwstr>2052-12.1.0.28505</vt:lpwstr>
  </property>
  <property fmtid="{D5CDD505-2E9C-101B-9397-08002B2CF9AE}" pid="4" name="ICV">
    <vt:lpwstr>B1E611CCDAE149B6A649F359CACDD9DD_12</vt:lpwstr>
  </property>
</Properties>
</file>