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79ADE">
      <w:pPr>
        <w:spacing w:before="2856" w:beforeLines="700" w:line="360" w:lineRule="auto"/>
        <w:ind w:firstLine="720" w:firstLineChars="200"/>
        <w:jc w:val="left"/>
        <w:rPr>
          <w:rFonts w:hint="eastAsia" w:ascii="Times New Roman" w:hAnsi="Times New Roman" w:eastAsia="黑体" w:cs="黑体"/>
          <w:bCs/>
          <w:kern w:val="0"/>
          <w:sz w:val="32"/>
          <w:szCs w:val="32"/>
        </w:rPr>
      </w:pPr>
      <w:r>
        <w:rPr>
          <w:rFonts w:ascii="Times New Roman" w:hAnsi="Times New Roman"/>
          <w:sz w:val="36"/>
        </w:rPr>
        <mc:AlternateContent>
          <mc:Choice Requires="wps">
            <w:drawing>
              <wp:anchor distT="0" distB="0" distL="114300" distR="114300" simplePos="0" relativeHeight="251666432" behindDoc="0" locked="0" layoutInCell="1" allowOverlap="1">
                <wp:simplePos x="0" y="0"/>
                <wp:positionH relativeFrom="page">
                  <wp:posOffset>1619885</wp:posOffset>
                </wp:positionH>
                <wp:positionV relativeFrom="paragraph">
                  <wp:posOffset>32385</wp:posOffset>
                </wp:positionV>
                <wp:extent cx="4319905" cy="1800225"/>
                <wp:effectExtent l="0" t="0" r="8255" b="13335"/>
                <wp:wrapNone/>
                <wp:docPr id="1482371521" name="文本框 1482371521"/>
                <wp:cNvGraphicFramePr/>
                <a:graphic xmlns:a="http://schemas.openxmlformats.org/drawingml/2006/main">
                  <a:graphicData uri="http://schemas.microsoft.com/office/word/2010/wordprocessingShape">
                    <wps:wsp>
                      <wps:cNvSpPr txBox="1"/>
                      <wps:spPr>
                        <a:xfrm>
                          <a:off x="0" y="0"/>
                          <a:ext cx="4319905" cy="1800225"/>
                        </a:xfrm>
                        <a:prstGeom prst="rect">
                          <a:avLst/>
                        </a:prstGeom>
                        <a:ln>
                          <a:noFill/>
                          <a:prstDash val="sysDot"/>
                        </a:ln>
                      </wps:spPr>
                      <wps:style>
                        <a:lnRef idx="2">
                          <a:schemeClr val="dk1"/>
                        </a:lnRef>
                        <a:fillRef idx="1">
                          <a:schemeClr val="lt1"/>
                        </a:fillRef>
                        <a:effectRef idx="0">
                          <a:schemeClr val="dk1"/>
                        </a:effectRef>
                        <a:fontRef idx="minor">
                          <a:schemeClr val="dk1"/>
                        </a:fontRef>
                      </wps:style>
                      <wps:txbx>
                        <w:txbxContent>
                          <w:p w14:paraId="7113A148">
                            <w:pPr>
                              <w:jc w:val="center"/>
                              <w:rPr>
                                <w:rFonts w:ascii="Times New Roman" w:hAnsi="Times New Roman" w:eastAsia="黑体"/>
                                <w:b/>
                                <w:bCs/>
                                <w:sz w:val="52"/>
                                <w:szCs w:val="52"/>
                              </w:rPr>
                            </w:pPr>
                            <w:bookmarkStart w:id="837" w:name="_Toc21564"/>
                            <w:bookmarkStart w:id="838" w:name="_Toc8922"/>
                            <w:bookmarkStart w:id="839" w:name="_Toc21932"/>
                            <w:bookmarkStart w:id="840" w:name="_Toc1431"/>
                            <w:bookmarkStart w:id="841" w:name="_Toc7557"/>
                            <w:bookmarkStart w:id="842" w:name="_Toc32066"/>
                            <w:bookmarkStart w:id="843" w:name="_Toc12186"/>
                            <w:bookmarkStart w:id="844" w:name="_Toc4017"/>
                            <w:bookmarkStart w:id="845" w:name="_Toc1870"/>
                            <w:bookmarkStart w:id="846" w:name="_Toc2048"/>
                            <w:bookmarkStart w:id="847" w:name="_Toc7430"/>
                            <w:r>
                              <w:rPr>
                                <w:rFonts w:hint="eastAsia" w:ascii="Times New Roman" w:hAnsi="Times New Roman" w:eastAsia="黑体"/>
                                <w:b/>
                                <w:bCs/>
                                <w:sz w:val="52"/>
                                <w:szCs w:val="52"/>
                              </w:rPr>
                              <w:t>喀什市2025</w:t>
                            </w:r>
                            <w:r>
                              <w:rPr>
                                <w:rFonts w:ascii="Times New Roman" w:hAnsi="Times New Roman" w:eastAsia="黑体"/>
                                <w:b/>
                                <w:bCs/>
                                <w:sz w:val="52"/>
                                <w:szCs w:val="52"/>
                              </w:rPr>
                              <w:t>年度</w:t>
                            </w:r>
                            <w:bookmarkEnd w:id="837"/>
                            <w:bookmarkEnd w:id="838"/>
                            <w:bookmarkEnd w:id="839"/>
                            <w:bookmarkEnd w:id="840"/>
                            <w:bookmarkEnd w:id="841"/>
                            <w:bookmarkEnd w:id="842"/>
                            <w:bookmarkEnd w:id="843"/>
                            <w:bookmarkEnd w:id="844"/>
                            <w:bookmarkEnd w:id="845"/>
                            <w:bookmarkEnd w:id="846"/>
                            <w:bookmarkEnd w:id="847"/>
                          </w:p>
                          <w:p w14:paraId="068D8607">
                            <w:pPr>
                              <w:jc w:val="center"/>
                              <w:rPr>
                                <w:rFonts w:ascii="Times New Roman" w:hAnsi="Times New Roman" w:eastAsia="黑体"/>
                                <w:b/>
                                <w:bCs/>
                                <w:sz w:val="52"/>
                                <w:szCs w:val="52"/>
                              </w:rPr>
                            </w:pPr>
                            <w:bookmarkStart w:id="848" w:name="_Toc23983"/>
                            <w:bookmarkStart w:id="849" w:name="_Toc10441"/>
                            <w:bookmarkStart w:id="850" w:name="_Toc3685"/>
                            <w:bookmarkStart w:id="851" w:name="_Toc11767"/>
                            <w:bookmarkStart w:id="852" w:name="_Toc6248"/>
                            <w:bookmarkStart w:id="853" w:name="_Toc21880"/>
                            <w:bookmarkStart w:id="854" w:name="_Toc21419"/>
                            <w:bookmarkStart w:id="855" w:name="_Toc27779"/>
                            <w:bookmarkStart w:id="856" w:name="_Toc5217"/>
                            <w:bookmarkStart w:id="857" w:name="_Toc26560"/>
                            <w:r>
                              <w:rPr>
                                <w:rFonts w:ascii="Times New Roman" w:hAnsi="Times New Roman" w:eastAsia="黑体"/>
                                <w:b/>
                                <w:bCs/>
                                <w:sz w:val="52"/>
                                <w:szCs w:val="52"/>
                              </w:rPr>
                              <w:t>预算绩效评价报告</w:t>
                            </w:r>
                            <w:bookmarkEnd w:id="848"/>
                            <w:bookmarkEnd w:id="849"/>
                            <w:bookmarkEnd w:id="850"/>
                            <w:bookmarkEnd w:id="851"/>
                            <w:bookmarkEnd w:id="852"/>
                            <w:bookmarkEnd w:id="853"/>
                            <w:bookmarkEnd w:id="854"/>
                            <w:bookmarkEnd w:id="855"/>
                            <w:bookmarkEnd w:id="856"/>
                            <w:bookmarkEnd w:id="857"/>
                          </w:p>
                          <w:p w14:paraId="5B953B72">
                            <w:pPr>
                              <w:pStyle w:val="2"/>
                              <w:tabs>
                                <w:tab w:val="center" w:pos="4153"/>
                                <w:tab w:val="left" w:pos="4680"/>
                                <w:tab w:val="left" w:pos="4860"/>
                                <w:tab w:val="right" w:pos="8306"/>
                              </w:tabs>
                              <w:spacing w:before="0" w:after="0" w:line="600" w:lineRule="exact"/>
                              <w:jc w:val="center"/>
                              <w:rPr>
                                <w:rFonts w:hint="eastAsia" w:ascii="Times New Roman" w:hAnsi="Times New Roman" w:eastAsia="仿宋_GB2312" w:cs="仿宋_GB2312"/>
                                <w:b/>
                                <w:sz w:val="32"/>
                                <w:szCs w:val="32"/>
                                <w:lang w:val="en-US" w:eastAsia="zh-CN"/>
                              </w:rP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Times New Roman"/>
                                <w:b/>
                                <w:kern w:val="2"/>
                                <w:sz w:val="32"/>
                                <w:szCs w:val="32"/>
                                <w:lang w:val="en-US" w:eastAsia="zh-CN" w:bidi="ar-SA"/>
                              </w:rPr>
                              <w:t>[202</w:t>
                            </w:r>
                            <w:r>
                              <w:rPr>
                                <w:rFonts w:hint="eastAsia" w:ascii="Times New Roman" w:hAnsi="Times New Roman" w:cs="Times New Roman"/>
                                <w:b/>
                                <w:kern w:val="2"/>
                                <w:sz w:val="32"/>
                                <w:szCs w:val="32"/>
                                <w:lang w:val="en-US" w:eastAsia="zh-CN" w:bidi="ar-SA"/>
                              </w:rPr>
                              <w:t>6</w:t>
                            </w:r>
                            <w:r>
                              <w:rPr>
                                <w:rFonts w:hint="eastAsia" w:ascii="Times New Roman" w:hAnsi="Times New Roman" w:eastAsia="方正仿宋_GBK"/>
                                <w:b/>
                                <w:bCs/>
                                <w:sz w:val="32"/>
                                <w:szCs w:val="32"/>
                              </w:rPr>
                              <w:t>]</w:t>
                            </w:r>
                            <w:r>
                              <w:rPr>
                                <w:rFonts w:hint="eastAsia" w:ascii="Times New Roman" w:hAnsi="Times New Roman" w:eastAsia="仿宋_GB2312" w:cs="Times New Roman"/>
                                <w:b/>
                                <w:kern w:val="2"/>
                                <w:sz w:val="32"/>
                                <w:szCs w:val="32"/>
                                <w:lang w:val="en-US" w:eastAsia="zh-CN" w:bidi="ar-SA"/>
                              </w:rPr>
                              <w:t>第</w:t>
                            </w:r>
                            <w:r>
                              <w:rPr>
                                <w:rFonts w:hint="eastAsia" w:ascii="Times New Roman" w:hAnsi="Times New Roman" w:cs="Times New Roman"/>
                                <w:b/>
                                <w:kern w:val="2"/>
                                <w:sz w:val="32"/>
                                <w:szCs w:val="32"/>
                                <w:lang w:val="en-US" w:eastAsia="zh-CN" w:bidi="ar-SA"/>
                              </w:rPr>
                              <w:t>060</w:t>
                            </w:r>
                            <w:r>
                              <w:rPr>
                                <w:rFonts w:hint="eastAsia" w:ascii="Times New Roman" w:hAnsi="Times New Roman" w:eastAsia="仿宋_GB2312" w:cs="Times New Roman"/>
                                <w:b/>
                                <w:kern w:val="2"/>
                                <w:sz w:val="32"/>
                                <w:szCs w:val="32"/>
                                <w:lang w:val="en-US" w:eastAsia="zh-CN" w:bidi="ar-SA"/>
                              </w:rPr>
                              <w:t>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55pt;margin-top:2.55pt;height:141.75pt;width:340.15pt;mso-position-horizontal-relative:page;z-index:251666432;mso-width-relative:page;mso-height-relative:page;" fillcolor="#FFFFFF [3201]" filled="t" stroked="f" coordsize="21600,21600" o:gfxdata="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46NvA2QAAAAkBAAAPAAAAAAAAAAEAIAAA&#10;ACIAAABkcnMvZG93bnJldi54bWxQSwECFAAUAAAACACHTuJAwS0h6n0CAADeBAAADgAAAAAAAAAB&#10;ACAAAAAoAQAAZHJzL2Uyb0RvYy54bWxQSwUGAAAAAAYABgBZAQAAFwYAAAAA&#10;">
                <v:fill on="t" focussize="0,0"/>
                <v:stroke on="f" weight="2pt" dashstyle="1 1"/>
                <v:imagedata o:title=""/>
                <o:lock v:ext="edit" aspectratio="f"/>
                <v:textbox>
                  <w:txbxContent>
                    <w:p w14:paraId="7113A148">
                      <w:pPr>
                        <w:jc w:val="center"/>
                        <w:rPr>
                          <w:rFonts w:ascii="Times New Roman" w:hAnsi="Times New Roman" w:eastAsia="黑体"/>
                          <w:b/>
                          <w:bCs/>
                          <w:sz w:val="52"/>
                          <w:szCs w:val="52"/>
                        </w:rPr>
                      </w:pPr>
                      <w:bookmarkStart w:id="837" w:name="_Toc21564"/>
                      <w:bookmarkStart w:id="838" w:name="_Toc8922"/>
                      <w:bookmarkStart w:id="839" w:name="_Toc21932"/>
                      <w:bookmarkStart w:id="840" w:name="_Toc1431"/>
                      <w:bookmarkStart w:id="841" w:name="_Toc7557"/>
                      <w:bookmarkStart w:id="842" w:name="_Toc32066"/>
                      <w:bookmarkStart w:id="843" w:name="_Toc12186"/>
                      <w:bookmarkStart w:id="844" w:name="_Toc4017"/>
                      <w:bookmarkStart w:id="845" w:name="_Toc1870"/>
                      <w:bookmarkStart w:id="846" w:name="_Toc2048"/>
                      <w:bookmarkStart w:id="847" w:name="_Toc7430"/>
                      <w:r>
                        <w:rPr>
                          <w:rFonts w:hint="eastAsia" w:ascii="Times New Roman" w:hAnsi="Times New Roman" w:eastAsia="黑体"/>
                          <w:b/>
                          <w:bCs/>
                          <w:sz w:val="52"/>
                          <w:szCs w:val="52"/>
                        </w:rPr>
                        <w:t>喀什市2025</w:t>
                      </w:r>
                      <w:r>
                        <w:rPr>
                          <w:rFonts w:ascii="Times New Roman" w:hAnsi="Times New Roman" w:eastAsia="黑体"/>
                          <w:b/>
                          <w:bCs/>
                          <w:sz w:val="52"/>
                          <w:szCs w:val="52"/>
                        </w:rPr>
                        <w:t>年度</w:t>
                      </w:r>
                      <w:bookmarkEnd w:id="837"/>
                      <w:bookmarkEnd w:id="838"/>
                      <w:bookmarkEnd w:id="839"/>
                      <w:bookmarkEnd w:id="840"/>
                      <w:bookmarkEnd w:id="841"/>
                      <w:bookmarkEnd w:id="842"/>
                      <w:bookmarkEnd w:id="843"/>
                      <w:bookmarkEnd w:id="844"/>
                      <w:bookmarkEnd w:id="845"/>
                      <w:bookmarkEnd w:id="846"/>
                      <w:bookmarkEnd w:id="847"/>
                    </w:p>
                    <w:p w14:paraId="068D8607">
                      <w:pPr>
                        <w:jc w:val="center"/>
                        <w:rPr>
                          <w:rFonts w:ascii="Times New Roman" w:hAnsi="Times New Roman" w:eastAsia="黑体"/>
                          <w:b/>
                          <w:bCs/>
                          <w:sz w:val="52"/>
                          <w:szCs w:val="52"/>
                        </w:rPr>
                      </w:pPr>
                      <w:bookmarkStart w:id="848" w:name="_Toc23983"/>
                      <w:bookmarkStart w:id="849" w:name="_Toc10441"/>
                      <w:bookmarkStart w:id="850" w:name="_Toc3685"/>
                      <w:bookmarkStart w:id="851" w:name="_Toc11767"/>
                      <w:bookmarkStart w:id="852" w:name="_Toc6248"/>
                      <w:bookmarkStart w:id="853" w:name="_Toc21880"/>
                      <w:bookmarkStart w:id="854" w:name="_Toc21419"/>
                      <w:bookmarkStart w:id="855" w:name="_Toc27779"/>
                      <w:bookmarkStart w:id="856" w:name="_Toc5217"/>
                      <w:bookmarkStart w:id="857" w:name="_Toc26560"/>
                      <w:r>
                        <w:rPr>
                          <w:rFonts w:ascii="Times New Roman" w:hAnsi="Times New Roman" w:eastAsia="黑体"/>
                          <w:b/>
                          <w:bCs/>
                          <w:sz w:val="52"/>
                          <w:szCs w:val="52"/>
                        </w:rPr>
                        <w:t>预算绩效评价报告</w:t>
                      </w:r>
                      <w:bookmarkEnd w:id="848"/>
                      <w:bookmarkEnd w:id="849"/>
                      <w:bookmarkEnd w:id="850"/>
                      <w:bookmarkEnd w:id="851"/>
                      <w:bookmarkEnd w:id="852"/>
                      <w:bookmarkEnd w:id="853"/>
                      <w:bookmarkEnd w:id="854"/>
                      <w:bookmarkEnd w:id="855"/>
                      <w:bookmarkEnd w:id="856"/>
                      <w:bookmarkEnd w:id="857"/>
                    </w:p>
                    <w:p w14:paraId="5B953B72">
                      <w:pPr>
                        <w:pStyle w:val="2"/>
                        <w:tabs>
                          <w:tab w:val="center" w:pos="4153"/>
                          <w:tab w:val="left" w:pos="4680"/>
                          <w:tab w:val="left" w:pos="4860"/>
                          <w:tab w:val="right" w:pos="8306"/>
                        </w:tabs>
                        <w:spacing w:before="0" w:after="0" w:line="600" w:lineRule="exact"/>
                        <w:jc w:val="center"/>
                        <w:rPr>
                          <w:rFonts w:hint="eastAsia" w:ascii="Times New Roman" w:hAnsi="Times New Roman" w:eastAsia="仿宋_GB2312" w:cs="仿宋_GB2312"/>
                          <w:b/>
                          <w:sz w:val="32"/>
                          <w:szCs w:val="32"/>
                          <w:lang w:val="en-US" w:eastAsia="zh-CN"/>
                        </w:rPr>
                      </w:pPr>
                      <w:r>
                        <w:rPr>
                          <w:rFonts w:hint="eastAsia" w:ascii="Times New Roman" w:hAnsi="Times New Roman" w:eastAsia="仿宋_GB2312" w:cs="仿宋_GB2312"/>
                          <w:b/>
                          <w:sz w:val="32"/>
                          <w:szCs w:val="32"/>
                          <w:lang w:val="en-US" w:eastAsia="zh-CN"/>
                        </w:rPr>
                        <w:t>新高会绩字</w:t>
                      </w:r>
                      <w:r>
                        <w:rPr>
                          <w:rFonts w:hint="eastAsia" w:ascii="Times New Roman" w:hAnsi="Times New Roman" w:eastAsia="仿宋_GB2312" w:cs="Times New Roman"/>
                          <w:b/>
                          <w:kern w:val="2"/>
                          <w:sz w:val="32"/>
                          <w:szCs w:val="32"/>
                          <w:lang w:val="en-US" w:eastAsia="zh-CN" w:bidi="ar-SA"/>
                        </w:rPr>
                        <w:t>[202</w:t>
                      </w:r>
                      <w:r>
                        <w:rPr>
                          <w:rFonts w:hint="eastAsia" w:ascii="Times New Roman" w:hAnsi="Times New Roman" w:cs="Times New Roman"/>
                          <w:b/>
                          <w:kern w:val="2"/>
                          <w:sz w:val="32"/>
                          <w:szCs w:val="32"/>
                          <w:lang w:val="en-US" w:eastAsia="zh-CN" w:bidi="ar-SA"/>
                        </w:rPr>
                        <w:t>6</w:t>
                      </w:r>
                      <w:r>
                        <w:rPr>
                          <w:rFonts w:hint="eastAsia" w:ascii="Times New Roman" w:hAnsi="Times New Roman" w:eastAsia="方正仿宋_GBK"/>
                          <w:b/>
                          <w:bCs/>
                          <w:sz w:val="32"/>
                          <w:szCs w:val="32"/>
                        </w:rPr>
                        <w:t>]</w:t>
                      </w:r>
                      <w:r>
                        <w:rPr>
                          <w:rFonts w:hint="eastAsia" w:ascii="Times New Roman" w:hAnsi="Times New Roman" w:eastAsia="仿宋_GB2312" w:cs="Times New Roman"/>
                          <w:b/>
                          <w:kern w:val="2"/>
                          <w:sz w:val="32"/>
                          <w:szCs w:val="32"/>
                          <w:lang w:val="en-US" w:eastAsia="zh-CN" w:bidi="ar-SA"/>
                        </w:rPr>
                        <w:t>第</w:t>
                      </w:r>
                      <w:r>
                        <w:rPr>
                          <w:rFonts w:hint="eastAsia" w:ascii="Times New Roman" w:hAnsi="Times New Roman" w:cs="Times New Roman"/>
                          <w:b/>
                          <w:kern w:val="2"/>
                          <w:sz w:val="32"/>
                          <w:szCs w:val="32"/>
                          <w:lang w:val="en-US" w:eastAsia="zh-CN" w:bidi="ar-SA"/>
                        </w:rPr>
                        <w:t>060</w:t>
                      </w:r>
                      <w:r>
                        <w:rPr>
                          <w:rFonts w:hint="eastAsia" w:ascii="Times New Roman" w:hAnsi="Times New Roman" w:eastAsia="仿宋_GB2312" w:cs="Times New Roman"/>
                          <w:b/>
                          <w:kern w:val="2"/>
                          <w:sz w:val="32"/>
                          <w:szCs w:val="32"/>
                          <w:lang w:val="en-US" w:eastAsia="zh-CN" w:bidi="ar-SA"/>
                        </w:rPr>
                        <w:t>号</w:t>
                      </w:r>
                    </w:p>
                  </w:txbxContent>
                </v:textbox>
              </v:shape>
            </w:pict>
          </mc:Fallback>
        </mc:AlternateContent>
      </w:r>
    </w:p>
    <w:p w14:paraId="2DD900EC">
      <w:pPr>
        <w:spacing w:before="2856" w:beforeLines="700" w:line="360" w:lineRule="auto"/>
        <w:ind w:firstLine="640" w:firstLineChars="200"/>
        <w:jc w:val="left"/>
        <w:rPr>
          <w:rFonts w:hint="default" w:ascii="Times New Roman" w:hAnsi="Times New Roman" w:eastAsia="黑体"/>
          <w:bCs/>
          <w:sz w:val="32"/>
          <w:szCs w:val="32"/>
          <w:lang w:val="en-US" w:eastAsia="zh-CN"/>
        </w:rPr>
      </w:pPr>
      <w:r>
        <w:rPr>
          <w:rFonts w:hint="eastAsia" w:ascii="Times New Roman" w:hAnsi="Times New Roman" w:eastAsia="黑体" w:cs="黑体"/>
          <w:bCs/>
          <w:kern w:val="0"/>
          <w:sz w:val="32"/>
          <w:szCs w:val="32"/>
        </w:rPr>
        <w:t>项目名称：</w:t>
      </w:r>
      <w:r>
        <w:rPr>
          <w:rFonts w:hint="eastAsia" w:ascii="Times New Roman" w:hAnsi="Times New Roman" w:eastAsia="黑体" w:cs="黑体"/>
          <w:bCs/>
          <w:kern w:val="0"/>
          <w:sz w:val="32"/>
          <w:szCs w:val="32"/>
          <w:lang w:val="en-US" w:eastAsia="zh-CN"/>
        </w:rPr>
        <w:t>2025年新疆是个好地方演出保障项目</w:t>
      </w:r>
    </w:p>
    <w:p w14:paraId="52D8E18F">
      <w:pPr>
        <w:spacing w:line="360" w:lineRule="auto"/>
        <w:ind w:firstLine="640" w:firstLineChars="200"/>
        <w:jc w:val="left"/>
        <w:rPr>
          <w:rFonts w:hint="default" w:ascii="Times New Roman" w:hAnsi="Times New Roman" w:eastAsia="黑体" w:cs="黑体"/>
          <w:bCs/>
          <w:kern w:val="0"/>
          <w:sz w:val="32"/>
          <w:szCs w:val="32"/>
          <w:lang w:val="en-US" w:eastAsia="zh-CN"/>
        </w:rPr>
      </w:pPr>
      <w:r>
        <w:rPr>
          <w:rFonts w:hint="eastAsia" w:ascii="Times New Roman" w:hAnsi="Times New Roman" w:eastAsia="黑体" w:cs="黑体"/>
          <w:bCs/>
          <w:kern w:val="0"/>
          <w:sz w:val="32"/>
          <w:szCs w:val="32"/>
        </w:rPr>
        <w:t>项目单位：</w:t>
      </w:r>
      <w:r>
        <w:rPr>
          <w:rFonts w:hint="eastAsia" w:ascii="Times New Roman" w:hAnsi="Times New Roman" w:eastAsia="黑体" w:cs="黑体"/>
          <w:bCs/>
          <w:kern w:val="0"/>
          <w:sz w:val="32"/>
          <w:szCs w:val="32"/>
          <w:lang w:val="en-US" w:eastAsia="zh-CN"/>
        </w:rPr>
        <w:t>喀什市文化体育广播电视和旅游局</w:t>
      </w:r>
    </w:p>
    <w:p w14:paraId="241CBEC5">
      <w:pPr>
        <w:spacing w:line="360" w:lineRule="auto"/>
        <w:ind w:firstLine="640" w:firstLineChars="200"/>
        <w:jc w:val="left"/>
        <w:rPr>
          <w:rFonts w:hint="eastAsia" w:ascii="Times New Roman" w:hAnsi="Times New Roman" w:eastAsia="黑体" w:cs="黑体"/>
          <w:bCs/>
          <w:kern w:val="0"/>
          <w:sz w:val="32"/>
          <w:szCs w:val="32"/>
        </w:rPr>
      </w:pPr>
      <w:r>
        <w:rPr>
          <w:rFonts w:hint="eastAsia" w:ascii="Times New Roman" w:hAnsi="Times New Roman" w:eastAsia="黑体" w:cs="黑体"/>
          <w:bCs/>
          <w:kern w:val="0"/>
          <w:sz w:val="32"/>
          <w:szCs w:val="32"/>
        </w:rPr>
        <w:t>主管部门：</w:t>
      </w:r>
      <w:r>
        <w:rPr>
          <w:rFonts w:hint="eastAsia" w:ascii="Times New Roman" w:hAnsi="Times New Roman" w:eastAsia="黑体" w:cs="黑体"/>
          <w:bCs/>
          <w:kern w:val="0"/>
          <w:sz w:val="32"/>
          <w:szCs w:val="32"/>
          <w:lang w:val="en-US" w:eastAsia="zh-CN"/>
        </w:rPr>
        <w:t>喀什市文化体育广播电视和旅游局</w:t>
      </w:r>
    </w:p>
    <w:p w14:paraId="0F5D6F6D">
      <w:pPr>
        <w:spacing w:line="360" w:lineRule="auto"/>
        <w:ind w:firstLine="640" w:firstLineChars="200"/>
        <w:jc w:val="left"/>
        <w:rPr>
          <w:rFonts w:hint="eastAsia" w:ascii="Times New Roman" w:hAnsi="Times New Roman" w:eastAsia="黑体" w:cs="黑体"/>
          <w:bCs/>
          <w:sz w:val="32"/>
          <w:szCs w:val="32"/>
        </w:rPr>
      </w:pPr>
      <w:r>
        <w:rPr>
          <w:rFonts w:hint="eastAsia" w:ascii="Times New Roman" w:hAnsi="Times New Roman" w:eastAsia="黑体" w:cs="黑体"/>
          <w:bCs/>
          <w:kern w:val="0"/>
          <w:sz w:val="32"/>
          <w:szCs w:val="32"/>
        </w:rPr>
        <w:t>委托单位：喀什市财政局</w:t>
      </w:r>
    </w:p>
    <w:p w14:paraId="2CEC8ACF">
      <w:pPr>
        <w:spacing w:line="360" w:lineRule="auto"/>
        <w:ind w:firstLine="640" w:firstLineChars="200"/>
        <w:jc w:val="left"/>
        <w:rPr>
          <w:rFonts w:hint="eastAsia" w:ascii="Times New Roman" w:hAnsi="Times New Roman" w:eastAsia="黑体" w:cs="黑体"/>
          <w:bCs/>
          <w:sz w:val="32"/>
          <w:szCs w:val="32"/>
        </w:rPr>
      </w:pPr>
      <w:r>
        <w:rPr>
          <w:rFonts w:hint="eastAsia" w:ascii="Times New Roman" w:hAnsi="Times New Roman" w:eastAsia="黑体" w:cs="黑体"/>
          <w:bCs/>
          <w:kern w:val="0"/>
          <w:sz w:val="32"/>
          <w:szCs w:val="32"/>
        </w:rPr>
        <w:t>评价机构：新疆高博有限责任会计师事务所</w:t>
      </w:r>
    </w:p>
    <w:p w14:paraId="715BFB28">
      <w:pPr>
        <w:spacing w:line="360" w:lineRule="auto"/>
        <w:ind w:firstLine="640" w:firstLineChars="200"/>
        <w:jc w:val="left"/>
        <w:rPr>
          <w:rFonts w:hint="eastAsia" w:ascii="Times New Roman" w:hAnsi="Times New Roman" w:eastAsia="黑体" w:cs="黑体"/>
          <w:bCs/>
          <w:kern w:val="0"/>
          <w:sz w:val="32"/>
          <w:szCs w:val="32"/>
        </w:rPr>
      </w:pPr>
      <w:r>
        <w:rPr>
          <w:rFonts w:hint="eastAsia" w:ascii="Times New Roman" w:hAnsi="Times New Roman" w:eastAsia="黑体" w:cs="黑体"/>
          <w:bCs/>
          <w:kern w:val="0"/>
          <w:sz w:val="32"/>
          <w:szCs w:val="32"/>
        </w:rPr>
        <w:t>主评人：张红霞</w:t>
      </w:r>
    </w:p>
    <w:p w14:paraId="7493BE56">
      <w:pPr>
        <w:pStyle w:val="18"/>
        <w:spacing w:before="204" w:beforeLines="50" w:after="0"/>
        <w:ind w:left="0" w:leftChars="0" w:firstLine="0" w:firstLineChars="0"/>
        <w:jc w:val="center"/>
        <w:rPr>
          <w:rFonts w:hint="eastAsia" w:ascii="Times New Roman" w:hAnsi="Times New Roman" w:eastAsia="仿宋_GB2312" w:cs="Times New Roman"/>
          <w:kern w:val="2"/>
          <w:sz w:val="30"/>
          <w:szCs w:val="24"/>
          <w:lang w:val="en-US" w:eastAsia="zh-CN" w:bidi="ar-SA"/>
        </w:rPr>
      </w:pPr>
      <w:bookmarkStart w:id="0" w:name="_Toc11681"/>
      <w:bookmarkStart w:id="1" w:name="_Toc5178"/>
      <w:r>
        <w:rPr>
          <w:rFonts w:hint="eastAsia" w:ascii="Times New Roman" w:hAnsi="Times New Roman" w:eastAsia="黑体" w:cs="黑体"/>
          <w:kern w:val="0"/>
          <w:sz w:val="32"/>
          <w:szCs w:val="32"/>
          <w:lang w:eastAsia="zh-CN"/>
        </w:rPr>
        <w:t>2026年8月</w:t>
      </w:r>
    </w:p>
    <w:p w14:paraId="0A803A3C">
      <w:pPr>
        <w:pStyle w:val="18"/>
        <w:spacing w:before="204" w:beforeLines="50" w:after="0"/>
        <w:ind w:left="0" w:leftChars="0" w:firstLine="0" w:firstLineChars="0"/>
        <w:jc w:val="center"/>
        <w:rPr>
          <w:rFonts w:ascii="Times New Roman" w:hAnsi="Times New Roman" w:eastAsia="黑体"/>
          <w:sz w:val="44"/>
          <w:szCs w:val="44"/>
        </w:rPr>
        <w:sectPr>
          <w:headerReference r:id="rId3" w:type="default"/>
          <w:footerReference r:id="rId4" w:type="default"/>
          <w:footnotePr>
            <w:numFmt w:val="decimalEnclosedCircleChinese"/>
          </w:footnotePr>
          <w:pgSz w:w="11906" w:h="16838"/>
          <w:pgMar w:top="2835" w:right="1701" w:bottom="1701" w:left="1701" w:header="851" w:footer="992" w:gutter="0"/>
          <w:pgNumType w:start="1"/>
          <w:cols w:space="0" w:num="1"/>
          <w:titlePg/>
          <w:docGrid w:type="lines" w:linePitch="408" w:charSpace="0"/>
        </w:sectPr>
      </w:pPr>
    </w:p>
    <w:p w14:paraId="7F0B2B38">
      <w:pPr>
        <w:pStyle w:val="18"/>
        <w:spacing w:before="204" w:beforeLines="50" w:after="0"/>
        <w:ind w:left="0" w:leftChars="0" w:firstLine="0" w:firstLineChars="0"/>
        <w:jc w:val="center"/>
        <w:rPr>
          <w:rFonts w:ascii="Times New Roman" w:hAnsi="Times New Roman"/>
        </w:rPr>
      </w:pPr>
      <w:r>
        <w:rPr>
          <w:rFonts w:ascii="Times New Roman" w:hAnsi="Times New Roman" w:eastAsia="黑体"/>
          <w:sz w:val="44"/>
          <w:szCs w:val="44"/>
        </w:rPr>
        <w:t>摘</w:t>
      </w:r>
      <w:r>
        <w:rPr>
          <w:rFonts w:hint="eastAsia" w:ascii="Times New Roman" w:hAnsi="Times New Roman" w:eastAsia="黑体"/>
          <w:sz w:val="44"/>
          <w:szCs w:val="44"/>
        </w:rPr>
        <w:t xml:space="preserve">  </w:t>
      </w:r>
      <w:r>
        <w:rPr>
          <w:rFonts w:ascii="Times New Roman" w:hAnsi="Times New Roman" w:eastAsia="黑体"/>
          <w:sz w:val="44"/>
          <w:szCs w:val="44"/>
        </w:rPr>
        <w:t>要</w:t>
      </w:r>
      <w:bookmarkEnd w:id="0"/>
      <w:bookmarkEnd w:id="1"/>
    </w:p>
    <w:p w14:paraId="6E1A0421">
      <w:pPr>
        <w:spacing w:line="560" w:lineRule="exact"/>
        <w:ind w:firstLine="640" w:firstLineChars="200"/>
        <w:rPr>
          <w:rFonts w:ascii="Times New Roman" w:hAnsi="Times New Roman" w:eastAsia="黑体"/>
          <w:kern w:val="0"/>
          <w:sz w:val="32"/>
          <w:szCs w:val="32"/>
          <w:lang w:bidi="en-US"/>
        </w:rPr>
      </w:pPr>
      <w:bookmarkStart w:id="2" w:name="_Toc21206"/>
      <w:r>
        <w:rPr>
          <w:rFonts w:hint="eastAsia" w:ascii="Times New Roman" w:hAnsi="Times New Roman" w:eastAsia="黑体"/>
          <w:kern w:val="0"/>
          <w:sz w:val="32"/>
          <w:szCs w:val="32"/>
          <w:lang w:bidi="en-US"/>
        </w:rPr>
        <w:t>一、</w:t>
      </w:r>
      <w:r>
        <w:rPr>
          <w:rFonts w:ascii="Times New Roman" w:hAnsi="Times New Roman" w:eastAsia="黑体"/>
          <w:kern w:val="0"/>
          <w:sz w:val="32"/>
          <w:szCs w:val="32"/>
          <w:lang w:bidi="en-US"/>
        </w:rPr>
        <w:t>项目概述</w:t>
      </w:r>
      <w:bookmarkEnd w:id="2"/>
    </w:p>
    <w:p w14:paraId="0A6CF703">
      <w:pPr>
        <w:spacing w:line="560" w:lineRule="exact"/>
        <w:ind w:firstLine="643" w:firstLineChars="200"/>
        <w:rPr>
          <w:rFonts w:ascii="Times New Roman" w:hAnsi="Times New Roman" w:eastAsia="楷体"/>
          <w:b/>
          <w:bCs/>
          <w:sz w:val="32"/>
          <w:szCs w:val="32"/>
        </w:rPr>
      </w:pPr>
      <w:r>
        <w:rPr>
          <w:rFonts w:hint="eastAsia" w:ascii="Times New Roman" w:hAnsi="Times New Roman" w:eastAsia="楷体"/>
          <w:b/>
          <w:bCs/>
          <w:sz w:val="32"/>
          <w:szCs w:val="32"/>
        </w:rPr>
        <w:t>（一）</w:t>
      </w:r>
      <w:r>
        <w:rPr>
          <w:rFonts w:ascii="Times New Roman" w:hAnsi="Times New Roman" w:eastAsia="楷体"/>
          <w:b/>
          <w:bCs/>
          <w:sz w:val="32"/>
          <w:szCs w:val="32"/>
        </w:rPr>
        <w:t>项目概述</w:t>
      </w:r>
    </w:p>
    <w:p w14:paraId="085A4F45">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为巩固2024年央视春晚喀什分会场效应，持续叫响</w:t>
      </w:r>
      <w:r>
        <w:rPr>
          <w:rFonts w:hint="eastAsia" w:ascii="Times New Roman" w:hAnsi="Times New Roman"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不到喀什，不算到新疆</w:t>
      </w:r>
      <w:r>
        <w:rPr>
          <w:rFonts w:hint="eastAsia" w:ascii="Times New Roman" w:hAnsi="Times New Roman"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文旅品牌，喀什市决定依托春晚分会场舞台开展《新疆是个好地方》大型主题演出。本项目通过租赁专业灯光音响设备、修复舞台看台及开展宣传推广，保障演出高质量呈现，预算49.40万元，旨在评价财政资金使用效率与效益，为喀什文旅产业高质量发展提供支撑。</w:t>
      </w:r>
    </w:p>
    <w:p w14:paraId="1166E117">
      <w:pPr>
        <w:spacing w:line="560" w:lineRule="exact"/>
        <w:ind w:firstLine="643" w:firstLineChars="200"/>
        <w:rPr>
          <w:rFonts w:ascii="Times New Roman" w:hAnsi="Times New Roman" w:eastAsia="楷体"/>
          <w:b/>
          <w:bCs/>
          <w:sz w:val="32"/>
          <w:szCs w:val="32"/>
        </w:rPr>
      </w:pPr>
      <w:r>
        <w:rPr>
          <w:rFonts w:hint="eastAsia" w:ascii="Times New Roman" w:hAnsi="Times New Roman" w:eastAsia="楷体"/>
          <w:b/>
          <w:bCs/>
          <w:sz w:val="32"/>
          <w:szCs w:val="32"/>
        </w:rPr>
        <w:t>（二）</w:t>
      </w:r>
      <w:r>
        <w:rPr>
          <w:rFonts w:ascii="Times New Roman" w:hAnsi="Times New Roman" w:eastAsia="楷体"/>
          <w:b/>
          <w:bCs/>
          <w:sz w:val="32"/>
          <w:szCs w:val="32"/>
        </w:rPr>
        <w:t>项目实施情况</w:t>
      </w:r>
    </w:p>
    <w:p w14:paraId="696B1E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rPr>
        <w:t>截至2025年12月31日，</w:t>
      </w:r>
      <w:r>
        <w:rPr>
          <w:rFonts w:hint="eastAsia" w:ascii="Times New Roman" w:hAnsi="Times New Roman" w:cs="Times New Roman"/>
          <w:sz w:val="32"/>
          <w:szCs w:val="32"/>
          <w:lang w:val="en-US" w:eastAsia="zh-CN"/>
        </w:rPr>
        <w:t>本项目实际支出资金49.40万元，用于开展《新疆是个好地方》演出补助</w:t>
      </w:r>
      <w:r>
        <w:rPr>
          <w:rFonts w:hint="eastAsia" w:ascii="Times New Roman" w:hAnsi="Times New Roman" w:cs="Times New Roman"/>
          <w:sz w:val="32"/>
          <w:szCs w:val="32"/>
        </w:rPr>
        <w:t>。</w:t>
      </w:r>
      <w:r>
        <w:rPr>
          <w:rFonts w:hint="eastAsia" w:ascii="Times New Roman" w:hAnsi="Times New Roman" w:cs="Times New Roman"/>
          <w:sz w:val="32"/>
          <w:szCs w:val="32"/>
          <w:lang w:val="en-US" w:eastAsia="zh-CN"/>
        </w:rPr>
        <w:t>重点围绕演出设施升级与运行保障展开。一是完成演出核心设备租赁，包括切割灯、摇头灯等专业灯光系统租赁费用合计21.34万元，确保舞台视觉效果达到演出标准；二是投入演出设备租赁费24.99万元，涵盖音响、舞台机械、幕布等配套器材，全面满足各类演出场景需求；三是强化后勤保障，安排演出送餐服务资金0.58万元，确保演职人员连续排演期间的后勤补给；四是注重宣传推广，投入广告宣传资料费2.49万元，用于制作演出海报、节目单、宣传折页等，扩大演出社会影响力。通过实施本项目，提升了演出整体质量和视觉效果，有效保障了演出的顺利开展。项目实施在凝聚人心、促进文化交流、展示新疆美好形象方面取得了积极成效。</w:t>
      </w:r>
    </w:p>
    <w:p w14:paraId="79E39563">
      <w:pPr>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（三）绩效目标</w:t>
      </w:r>
    </w:p>
    <w:p w14:paraId="2A77FEB1">
      <w:pPr>
        <w:spacing w:line="560" w:lineRule="exact"/>
        <w:ind w:firstLine="643" w:firstLineChars="200"/>
        <w:jc w:val="left"/>
        <w:rPr>
          <w:rFonts w:ascii="Times New Roman" w:hAnsi="Times New Roman"/>
          <w:sz w:val="32"/>
          <w:szCs w:val="32"/>
          <w:highlight w:val="none"/>
        </w:rPr>
      </w:pPr>
      <w:r>
        <w:rPr>
          <w:rFonts w:hint="eastAsia" w:ascii="Times New Roman" w:hAnsi="Times New Roman"/>
          <w:b/>
          <w:bCs/>
          <w:sz w:val="32"/>
          <w:szCs w:val="32"/>
          <w:highlight w:val="none"/>
        </w:rPr>
        <w:t>1.总体目标</w:t>
      </w:r>
    </w:p>
    <w:p w14:paraId="7760DB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cs="Times New Roman"/>
          <w:sz w:val="32"/>
          <w:szCs w:val="32"/>
        </w:rPr>
        <w:t>通过租赁专业灯光音响设备、修复舞台看台及开展广告宣传，保障2025年《新疆是个好地方》大型演出活动的顺利举办。依托专业设备与高质量的舞台保障，显著提升《新疆是个好地方》演出的视听呈现效果，增强演出的艺术感染力与观赏性。为喀什市常态化开展文旅演出活动提供坚实的硬件保障基础，确保演出能够持续、稳定、高质量地服务于本地群众和外来游客。通过高质量的演出，更好地宣传喀什独特的自然景观、人文景观和民俗风情，推动喀什经济文化产业发展，持续叫响“不到喀什</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不算到新疆”文旅品牌。</w:t>
      </w:r>
    </w:p>
    <w:p w14:paraId="467A9854">
      <w:pPr>
        <w:spacing w:line="560" w:lineRule="exact"/>
        <w:ind w:firstLine="643" w:firstLineChars="200"/>
        <w:jc w:val="left"/>
        <w:rPr>
          <w:rFonts w:hint="eastAsia" w:ascii="Times New Roman" w:hAnsi="Times New Roman" w:cs="Times New Roman"/>
          <w:sz w:val="32"/>
          <w:szCs w:val="32"/>
          <w:lang w:val="en-US" w:eastAsia="zh-CN"/>
        </w:rPr>
      </w:pPr>
      <w:r>
        <w:rPr>
          <w:rFonts w:hint="eastAsia" w:ascii="Times New Roman" w:hAnsi="Times New Roman"/>
          <w:b/>
          <w:bCs/>
          <w:sz w:val="32"/>
          <w:szCs w:val="32"/>
          <w:highlight w:val="none"/>
        </w:rPr>
        <w:t>2.阶段性目标</w:t>
      </w:r>
    </w:p>
    <w:p w14:paraId="0674C961">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cs="Times New Roman"/>
          <w:sz w:val="32"/>
          <w:szCs w:val="32"/>
        </w:rPr>
        <w:t>预算</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。设置了4个一级指标，6个二级指标，</w:t>
      </w:r>
      <w:r>
        <w:rPr>
          <w:rFonts w:hint="eastAsia" w:ascii="Times New Roman" w:hAnsi="Times New Roman" w:cs="Times New Roman"/>
          <w:sz w:val="32"/>
          <w:szCs w:val="32"/>
          <w:lang w:val="en-US" w:eastAsia="zh-CN"/>
        </w:rPr>
        <w:t>13</w:t>
      </w:r>
      <w:r>
        <w:rPr>
          <w:rFonts w:hint="eastAsia" w:ascii="Times New Roman" w:hAnsi="Times New Roman" w:cs="Times New Roman"/>
          <w:sz w:val="32"/>
          <w:szCs w:val="32"/>
        </w:rPr>
        <w:t>个三级指标，具体情况如下：</w:t>
      </w:r>
    </w:p>
    <w:p w14:paraId="1C4156DB">
      <w:pPr>
        <w:pStyle w:val="18"/>
        <w:spacing w:after="0" w:line="300" w:lineRule="exact"/>
        <w:ind w:left="0" w:leftChars="0" w:firstLine="0" w:firstLineChars="0"/>
        <w:jc w:val="center"/>
        <w:rPr>
          <w:rFonts w:hint="eastAsia" w:ascii="Times New Roman" w:hAnsi="Times New Roman" w:cs="仿宋_GB2312"/>
          <w:b/>
          <w:bCs/>
          <w:sz w:val="24"/>
        </w:rPr>
      </w:pPr>
      <w:r>
        <w:rPr>
          <w:rFonts w:hint="eastAsia" w:ascii="Times New Roman" w:hAnsi="Times New Roman" w:cs="仿宋_GB2312"/>
          <w:b/>
          <w:bCs/>
          <w:sz w:val="24"/>
          <w:lang w:val="en-US" w:eastAsia="zh-CN"/>
        </w:rPr>
        <w:t>2025年新疆是个好地方演出保障项目</w:t>
      </w:r>
      <w:r>
        <w:rPr>
          <w:rFonts w:hint="eastAsia" w:ascii="Times New Roman" w:hAnsi="Times New Roman" w:cs="仿宋_GB2312"/>
          <w:b/>
          <w:bCs/>
          <w:sz w:val="24"/>
        </w:rPr>
        <w:t>目标表</w:t>
      </w:r>
    </w:p>
    <w:tbl>
      <w:tblPr>
        <w:tblStyle w:val="19"/>
        <w:tblW w:w="896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01"/>
        <w:gridCol w:w="4252"/>
        <w:gridCol w:w="1581"/>
      </w:tblGrid>
      <w:tr w14:paraId="4739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1433" w:type="dxa"/>
            <w:tcBorders>
              <w:tl2br w:val="nil"/>
              <w:tr2bl w:val="nil"/>
            </w:tcBorders>
            <w:shd w:val="clear" w:color="auto" w:fill="EEECE1" w:themeFill="background2"/>
            <w:vAlign w:val="center"/>
          </w:tcPr>
          <w:p w14:paraId="2B3B50F8">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一级指标</w:t>
            </w:r>
          </w:p>
        </w:tc>
        <w:tc>
          <w:tcPr>
            <w:tcW w:w="1701" w:type="dxa"/>
            <w:tcBorders>
              <w:tl2br w:val="nil"/>
              <w:tr2bl w:val="nil"/>
            </w:tcBorders>
            <w:shd w:val="clear" w:color="auto" w:fill="EEECE1" w:themeFill="background2"/>
            <w:vAlign w:val="center"/>
          </w:tcPr>
          <w:p w14:paraId="6F446891">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二级指标</w:t>
            </w:r>
          </w:p>
        </w:tc>
        <w:tc>
          <w:tcPr>
            <w:tcW w:w="4252" w:type="dxa"/>
            <w:tcBorders>
              <w:tl2br w:val="nil"/>
              <w:tr2bl w:val="nil"/>
            </w:tcBorders>
            <w:shd w:val="clear" w:color="auto" w:fill="EEECE1" w:themeFill="background2"/>
            <w:vAlign w:val="center"/>
          </w:tcPr>
          <w:p w14:paraId="15A17AA2">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三级指标</w:t>
            </w:r>
          </w:p>
        </w:tc>
        <w:tc>
          <w:tcPr>
            <w:tcW w:w="1581" w:type="dxa"/>
            <w:tcBorders>
              <w:tl2br w:val="nil"/>
              <w:tr2bl w:val="nil"/>
            </w:tcBorders>
            <w:shd w:val="clear" w:color="auto" w:fill="EEECE1" w:themeFill="background2"/>
            <w:vAlign w:val="center"/>
          </w:tcPr>
          <w:p w14:paraId="12162E90">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年度指标值</w:t>
            </w:r>
          </w:p>
        </w:tc>
      </w:tr>
      <w:tr w14:paraId="1A4A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45925C97">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产出指标</w:t>
            </w:r>
          </w:p>
        </w:tc>
        <w:tc>
          <w:tcPr>
            <w:tcW w:w="1701" w:type="dxa"/>
            <w:vMerge w:val="restart"/>
            <w:tcBorders>
              <w:tl2br w:val="nil"/>
              <w:tr2bl w:val="nil"/>
            </w:tcBorders>
            <w:vAlign w:val="center"/>
          </w:tcPr>
          <w:p w14:paraId="1E1C845A">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数量指标</w:t>
            </w:r>
          </w:p>
        </w:tc>
        <w:tc>
          <w:tcPr>
            <w:tcW w:w="4252" w:type="dxa"/>
            <w:tcBorders>
              <w:tl2br w:val="nil"/>
              <w:tr2bl w:val="nil"/>
            </w:tcBorders>
            <w:noWrap/>
            <w:vAlign w:val="center"/>
          </w:tcPr>
          <w:p w14:paraId="01C5C8A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演出广告宣传场次</w:t>
            </w:r>
          </w:p>
        </w:tc>
        <w:tc>
          <w:tcPr>
            <w:tcW w:w="1581" w:type="dxa"/>
            <w:tcBorders>
              <w:tl2br w:val="nil"/>
              <w:tr2bl w:val="nil"/>
            </w:tcBorders>
            <w:vAlign w:val="center"/>
          </w:tcPr>
          <w:p w14:paraId="30126B3D">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&gt;=1场次</w:t>
            </w:r>
          </w:p>
        </w:tc>
      </w:tr>
      <w:tr w14:paraId="7FE0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86D24FB">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20C17DA7">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4AF8DAD5">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租赁灯光设备数量</w:t>
            </w:r>
          </w:p>
        </w:tc>
        <w:tc>
          <w:tcPr>
            <w:tcW w:w="1581" w:type="dxa"/>
            <w:tcBorders>
              <w:tl2br w:val="nil"/>
              <w:tr2bl w:val="nil"/>
            </w:tcBorders>
            <w:vAlign w:val="center"/>
          </w:tcPr>
          <w:p w14:paraId="4A6C335D">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rPr>
              <w:t>&gt;=</w:t>
            </w:r>
            <w:r>
              <w:rPr>
                <w:rFonts w:hint="eastAsia" w:ascii="Times New Roman" w:hAnsi="Times New Roman"/>
                <w:sz w:val="22"/>
                <w:szCs w:val="22"/>
                <w:lang w:val="en-US" w:eastAsia="zh-CN"/>
              </w:rPr>
              <w:t>2批次</w:t>
            </w:r>
          </w:p>
        </w:tc>
      </w:tr>
      <w:tr w14:paraId="2F0B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6B5BFB98">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102DCFE5">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742B4421">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演出租赁设备数量</w:t>
            </w:r>
          </w:p>
        </w:tc>
        <w:tc>
          <w:tcPr>
            <w:tcW w:w="1581" w:type="dxa"/>
            <w:tcBorders>
              <w:tl2br w:val="nil"/>
              <w:tr2bl w:val="nil"/>
            </w:tcBorders>
            <w:vAlign w:val="center"/>
          </w:tcPr>
          <w:p w14:paraId="5C321855">
            <w:pPr>
              <w:pStyle w:val="18"/>
              <w:spacing w:after="0" w:line="300" w:lineRule="exact"/>
              <w:ind w:left="0" w:leftChars="0" w:firstLine="0" w:firstLineChars="0"/>
              <w:jc w:val="center"/>
              <w:rPr>
                <w:rFonts w:hint="eastAsia" w:ascii="Times New Roman" w:hAnsi="Times New Roman" w:eastAsia="仿宋_GB2312"/>
                <w:sz w:val="22"/>
                <w:szCs w:val="22"/>
                <w:lang w:eastAsia="zh-CN"/>
              </w:rPr>
            </w:pPr>
            <w:r>
              <w:rPr>
                <w:rFonts w:hint="eastAsia" w:ascii="Times New Roman" w:hAnsi="Times New Roman"/>
                <w:sz w:val="22"/>
                <w:szCs w:val="22"/>
              </w:rPr>
              <w:t>&gt;=1</w:t>
            </w:r>
            <w:r>
              <w:rPr>
                <w:rFonts w:hint="eastAsia" w:ascii="Times New Roman" w:hAnsi="Times New Roman"/>
                <w:sz w:val="22"/>
                <w:szCs w:val="22"/>
                <w:lang w:val="en-US" w:eastAsia="zh-CN"/>
              </w:rPr>
              <w:t>批次</w:t>
            </w:r>
          </w:p>
        </w:tc>
      </w:tr>
      <w:tr w14:paraId="0DDC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E8611F9">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11FF9805">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质量指标</w:t>
            </w:r>
          </w:p>
        </w:tc>
        <w:tc>
          <w:tcPr>
            <w:tcW w:w="4252" w:type="dxa"/>
            <w:tcBorders>
              <w:tl2br w:val="nil"/>
              <w:tr2bl w:val="nil"/>
            </w:tcBorders>
            <w:noWrap/>
            <w:vAlign w:val="center"/>
          </w:tcPr>
          <w:p w14:paraId="4172ACB4">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设备验收合格率</w:t>
            </w:r>
          </w:p>
        </w:tc>
        <w:tc>
          <w:tcPr>
            <w:tcW w:w="1581" w:type="dxa"/>
            <w:tcBorders>
              <w:tl2br w:val="nil"/>
              <w:tr2bl w:val="nil"/>
            </w:tcBorders>
            <w:vAlign w:val="center"/>
          </w:tcPr>
          <w:p w14:paraId="3412CFFC">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=100%</w:t>
            </w:r>
          </w:p>
        </w:tc>
      </w:tr>
      <w:tr w14:paraId="03DF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238A64B4">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7A4204F0">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时效指标</w:t>
            </w:r>
          </w:p>
        </w:tc>
        <w:tc>
          <w:tcPr>
            <w:tcW w:w="4252" w:type="dxa"/>
            <w:tcBorders>
              <w:tl2br w:val="nil"/>
              <w:tr2bl w:val="nil"/>
            </w:tcBorders>
            <w:noWrap/>
            <w:vAlign w:val="center"/>
          </w:tcPr>
          <w:p w14:paraId="5ECA18D3">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设备租赁及时率</w:t>
            </w:r>
          </w:p>
        </w:tc>
        <w:tc>
          <w:tcPr>
            <w:tcW w:w="1581" w:type="dxa"/>
            <w:tcBorders>
              <w:tl2br w:val="nil"/>
              <w:tr2bl w:val="nil"/>
            </w:tcBorders>
            <w:vAlign w:val="center"/>
          </w:tcPr>
          <w:p w14:paraId="47BDDB2F">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=100%</w:t>
            </w:r>
          </w:p>
        </w:tc>
      </w:tr>
      <w:tr w14:paraId="0E4B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6BC745D1">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成本指标</w:t>
            </w:r>
          </w:p>
        </w:tc>
        <w:tc>
          <w:tcPr>
            <w:tcW w:w="1701" w:type="dxa"/>
            <w:vMerge w:val="restart"/>
            <w:tcBorders>
              <w:tl2br w:val="nil"/>
              <w:tr2bl w:val="nil"/>
            </w:tcBorders>
            <w:vAlign w:val="center"/>
          </w:tcPr>
          <w:p w14:paraId="5CDE431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经济</w:t>
            </w:r>
            <w:r>
              <w:rPr>
                <w:rFonts w:ascii="Times New Roman" w:hAnsi="Times New Roman"/>
                <w:sz w:val="22"/>
                <w:szCs w:val="22"/>
              </w:rPr>
              <w:t>成本指标</w:t>
            </w:r>
          </w:p>
        </w:tc>
        <w:tc>
          <w:tcPr>
            <w:tcW w:w="4252" w:type="dxa"/>
            <w:tcBorders>
              <w:tl2br w:val="nil"/>
              <w:tr2bl w:val="nil"/>
            </w:tcBorders>
            <w:noWrap/>
            <w:vAlign w:val="center"/>
          </w:tcPr>
          <w:p w14:paraId="4E09B186">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演出切割灯租赁费支出</w:t>
            </w:r>
          </w:p>
        </w:tc>
        <w:tc>
          <w:tcPr>
            <w:tcW w:w="1581" w:type="dxa"/>
            <w:tcBorders>
              <w:tl2br w:val="nil"/>
              <w:tr2bl w:val="nil"/>
            </w:tcBorders>
            <w:vAlign w:val="center"/>
          </w:tcPr>
          <w:p w14:paraId="08FCFB2B">
            <w:pPr>
              <w:widowControl/>
              <w:jc w:val="center"/>
              <w:textAlignment w:val="center"/>
              <w:rPr>
                <w:rFonts w:ascii="Times New Roman" w:hAnsi="Times New Roman"/>
                <w:sz w:val="22"/>
                <w:szCs w:val="22"/>
              </w:rPr>
            </w:pPr>
            <w:r>
              <w:rPr>
                <w:rFonts w:hint="eastAsia" w:ascii="Times New Roman" w:hAnsi="Times New Roman" w:eastAsia="等线"/>
                <w:color w:val="000000"/>
                <w:kern w:val="0"/>
                <w:sz w:val="22"/>
                <w:szCs w:val="22"/>
                <w:lang w:bidi="ar"/>
              </w:rPr>
              <w:t>&lt;=0.77万元</w:t>
            </w:r>
          </w:p>
        </w:tc>
      </w:tr>
      <w:tr w14:paraId="0F34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FC87822">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377BFBF2">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426F7654">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演出摇头灯租赁费支出</w:t>
            </w:r>
          </w:p>
        </w:tc>
        <w:tc>
          <w:tcPr>
            <w:tcW w:w="1581" w:type="dxa"/>
            <w:tcBorders>
              <w:tl2br w:val="nil"/>
              <w:tr2bl w:val="nil"/>
            </w:tcBorders>
            <w:vAlign w:val="center"/>
          </w:tcPr>
          <w:p w14:paraId="72F972A6">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&lt;=20.57万元</w:t>
            </w:r>
          </w:p>
        </w:tc>
      </w:tr>
      <w:tr w14:paraId="42FC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65BB07DC">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6EF38C34">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3B29C7C6">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rPr>
              <w:t>演出设备租赁费支出</w:t>
            </w:r>
          </w:p>
        </w:tc>
        <w:tc>
          <w:tcPr>
            <w:tcW w:w="1581" w:type="dxa"/>
            <w:tcBorders>
              <w:tl2br w:val="nil"/>
              <w:tr2bl w:val="nil"/>
            </w:tcBorders>
            <w:vAlign w:val="center"/>
          </w:tcPr>
          <w:p w14:paraId="40B830E9">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&lt;=24.99万元</w:t>
            </w:r>
          </w:p>
        </w:tc>
      </w:tr>
      <w:tr w14:paraId="1222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412DD4D7">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0E5B434B">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07DE6977">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rPr>
              <w:t>演出送餐保障资金费支出</w:t>
            </w:r>
          </w:p>
        </w:tc>
        <w:tc>
          <w:tcPr>
            <w:tcW w:w="1581" w:type="dxa"/>
            <w:tcBorders>
              <w:tl2br w:val="nil"/>
              <w:tr2bl w:val="nil"/>
            </w:tcBorders>
            <w:vAlign w:val="center"/>
          </w:tcPr>
          <w:p w14:paraId="3F077E82">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&lt;=0.58万元</w:t>
            </w:r>
          </w:p>
        </w:tc>
      </w:tr>
      <w:tr w14:paraId="21F1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2892DED2">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28394BFA">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5F361128">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rPr>
              <w:t>演出广告宣传资料费支出</w:t>
            </w:r>
          </w:p>
        </w:tc>
        <w:tc>
          <w:tcPr>
            <w:tcW w:w="1581" w:type="dxa"/>
            <w:tcBorders>
              <w:tl2br w:val="nil"/>
              <w:tr2bl w:val="nil"/>
            </w:tcBorders>
            <w:vAlign w:val="center"/>
          </w:tcPr>
          <w:p w14:paraId="1AA4CFAA">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&lt;=2.49万元</w:t>
            </w:r>
          </w:p>
        </w:tc>
      </w:tr>
      <w:tr w14:paraId="57F3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restart"/>
            <w:tcBorders>
              <w:tl2br w:val="nil"/>
              <w:tr2bl w:val="nil"/>
            </w:tcBorders>
            <w:vAlign w:val="center"/>
          </w:tcPr>
          <w:p w14:paraId="20E2666C">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效益指标</w:t>
            </w:r>
          </w:p>
        </w:tc>
        <w:tc>
          <w:tcPr>
            <w:tcW w:w="1701" w:type="dxa"/>
            <w:vMerge w:val="restart"/>
            <w:tcBorders>
              <w:tl2br w:val="nil"/>
              <w:tr2bl w:val="nil"/>
            </w:tcBorders>
            <w:vAlign w:val="center"/>
          </w:tcPr>
          <w:p w14:paraId="1ED0F5A9">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社会效益指标</w:t>
            </w:r>
          </w:p>
        </w:tc>
        <w:tc>
          <w:tcPr>
            <w:tcW w:w="4252" w:type="dxa"/>
            <w:tcBorders>
              <w:tl2br w:val="nil"/>
              <w:tr2bl w:val="nil"/>
            </w:tcBorders>
            <w:noWrap/>
            <w:vAlign w:val="center"/>
          </w:tcPr>
          <w:p w14:paraId="73C61F7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提升演出质量和效果</w:t>
            </w:r>
          </w:p>
        </w:tc>
        <w:tc>
          <w:tcPr>
            <w:tcW w:w="1581" w:type="dxa"/>
            <w:tcBorders>
              <w:tl2br w:val="nil"/>
              <w:tr2bl w:val="nil"/>
            </w:tcBorders>
            <w:vAlign w:val="center"/>
          </w:tcPr>
          <w:p w14:paraId="01B425F1">
            <w:pPr>
              <w:widowControl/>
              <w:jc w:val="center"/>
              <w:textAlignment w:val="center"/>
              <w:rPr>
                <w:rFonts w:ascii="Times New Roman" w:hAnsi="Times New Roman"/>
                <w:sz w:val="22"/>
                <w:szCs w:val="22"/>
              </w:rPr>
            </w:pPr>
            <w:r>
              <w:rPr>
                <w:rFonts w:hint="eastAsia" w:ascii="Times New Roman" w:hAnsi="Times New Roman" w:eastAsia="等线"/>
                <w:color w:val="000000"/>
                <w:kern w:val="0"/>
                <w:sz w:val="22"/>
                <w:szCs w:val="22"/>
                <w:lang w:bidi="ar"/>
              </w:rPr>
              <w:t>提升</w:t>
            </w:r>
          </w:p>
        </w:tc>
      </w:tr>
      <w:tr w14:paraId="0382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4BD0FC05">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58AD1053">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54635581">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满足日常演出需求</w:t>
            </w:r>
          </w:p>
        </w:tc>
        <w:tc>
          <w:tcPr>
            <w:tcW w:w="1581" w:type="dxa"/>
            <w:tcBorders>
              <w:tl2br w:val="nil"/>
              <w:tr2bl w:val="nil"/>
            </w:tcBorders>
            <w:vAlign w:val="center"/>
          </w:tcPr>
          <w:p w14:paraId="64BBDD77">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满足</w:t>
            </w:r>
          </w:p>
        </w:tc>
      </w:tr>
      <w:tr w14:paraId="70E9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tcBorders>
              <w:tl2br w:val="nil"/>
              <w:tr2bl w:val="nil"/>
            </w:tcBorders>
            <w:vAlign w:val="center"/>
          </w:tcPr>
          <w:p w14:paraId="551F91B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1701" w:type="dxa"/>
            <w:tcBorders>
              <w:tl2br w:val="nil"/>
              <w:tr2bl w:val="nil"/>
            </w:tcBorders>
            <w:vAlign w:val="center"/>
          </w:tcPr>
          <w:p w14:paraId="5B079D9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4252" w:type="dxa"/>
            <w:tcBorders>
              <w:tl2br w:val="nil"/>
              <w:tr2bl w:val="nil"/>
            </w:tcBorders>
            <w:noWrap/>
            <w:vAlign w:val="center"/>
          </w:tcPr>
          <w:p w14:paraId="155F2373">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演出人员满意度</w:t>
            </w:r>
          </w:p>
        </w:tc>
        <w:tc>
          <w:tcPr>
            <w:tcW w:w="1581" w:type="dxa"/>
            <w:tcBorders>
              <w:tl2br w:val="nil"/>
              <w:tr2bl w:val="nil"/>
            </w:tcBorders>
            <w:vAlign w:val="center"/>
          </w:tcPr>
          <w:p w14:paraId="47FB466C">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&gt;</w:t>
            </w:r>
            <w:r>
              <w:rPr>
                <w:rFonts w:hint="eastAsia" w:ascii="Times New Roman" w:hAnsi="Times New Roman"/>
                <w:sz w:val="22"/>
                <w:szCs w:val="22"/>
              </w:rPr>
              <w:t>=95</w:t>
            </w:r>
            <w:r>
              <w:rPr>
                <w:rFonts w:ascii="Times New Roman" w:hAnsi="Times New Roman"/>
                <w:sz w:val="22"/>
                <w:szCs w:val="22"/>
              </w:rPr>
              <w:t>%</w:t>
            </w:r>
          </w:p>
        </w:tc>
      </w:tr>
    </w:tbl>
    <w:p w14:paraId="192772E3">
      <w:pPr>
        <w:widowControl/>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二、绩效评价情况</w:t>
      </w:r>
    </w:p>
    <w:p w14:paraId="23699B9A">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（一）评价结论</w:t>
      </w:r>
    </w:p>
    <w:p w14:paraId="73B975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highlight w:val="none"/>
        </w:rPr>
        <w:t>依</w:t>
      </w:r>
      <w:r>
        <w:rPr>
          <w:rFonts w:hint="eastAsia" w:ascii="Times New Roman" w:hAnsi="Times New Roman"/>
          <w:sz w:val="32"/>
          <w:szCs w:val="32"/>
        </w:rPr>
        <w:t>据</w:t>
      </w:r>
      <w:r>
        <w:rPr>
          <w:rFonts w:hint="eastAsia" w:ascii="Times New Roman" w:hAnsi="Times New Roman"/>
          <w:sz w:val="32"/>
          <w:szCs w:val="32"/>
          <w:lang w:eastAsia="zh-CN"/>
        </w:rPr>
        <w:t>《中共中央 国务院</w:t>
      </w:r>
      <w:r>
        <w:rPr>
          <w:rFonts w:hint="eastAsia" w:ascii="Times New Roman" w:hAnsi="Times New Roman"/>
          <w:sz w:val="32"/>
          <w:szCs w:val="32"/>
        </w:rPr>
        <w:t>关于全面实施预算绩效管理的意见》《项目支出绩效评价管理办法》（财预〔2020〕10号）以及《关于进一步加强和规范喀什地区项目支出“全过程”预算绩效管理结果应用的通知》（喀地财绩〔2022〕2号）文件，绩效评价总分设置为100分，划分为四档：90（含）-100分为“优”、80（含）-90分为“良”、70（含）-80分为“中”、70分以下为“差”。该项目最终评分结果：</w:t>
      </w:r>
      <w:r>
        <w:rPr>
          <w:rFonts w:hint="eastAsia" w:ascii="Times New Roman" w:hAnsi="Times New Roman"/>
          <w:sz w:val="32"/>
          <w:szCs w:val="32"/>
          <w:highlight w:val="none"/>
        </w:rPr>
        <w:t>评价总分</w:t>
      </w:r>
      <w:r>
        <w:rPr>
          <w:rFonts w:hint="eastAsia" w:ascii="Times New Roman" w:hAnsi="Times New Roman"/>
          <w:sz w:val="32"/>
          <w:szCs w:val="32"/>
          <w:highlight w:val="none"/>
          <w:lang w:val="en-US" w:eastAsia="zh-CN"/>
        </w:rPr>
        <w:t>92</w:t>
      </w:r>
      <w:r>
        <w:rPr>
          <w:rFonts w:hint="eastAsia" w:ascii="Times New Roman" w:hAnsi="Times New Roman"/>
          <w:sz w:val="32"/>
          <w:szCs w:val="32"/>
          <w:highlight w:val="none"/>
        </w:rPr>
        <w:t>分，</w:t>
      </w:r>
      <w:r>
        <w:rPr>
          <w:rFonts w:hint="eastAsia" w:ascii="Times New Roman" w:hAnsi="Times New Roman"/>
          <w:sz w:val="32"/>
          <w:szCs w:val="32"/>
        </w:rPr>
        <w:t>绩效等级为</w:t>
      </w:r>
      <w:r>
        <w:rPr>
          <w:rFonts w:hint="eastAsia" w:ascii="Times New Roman" w:hAnsi="Times New Roman"/>
          <w:sz w:val="32"/>
          <w:szCs w:val="32"/>
          <w:highlight w:val="none"/>
        </w:rPr>
        <w:t>“</w:t>
      </w:r>
      <w:r>
        <w:rPr>
          <w:rFonts w:hint="eastAsia" w:ascii="Times New Roman" w:hAnsi="Times New Roman"/>
          <w:sz w:val="32"/>
          <w:szCs w:val="32"/>
          <w:highlight w:val="none"/>
          <w:lang w:val="en-US" w:eastAsia="zh-CN"/>
        </w:rPr>
        <w:t>优</w:t>
      </w:r>
      <w:r>
        <w:rPr>
          <w:rFonts w:hint="eastAsia" w:ascii="Times New Roman" w:hAnsi="Times New Roman"/>
          <w:sz w:val="32"/>
          <w:szCs w:val="32"/>
          <w:highlight w:val="none"/>
        </w:rPr>
        <w:t>”。</w:t>
      </w:r>
      <w:r>
        <w:rPr>
          <w:rFonts w:hint="eastAsia" w:ascii="Times New Roman" w:hAnsi="Times New Roman"/>
          <w:sz w:val="32"/>
          <w:szCs w:val="32"/>
        </w:rPr>
        <w:t>具体得分情况见下表，《</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绩效评价指标综合评分表》（附件1）：</w:t>
      </w:r>
    </w:p>
    <w:p w14:paraId="12995C6F">
      <w:pPr>
        <w:pStyle w:val="36"/>
        <w:spacing w:line="300" w:lineRule="exact"/>
        <w:ind w:firstLine="0" w:firstLineChars="0"/>
        <w:jc w:val="center"/>
        <w:rPr>
          <w:rFonts w:hint="eastAsia" w:ascii="Times New Roman" w:hAnsi="Times New Roman" w:cs="仿宋_GB2312"/>
          <w:b/>
          <w:bCs/>
          <w:sz w:val="24"/>
          <w:szCs w:val="24"/>
        </w:rPr>
      </w:pPr>
      <w:r>
        <w:rPr>
          <w:rFonts w:hint="eastAsia" w:ascii="Times New Roman" w:hAnsi="Times New Roman"/>
          <w:b/>
          <w:bCs/>
          <w:sz w:val="24"/>
          <w:szCs w:val="24"/>
          <w:lang w:val="en-US" w:eastAsia="zh-CN"/>
        </w:rPr>
        <w:t>2025年新疆是个好地方演出保障项目</w:t>
      </w:r>
      <w:r>
        <w:rPr>
          <w:rFonts w:hint="eastAsia" w:ascii="Times New Roman" w:hAnsi="Times New Roman" w:cs="仿宋_GB2312"/>
          <w:b/>
          <w:bCs/>
          <w:sz w:val="24"/>
          <w:szCs w:val="24"/>
        </w:rPr>
        <w:t>绩效评价评分汇总表</w:t>
      </w:r>
    </w:p>
    <w:tbl>
      <w:tblPr>
        <w:tblStyle w:val="19"/>
        <w:tblW w:w="8902" w:type="dxa"/>
        <w:tblInd w:w="0" w:type="dxa"/>
        <w:tblLayout w:type="fixed"/>
        <w:tblCellMar>
          <w:top w:w="0" w:type="dxa"/>
          <w:left w:w="0" w:type="dxa"/>
          <w:bottom w:w="0" w:type="dxa"/>
          <w:right w:w="0" w:type="dxa"/>
        </w:tblCellMar>
      </w:tblPr>
      <w:tblGrid>
        <w:gridCol w:w="2224"/>
        <w:gridCol w:w="2224"/>
        <w:gridCol w:w="2227"/>
        <w:gridCol w:w="2227"/>
      </w:tblGrid>
      <w:tr w14:paraId="495319B0">
        <w:tblPrEx>
          <w:tblCellMar>
            <w:top w:w="0" w:type="dxa"/>
            <w:left w:w="0" w:type="dxa"/>
            <w:bottom w:w="0" w:type="dxa"/>
            <w:right w:w="0" w:type="dxa"/>
          </w:tblCellMar>
        </w:tblPrEx>
        <w:trPr>
          <w:trHeight w:val="539" w:hRule="atLeast"/>
          <w:tblHeader/>
        </w:trPr>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75763837">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1FAFBF81">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42231792">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5DBF7F6B">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得分率</w:t>
            </w:r>
          </w:p>
        </w:tc>
      </w:tr>
      <w:tr w14:paraId="003FCF78">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1A7B409">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决策指标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56D13D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195E85C">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15.00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607436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2A86CB7E">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CC5CFB">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过程指标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F062A7C">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40</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8C10660">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32.00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3762C36">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80.00</w:t>
            </w:r>
            <w:r>
              <w:rPr>
                <w:rFonts w:ascii="Times New Roman" w:hAnsi="Times New Roman"/>
                <w:sz w:val="22"/>
                <w:szCs w:val="22"/>
              </w:rPr>
              <w:t>%</w:t>
            </w:r>
          </w:p>
        </w:tc>
      </w:tr>
      <w:tr w14:paraId="4BF90A01">
        <w:tblPrEx>
          <w:tblCellMar>
            <w:top w:w="0" w:type="dxa"/>
            <w:left w:w="0" w:type="dxa"/>
            <w:bottom w:w="0" w:type="dxa"/>
            <w:right w:w="0" w:type="dxa"/>
          </w:tblCellMar>
        </w:tblPrEx>
        <w:trPr>
          <w:trHeight w:val="526"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A7949D">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产出指标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932C2E">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3</w:t>
            </w:r>
            <w:r>
              <w:rPr>
                <w:rFonts w:ascii="Times New Roman" w:hAnsi="Times New Roman"/>
                <w:sz w:val="22"/>
                <w:szCs w:val="22"/>
              </w:rPr>
              <w:t>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33BF797">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9BE2CB4">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2469DB13">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4574B7">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效益指标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B93C71">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1B8634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hint="eastAsia"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3EF3F6">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w:t>
            </w:r>
            <w:r>
              <w:rPr>
                <w:rFonts w:hint="eastAsia" w:ascii="Times New Roman" w:hAnsi="Times New Roman"/>
                <w:sz w:val="22"/>
                <w:szCs w:val="22"/>
              </w:rPr>
              <w:t>0.00</w:t>
            </w:r>
            <w:r>
              <w:rPr>
                <w:rFonts w:ascii="Times New Roman" w:hAnsi="Times New Roman"/>
                <w:sz w:val="22"/>
                <w:szCs w:val="22"/>
              </w:rPr>
              <w:t>%</w:t>
            </w:r>
          </w:p>
        </w:tc>
      </w:tr>
      <w:tr w14:paraId="488E7C93">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5D9ED17">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合计</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01FC99B">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100.00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0FDD74">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92.00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45419F">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92.00</w:t>
            </w:r>
            <w:r>
              <w:rPr>
                <w:rFonts w:ascii="Times New Roman" w:hAnsi="Times New Roman"/>
                <w:sz w:val="22"/>
                <w:szCs w:val="22"/>
              </w:rPr>
              <w:t>%</w:t>
            </w:r>
          </w:p>
        </w:tc>
      </w:tr>
    </w:tbl>
    <w:p w14:paraId="1F72F8A0">
      <w:pPr>
        <w:spacing w:line="560" w:lineRule="exact"/>
        <w:ind w:firstLine="640" w:firstLineChars="200"/>
        <w:jc w:val="left"/>
        <w:rPr>
          <w:rFonts w:ascii="Times New Roman" w:hAnsi="Times New Roman"/>
          <w:sz w:val="32"/>
          <w:szCs w:val="32"/>
          <w:highlight w:val="none"/>
        </w:rPr>
      </w:pPr>
      <w:r>
        <w:rPr>
          <w:rFonts w:hint="eastAsia" w:ascii="Times New Roman" w:hAnsi="Times New Roman"/>
          <w:sz w:val="32"/>
          <w:szCs w:val="32"/>
          <w:highlight w:val="none"/>
        </w:rPr>
        <w:t>本项目绩效评价结果为“</w:t>
      </w:r>
      <w:r>
        <w:rPr>
          <w:rFonts w:hint="eastAsia" w:ascii="Times New Roman" w:hAnsi="Times New Roman"/>
          <w:sz w:val="32"/>
          <w:szCs w:val="32"/>
          <w:highlight w:val="none"/>
          <w:lang w:val="en-US" w:eastAsia="zh-CN"/>
        </w:rPr>
        <w:t>优</w:t>
      </w:r>
      <w:r>
        <w:rPr>
          <w:rFonts w:hint="eastAsia" w:ascii="Times New Roman" w:hAnsi="Times New Roman"/>
          <w:sz w:val="32"/>
          <w:szCs w:val="32"/>
          <w:highlight w:val="none"/>
        </w:rPr>
        <w:t>”，建议对本项目根据《喀什地区全过程预算绩效管理结果应用暂行办法》的规定，评价等级为“</w:t>
      </w:r>
      <w:r>
        <w:rPr>
          <w:rFonts w:hint="eastAsia" w:ascii="Times New Roman" w:hAnsi="Times New Roman"/>
          <w:sz w:val="32"/>
          <w:szCs w:val="32"/>
          <w:highlight w:val="none"/>
          <w:lang w:val="en-US" w:eastAsia="zh-CN"/>
        </w:rPr>
        <w:t>优</w:t>
      </w:r>
      <w:r>
        <w:rPr>
          <w:rFonts w:hint="eastAsia" w:ascii="Times New Roman" w:hAnsi="Times New Roman"/>
          <w:sz w:val="32"/>
          <w:szCs w:val="32"/>
          <w:highlight w:val="none"/>
        </w:rPr>
        <w:t>”的延续性项目，</w:t>
      </w:r>
      <w:r>
        <w:rPr>
          <w:rFonts w:hint="eastAsia" w:ascii="Times New Roman" w:hAnsi="Times New Roman" w:eastAsia="仿宋_GB2312" w:cs="Times New Roman"/>
          <w:kern w:val="2"/>
          <w:sz w:val="32"/>
          <w:szCs w:val="32"/>
          <w:lang w:val="en-US" w:eastAsia="zh-CN" w:bidi="ar-SA"/>
        </w:rPr>
        <w:t>在下一年度部门预算编制中，可</w:t>
      </w:r>
      <w:r>
        <w:rPr>
          <w:rFonts w:hint="eastAsia" w:ascii="Times New Roman" w:hAnsi="Times New Roman" w:cs="Times New Roman"/>
          <w:kern w:val="2"/>
          <w:sz w:val="32"/>
          <w:szCs w:val="32"/>
          <w:lang w:val="en-US" w:eastAsia="zh-CN" w:bidi="ar-SA"/>
        </w:rPr>
        <w:t>优先</w:t>
      </w:r>
      <w:r>
        <w:rPr>
          <w:rFonts w:hint="eastAsia" w:ascii="Times New Roman" w:hAnsi="Times New Roman" w:eastAsia="仿宋_GB2312" w:cs="Times New Roman"/>
          <w:kern w:val="2"/>
          <w:sz w:val="32"/>
          <w:szCs w:val="32"/>
          <w:lang w:val="en-US" w:eastAsia="zh-CN" w:bidi="ar-SA"/>
        </w:rPr>
        <w:t>予以安排。</w:t>
      </w:r>
    </w:p>
    <w:p w14:paraId="23A03737">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（二）预算执行情况</w:t>
      </w:r>
    </w:p>
    <w:p w14:paraId="1F1BB56F">
      <w:pPr>
        <w:widowControl/>
        <w:spacing w:line="560" w:lineRule="exact"/>
        <w:ind w:firstLine="640" w:firstLineChars="200"/>
        <w:rPr>
          <w:rFonts w:hint="eastAsia" w:ascii="Times New Roman" w:hAnsi="Times New Roman" w:cs="Times New Roman"/>
          <w:sz w:val="32"/>
          <w:szCs w:val="32"/>
        </w:rPr>
      </w:pPr>
      <w:r>
        <w:rPr>
          <w:rFonts w:hint="eastAsia" w:ascii="Times New Roman" w:hAnsi="Times New Roman" w:cs="Times New Roman"/>
          <w:sz w:val="32"/>
          <w:szCs w:val="32"/>
        </w:rPr>
        <w:t>截至2025年12月31日，</w:t>
      </w: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cs="Times New Roman"/>
          <w:sz w:val="32"/>
          <w:szCs w:val="32"/>
        </w:rPr>
        <w:t>预算资金总额为</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，实际支出</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，资金主要用于：演出切割灯租赁费0.77万元、演出摇头灯租赁费20.57万元、演出设备租赁费24.99万元、演出送餐保障资金0.58万元、演出广告宣传资料费2.49</w:t>
      </w:r>
      <w:r>
        <w:rPr>
          <w:rFonts w:hint="eastAsia" w:ascii="Times New Roman" w:hAnsi="Times New Roman" w:cs="Times New Roman"/>
          <w:sz w:val="32"/>
          <w:szCs w:val="32"/>
          <w:lang w:eastAsia="zh-CN"/>
        </w:rPr>
        <w:t>万元。</w:t>
      </w:r>
    </w:p>
    <w:p w14:paraId="53FB11C5">
      <w:pPr>
        <w:pStyle w:val="93"/>
        <w:spacing w:line="560" w:lineRule="exact"/>
        <w:ind w:firstLine="640" w:firstLineChars="200"/>
        <w:rPr>
          <w:rFonts w:ascii="Times New Roman" w:hAnsi="Times New Roman" w:eastAsia="黑体" w:cs="Times New Roman"/>
          <w:kern w:val="0"/>
          <w:sz w:val="32"/>
          <w:szCs w:val="32"/>
          <w:lang w:val="en-US" w:eastAsia="zh-CN" w:bidi="en-US"/>
        </w:rPr>
      </w:pPr>
      <w:r>
        <w:rPr>
          <w:rFonts w:ascii="Times New Roman" w:hAnsi="Times New Roman" w:eastAsia="黑体" w:cs="Times New Roman"/>
          <w:kern w:val="0"/>
          <w:sz w:val="32"/>
          <w:szCs w:val="32"/>
          <w:lang w:val="en-US" w:eastAsia="zh-CN" w:bidi="en-US"/>
        </w:rPr>
        <w:t>三、经验、问题和建议</w:t>
      </w:r>
    </w:p>
    <w:p w14:paraId="25B01663">
      <w:pPr>
        <w:widowControl/>
        <w:spacing w:line="560" w:lineRule="exact"/>
        <w:ind w:firstLine="643" w:firstLineChars="200"/>
        <w:rPr>
          <w:rFonts w:ascii="Times New Roman" w:hAnsi="Times New Roman" w:eastAsia="楷体"/>
          <w:b/>
          <w:bCs/>
          <w:sz w:val="32"/>
          <w:szCs w:val="32"/>
        </w:rPr>
      </w:pPr>
      <w:r>
        <w:rPr>
          <w:rFonts w:ascii="Times New Roman" w:hAnsi="Times New Roman" w:eastAsia="楷体"/>
          <w:b/>
          <w:bCs/>
          <w:sz w:val="32"/>
          <w:szCs w:val="32"/>
        </w:rPr>
        <w:t>（一）主要经验及做法</w:t>
      </w:r>
    </w:p>
    <w:p w14:paraId="29A515EA">
      <w:pPr>
        <w:spacing w:line="560" w:lineRule="exact"/>
        <w:ind w:firstLine="643" w:firstLineChars="200"/>
        <w:rPr>
          <w:rFonts w:hint="eastAsia" w:ascii="Times New Roman" w:hAnsi="Times New Roman" w:cs="Times New Roman"/>
          <w:b/>
          <w:bCs/>
          <w:sz w:val="32"/>
          <w:szCs w:val="32"/>
          <w:lang w:val="en-US" w:eastAsia="zh-CN"/>
        </w:rPr>
      </w:pPr>
      <w:bookmarkStart w:id="3" w:name="_Toc17568"/>
      <w:bookmarkStart w:id="4" w:name="_Toc22722"/>
      <w:bookmarkStart w:id="5" w:name="_Toc28030"/>
      <w:r>
        <w:rPr>
          <w:rFonts w:hint="eastAsia" w:ascii="Times New Roman" w:hAnsi="Times New Roman" w:cs="Times New Roman"/>
          <w:b/>
          <w:bCs/>
          <w:sz w:val="32"/>
          <w:szCs w:val="32"/>
          <w:lang w:val="en-US" w:eastAsia="zh-CN"/>
        </w:rPr>
        <w:t>1.项</w:t>
      </w:r>
      <w:r>
        <w:rPr>
          <w:rFonts w:hint="default" w:ascii="Times New Roman" w:hAnsi="Times New Roman" w:cs="Times New Roman"/>
          <w:b/>
          <w:bCs/>
          <w:sz w:val="32"/>
          <w:szCs w:val="32"/>
          <w:lang w:val="en-US" w:eastAsia="zh-CN"/>
        </w:rPr>
        <w:t>目立项与政策衔接紧密，战略导向明确</w:t>
      </w:r>
    </w:p>
    <w:p w14:paraId="32E3B583">
      <w:pPr>
        <w:spacing w:line="560" w:lineRule="exact"/>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项目以巩固2024年央视春晚喀什分会场效应为切入点，与</w:t>
      </w:r>
      <w:r>
        <w:rPr>
          <w:rFonts w:hint="eastAsia" w:ascii="Times New Roman" w:hAnsi="Times New Roman" w:cs="Times New Roman"/>
          <w:sz w:val="32"/>
          <w:szCs w:val="32"/>
          <w:lang w:val="en-US" w:eastAsia="zh-CN"/>
        </w:rPr>
        <w:t>“旅游兴疆”</w:t>
      </w:r>
      <w:r>
        <w:rPr>
          <w:rFonts w:hint="default" w:ascii="Times New Roman" w:hAnsi="Times New Roman" w:cs="Times New Roman"/>
          <w:sz w:val="32"/>
          <w:szCs w:val="32"/>
          <w:lang w:val="en-US" w:eastAsia="zh-CN"/>
        </w:rPr>
        <w:t>战略及</w:t>
      </w:r>
      <w:r>
        <w:rPr>
          <w:rFonts w:hint="eastAsia" w:ascii="Times New Roman" w:hAnsi="Times New Roman" w:cs="Times New Roman"/>
          <w:sz w:val="32"/>
          <w:szCs w:val="32"/>
          <w:lang w:val="en-US" w:eastAsia="zh-CN"/>
        </w:rPr>
        <w:t>“不到喀什不算到新疆”</w:t>
      </w:r>
      <w:r>
        <w:rPr>
          <w:rFonts w:hint="default" w:ascii="Times New Roman" w:hAnsi="Times New Roman" w:cs="Times New Roman"/>
          <w:sz w:val="32"/>
          <w:szCs w:val="32"/>
          <w:lang w:val="en-US" w:eastAsia="zh-CN"/>
        </w:rPr>
        <w:t>品牌建设高度契合，体现了</w:t>
      </w:r>
      <w:r>
        <w:rPr>
          <w:rFonts w:hint="eastAsia" w:ascii="Times New Roman" w:hAnsi="Times New Roman" w:cs="Times New Roman"/>
          <w:sz w:val="32"/>
          <w:szCs w:val="32"/>
          <w:lang w:val="en-US" w:eastAsia="zh-CN"/>
        </w:rPr>
        <w:t>“以项目促品牌、以品牌带产业、以产业惠民生”</w:t>
      </w:r>
      <w:r>
        <w:rPr>
          <w:rFonts w:hint="default" w:ascii="Times New Roman" w:hAnsi="Times New Roman" w:cs="Times New Roman"/>
          <w:sz w:val="32"/>
          <w:szCs w:val="32"/>
          <w:lang w:val="en-US" w:eastAsia="zh-CN"/>
        </w:rPr>
        <w:t>的发展思路，确保财政资金投向与区域战略目标一致。</w:t>
      </w:r>
    </w:p>
    <w:p w14:paraId="24CD31EF">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2.项</w:t>
      </w:r>
      <w:r>
        <w:rPr>
          <w:rFonts w:hint="default" w:ascii="Times New Roman" w:hAnsi="Times New Roman" w:cs="Times New Roman"/>
          <w:b/>
          <w:bCs/>
          <w:sz w:val="32"/>
          <w:szCs w:val="32"/>
          <w:lang w:val="en-US" w:eastAsia="zh-CN"/>
        </w:rPr>
        <w:t>目产出全面达标，绩效目标实现度高</w:t>
      </w:r>
    </w:p>
    <w:p w14:paraId="273D6976">
      <w:pPr>
        <w:spacing w:line="560" w:lineRule="exact"/>
        <w:ind w:firstLine="640" w:firstLineChars="200"/>
        <w:rPr>
          <w:rFonts w:hint="eastAsia" w:ascii="Times New Roman" w:hAnsi="Times New Roman" w:cs="Times New Roman"/>
          <w:b/>
          <w:bCs/>
          <w:lang w:val="en-US" w:eastAsia="zh-CN"/>
        </w:rPr>
      </w:pPr>
      <w:r>
        <w:rPr>
          <w:rFonts w:hint="eastAsia" w:ascii="Times New Roman" w:hAnsi="Times New Roman" w:cs="Times New Roman"/>
          <w:sz w:val="32"/>
          <w:szCs w:val="32"/>
          <w:lang w:val="en-US" w:eastAsia="zh-CN"/>
        </w:rPr>
        <w:t>产出维度：3项数量指标、1项质量指标、1项时效指标、5项成本指标均100%达标，各项产出指标完成度较高，既定产出目标均已实现，为效益目标奠定基础</w:t>
      </w:r>
      <w:r>
        <w:rPr>
          <w:rFonts w:hint="default" w:ascii="Times New Roman" w:hAnsi="Times New Roman" w:cs="Times New Roman"/>
          <w:sz w:val="32"/>
          <w:szCs w:val="32"/>
          <w:lang w:val="en-US" w:eastAsia="zh-CN"/>
        </w:rPr>
        <w:t>。</w:t>
      </w:r>
      <w:r>
        <w:rPr>
          <w:rFonts w:hint="eastAsia" w:ascii="Times New Roman" w:hAnsi="Times New Roman" w:cs="Times New Roman"/>
          <w:b/>
          <w:bCs/>
          <w:lang w:val="en-US" w:eastAsia="zh-CN"/>
        </w:rPr>
        <w:t xml:space="preserve">    </w:t>
      </w:r>
    </w:p>
    <w:p w14:paraId="31AE0BE6">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3.演出人员</w:t>
      </w:r>
      <w:r>
        <w:rPr>
          <w:rFonts w:hint="default" w:ascii="Times New Roman" w:hAnsi="Times New Roman" w:cs="Times New Roman"/>
          <w:b/>
          <w:bCs/>
          <w:sz w:val="32"/>
          <w:szCs w:val="32"/>
          <w:lang w:val="en-US" w:eastAsia="zh-CN"/>
        </w:rPr>
        <w:t>满意度高，项目社会效益显著</w:t>
      </w:r>
    </w:p>
    <w:p w14:paraId="02F71D63">
      <w:pPr>
        <w:pStyle w:val="37"/>
        <w:spacing w:before="0" w:after="0"/>
        <w:ind w:left="0" w:firstLine="640" w:firstLineChars="200"/>
        <w:outlineLvl w:val="9"/>
        <w:rPr>
          <w:rFonts w:hint="default" w:ascii="Times New Roman" w:hAnsi="Times New Roman" w:eastAsia="仿宋_GB2312" w:cs="Times New Roman"/>
          <w:kern w:val="2"/>
          <w:sz w:val="32"/>
          <w:szCs w:val="32"/>
          <w:lang w:val="en-US" w:eastAsia="zh-CN" w:bidi="ar-SA"/>
        </w:rPr>
      </w:pPr>
      <w:bookmarkStart w:id="6" w:name="_Toc29701"/>
      <w:bookmarkStart w:id="7" w:name="_Toc30420"/>
      <w:r>
        <w:rPr>
          <w:rFonts w:hint="default" w:ascii="Times New Roman" w:hAnsi="Times New Roman" w:eastAsia="仿宋_GB2312" w:cs="Times New Roman"/>
          <w:kern w:val="2"/>
          <w:sz w:val="32"/>
          <w:szCs w:val="32"/>
          <w:lang w:val="en-US" w:eastAsia="zh-CN" w:bidi="ar-SA"/>
        </w:rPr>
        <w:t>演出人员综合满意度达99.82%，远超95%的年度指标值。在49.40万元有限资金规模下，通过科学统筹和精细管理，实现了较高的投入产出效益。</w:t>
      </w:r>
      <w:bookmarkEnd w:id="6"/>
      <w:bookmarkEnd w:id="7"/>
    </w:p>
    <w:p w14:paraId="11D9C7ED">
      <w:pPr>
        <w:pStyle w:val="37"/>
        <w:spacing w:before="0" w:after="0"/>
        <w:ind w:left="0" w:firstLine="643" w:firstLineChars="200"/>
        <w:outlineLvl w:val="9"/>
        <w:rPr>
          <w:rFonts w:ascii="Times New Roman" w:hAnsi="Times New Roman" w:eastAsia="楷体" w:cs="楷体"/>
          <w:b/>
        </w:rPr>
      </w:pPr>
      <w:bookmarkStart w:id="8" w:name="_Toc15138"/>
      <w:bookmarkStart w:id="9" w:name="_Toc29922"/>
      <w:r>
        <w:rPr>
          <w:rFonts w:ascii="Times New Roman" w:hAnsi="Times New Roman" w:eastAsia="楷体" w:cs="楷体"/>
          <w:b/>
        </w:rPr>
        <w:t>（二）存在的问题及原因分析</w:t>
      </w:r>
      <w:bookmarkEnd w:id="3"/>
      <w:bookmarkEnd w:id="4"/>
      <w:bookmarkEnd w:id="5"/>
      <w:bookmarkEnd w:id="8"/>
      <w:bookmarkEnd w:id="9"/>
    </w:p>
    <w:p w14:paraId="15829BE9">
      <w:pPr>
        <w:spacing w:line="560" w:lineRule="exact"/>
        <w:ind w:firstLine="643" w:firstLineChars="200"/>
        <w:rPr>
          <w:rFonts w:hint="default" w:ascii="Times New Roman" w:hAnsi="Times New Roman" w:cs="Times New Roman"/>
          <w:b/>
          <w:bCs/>
          <w:sz w:val="32"/>
          <w:szCs w:val="32"/>
          <w:lang w:val="en-US" w:eastAsia="zh-CN"/>
        </w:rPr>
      </w:pPr>
      <w:bookmarkStart w:id="10" w:name="_Toc6434"/>
      <w:bookmarkStart w:id="11" w:name="_Toc1505"/>
      <w:bookmarkStart w:id="12" w:name="_Toc30731"/>
      <w:bookmarkStart w:id="13" w:name="_Toc220"/>
      <w:r>
        <w:rPr>
          <w:rFonts w:hint="eastAsia" w:ascii="Times New Roman" w:hAnsi="Times New Roman" w:cs="Times New Roman"/>
          <w:b/>
          <w:bCs/>
          <w:sz w:val="32"/>
          <w:szCs w:val="32"/>
          <w:lang w:val="en-US" w:eastAsia="zh-CN"/>
        </w:rPr>
        <w:t>1.资金支付与合同约定存在时间偏差</w:t>
      </w:r>
    </w:p>
    <w:p w14:paraId="14943A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合同约定项目结束后7日内（8月7日前）支付，实际支付为8月25日，延迟18天。</w:t>
      </w:r>
    </w:p>
    <w:p w14:paraId="2EAEC1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原因分析：①经办人未预留审批时间，内部六环节审批流转耗时过长；②业务与财务部门信息割裂，业务部门未将支付节点告知财务，财务未提前安排资金；③内控制度未覆盖合同履约跟踪，无台账管理、无支付预警机制、履约与绩效考核脱钩。</w:t>
      </w:r>
    </w:p>
    <w:p w14:paraId="0C6A9C25">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2.履约验收单内容不完整，验收文书不合规</w:t>
      </w:r>
    </w:p>
    <w:p w14:paraId="33A2AC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验收单缺失验收时间、手写签字和验收结论，不符合财库〔2016〕205号要求。</w:t>
      </w:r>
    </w:p>
    <w:p w14:paraId="1AF916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原因分析：①验收人员对法定验收要求不了解，凭经验操作；②无统一验收管理制度和标准化文书模板；③《履约验收制度》内容笼统，未将法定要求转化为可操作的具体规范。</w:t>
      </w:r>
    </w:p>
    <w:p w14:paraId="3812CFD5">
      <w:pPr>
        <w:pStyle w:val="37"/>
        <w:keepNext/>
        <w:keepLines/>
        <w:widowControl w:val="0"/>
        <w:spacing w:before="0" w:after="0"/>
        <w:ind w:left="0" w:firstLine="640" w:firstLineChars="200"/>
        <w:jc w:val="both"/>
        <w:outlineLvl w:val="9"/>
        <w:rPr>
          <w:rFonts w:hint="default" w:ascii="Times New Roman" w:hAnsi="Times New Roman" w:cs="Times New Roman"/>
          <w:color w:val="auto"/>
          <w:highlight w:val="none"/>
        </w:rPr>
      </w:pPr>
      <w:bookmarkStart w:id="14" w:name="_Toc32615"/>
      <w:bookmarkStart w:id="15" w:name="_Toc17928"/>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三</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有关建议</w:t>
      </w:r>
      <w:bookmarkEnd w:id="10"/>
      <w:bookmarkEnd w:id="11"/>
      <w:bookmarkEnd w:id="12"/>
      <w:bookmarkEnd w:id="13"/>
      <w:bookmarkEnd w:id="14"/>
      <w:bookmarkEnd w:id="15"/>
    </w:p>
    <w:p w14:paraId="06B59373">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1.建立合同履约跟踪机制，从制度层面保障资金支付按约执行</w:t>
      </w:r>
    </w:p>
    <w:p w14:paraId="373087BB">
      <w:pPr>
        <w:spacing w:line="56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①建立合同履约台账，专人动态跟踪，业务与财务实时共享；②建立支付到期预警机制，在支付节点前15天发起预警；③修订内控制度，增加审批时限条款，超时自动督办。</w:t>
      </w:r>
    </w:p>
    <w:p w14:paraId="386F53E4">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2.完善履约验收制度，用标准化工具规范验收行为</w:t>
      </w:r>
    </w:p>
    <w:p w14:paraId="642378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①修订《履约验收制度》，明确验收书必备要素（时间、签字、结论、逐项验收情况等）；②设计标准化验收文书模板，按模板逐项填写；③建立验收质量复核机制，科室负责人审核签字后再归档；④加强政府采购验收法规培训。</w:t>
      </w:r>
    </w:p>
    <w:p w14:paraId="021FB909">
      <w:pPr>
        <w:spacing w:line="560" w:lineRule="exact"/>
        <w:rPr>
          <w:rFonts w:hint="eastAsia" w:ascii="Times New Roman" w:hAnsi="Times New Roman"/>
          <w:lang w:val="en-US" w:eastAsia="zh-CN"/>
        </w:rPr>
        <w:sectPr>
          <w:headerReference r:id="rId5" w:type="first"/>
          <w:footnotePr>
            <w:numFmt w:val="decimalEnclosedCircleChinese"/>
          </w:footnotePr>
          <w:pgSz w:w="11906" w:h="16838"/>
          <w:pgMar w:top="1984" w:right="1531" w:bottom="1701" w:left="1531" w:header="851" w:footer="992" w:gutter="0"/>
          <w:pgNumType w:start="1"/>
          <w:cols w:space="0" w:num="1"/>
          <w:titlePg/>
          <w:docGrid w:type="lines" w:linePitch="408" w:charSpace="0"/>
        </w:sectPr>
      </w:pPr>
    </w:p>
    <w:p w14:paraId="1750CBAD">
      <w:pPr>
        <w:spacing w:line="360" w:lineRule="auto"/>
        <w:jc w:val="center"/>
        <w:rPr>
          <w:rFonts w:hint="eastAsia" w:ascii="Times New Roman" w:hAnsi="Times New Roman" w:eastAsia="黑体" w:cs="黑体"/>
          <w:b/>
          <w:bCs/>
          <w:sz w:val="44"/>
          <w:szCs w:val="44"/>
        </w:rPr>
      </w:pPr>
      <w:r>
        <w:rPr>
          <w:rFonts w:hint="eastAsia" w:ascii="Times New Roman" w:hAnsi="Times New Roman" w:eastAsia="黑体" w:cs="黑体"/>
          <w:b/>
          <w:bCs/>
          <w:sz w:val="44"/>
          <w:szCs w:val="44"/>
        </w:rPr>
        <w:t>目  录</w:t>
      </w:r>
    </w:p>
    <w:p w14:paraId="6A3A29C2">
      <w:pPr>
        <w:pStyle w:val="12"/>
        <w:tabs>
          <w:tab w:val="right" w:leader="dot" w:pos="8844"/>
        </w:tabs>
        <w:rPr>
          <w:rFonts w:ascii="Times New Roman" w:hAnsi="Times New Roman"/>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TOC \t "和标1,1,和标2,2" \h</w:instrText>
      </w:r>
      <w:r>
        <w:rPr>
          <w:rFonts w:hint="eastAsia" w:ascii="Times New Roman" w:hAnsi="Times New Roman" w:eastAsia="仿宋_GB2312" w:cs="仿宋_GB2312"/>
          <w:sz w:val="32"/>
          <w:szCs w:val="32"/>
        </w:rPr>
        <w:fldChar w:fldCharType="separate"/>
      </w:r>
    </w:p>
    <w:p w14:paraId="05D41DC2">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_Toc5080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一、基本情况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_Toc5080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A3FBC3A">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_Toc15632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（一）项目概况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_Toc15632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54EFB7B">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_Toc17953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（二）项目绩效目标</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_Toc17953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C260B70">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_Toc9903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二、绩效评价工作开展情况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_Toc9903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B6EBC00">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_Toc13293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（一）绩效评价目的、对象、范围、依据及绩效评价时段</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_Toc13293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7035896">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_Toc22765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（二）绩效评价原则、评价指标体系（附表说明）、评价方法、评价标准等</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_Toc22765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EEF85F6">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_Toc14193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（三）绩效评价工作过程</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_Toc14193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8</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92492C5">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_Toc22600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 综合评价情况及评价结论</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_Toc22600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EDEFF6F">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_Toc4555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四、绩效评价指标分析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_Toc4555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7A64774">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_Toc23962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（一）项目决策情况（分值</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highlight w:val="none"/>
        </w:rPr>
        <w:t>，得分</w:t>
      </w:r>
      <w:r>
        <w:rPr>
          <w:rFonts w:hint="eastAsia" w:ascii="Times New Roman" w:hAnsi="Times New Roman" w:eastAsia="仿宋_GB2312" w:cs="仿宋_GB2312"/>
          <w:sz w:val="32"/>
          <w:szCs w:val="32"/>
          <w:highlight w:val="none"/>
          <w:lang w:val="en-US" w:eastAsia="zh-CN"/>
        </w:rPr>
        <w:t>15</w:t>
      </w:r>
      <w:r>
        <w:rPr>
          <w:rFonts w:hint="eastAsia" w:ascii="Times New Roman" w:hAnsi="Times New Roman" w:eastAsia="仿宋_GB2312" w:cs="仿宋_GB2312"/>
          <w:sz w:val="32"/>
          <w:szCs w:val="32"/>
          <w:highlight w:val="none"/>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_Toc23962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1CA7B4D">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_Toc27607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（二）项目过程情况（分值</w:t>
      </w:r>
      <w:r>
        <w:rPr>
          <w:rFonts w:hint="eastAsia" w:ascii="Times New Roman" w:hAnsi="Times New Roman" w:eastAsia="仿宋_GB2312" w:cs="仿宋_GB2312"/>
          <w:kern w:val="2"/>
          <w:sz w:val="32"/>
          <w:szCs w:val="32"/>
          <w:lang w:val="en-US" w:eastAsia="zh-CN"/>
        </w:rPr>
        <w:t>40</w:t>
      </w:r>
      <w:r>
        <w:rPr>
          <w:rFonts w:hint="eastAsia" w:ascii="Times New Roman" w:hAnsi="Times New Roman" w:eastAsia="仿宋_GB2312" w:cs="仿宋_GB2312"/>
          <w:kern w:val="2"/>
          <w:sz w:val="32"/>
          <w:szCs w:val="32"/>
        </w:rPr>
        <w:t>分，得分</w:t>
      </w:r>
      <w:r>
        <w:rPr>
          <w:rFonts w:hint="eastAsia" w:ascii="Times New Roman" w:hAnsi="Times New Roman" w:eastAsia="仿宋_GB2312" w:cs="仿宋_GB2312"/>
          <w:kern w:val="2"/>
          <w:sz w:val="32"/>
          <w:szCs w:val="32"/>
          <w:lang w:val="en-US" w:eastAsia="zh-CN"/>
        </w:rPr>
        <w:t>32</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_Toc27607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5E6A977">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_Toc7184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（三）项目产出情况（分值</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0分，得分</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0分）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_Toc7184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19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3FA09AE">
      <w:pPr>
        <w:pStyle w:val="15"/>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_Toc10954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（四）项目效益情况（分值</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分，得分</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分）</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_Toc10954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80E1F87">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_Toc20444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lang w:val="en-US" w:eastAsia="zh-CN"/>
        </w:rPr>
        <w:t>五、</w:t>
      </w:r>
      <w:r>
        <w:rPr>
          <w:rFonts w:hint="eastAsia" w:ascii="Times New Roman" w:hAnsi="Times New Roman" w:eastAsia="仿宋_GB2312" w:cs="仿宋_GB2312"/>
          <w:bCs w:val="0"/>
          <w:sz w:val="32"/>
          <w:szCs w:val="32"/>
        </w:rPr>
        <w:t>主要经验及做法、存在的问题及原因分析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_Toc20444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CB95487">
      <w:pPr>
        <w:pStyle w:val="12"/>
        <w:tabs>
          <w:tab w:val="right" w:leader="dot" w:pos="8844"/>
        </w:tabs>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_Toc7827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（一）主要经验及做法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_Toc7827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9EC0DBF">
      <w:pPr>
        <w:pStyle w:val="12"/>
        <w:tabs>
          <w:tab w:val="right" w:leader="dot" w:pos="8844"/>
        </w:tabs>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eastAsia="zh-CN"/>
        </w:rPr>
        <w:t>（二）存在的问题及原因分析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3DCF736">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_Toc10579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六、有关建议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_Toc10579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A607D54">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_Toc10581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七、其他需要说明的问题</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_Toc10581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29</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8A65186">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_Toc19993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bCs w:val="0"/>
          <w:sz w:val="32"/>
          <w:szCs w:val="32"/>
        </w:rPr>
        <w:t>八、绩效评价结果应用建议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_Toc19993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30</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BBB8E50">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_Toc28578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附件1</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2025年新疆是个好地方演出保障项目</w:t>
      </w:r>
      <w:r>
        <w:rPr>
          <w:rFonts w:hint="eastAsia" w:ascii="Times New Roman" w:hAnsi="Times New Roman" w:eastAsia="仿宋_GB2312" w:cs="仿宋_GB2312"/>
          <w:sz w:val="32"/>
          <w:szCs w:val="32"/>
        </w:rPr>
        <w:t>绩效评价指标综合评分表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_Toc28578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31</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B08D0BB">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_Toc8447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附件2：</w:t>
      </w:r>
      <w:r>
        <w:rPr>
          <w:rFonts w:hint="eastAsia" w:ascii="Times New Roman" w:hAnsi="Times New Roman" w:eastAsia="仿宋_GB2312" w:cs="仿宋_GB2312"/>
          <w:sz w:val="32"/>
          <w:szCs w:val="32"/>
          <w:lang w:val="zh-CN"/>
        </w:rPr>
        <w:t>满意度结果分析</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_Toc8447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62</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619BA5E">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_Toc21818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附件3：基础信息采集表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_Toc21818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63</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6598288">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_Toc15353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附件4：访谈记录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_Toc15353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64</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457F7A6">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_Toc23811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附件5：实地勘察记录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_Toc23811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65</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19AB072">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_Toc11475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附件6：绩效评价报告单位反馈意见单</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_Toc11475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66</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BEA1504">
      <w:pPr>
        <w:pStyle w:val="12"/>
        <w:tabs>
          <w:tab w:val="right" w:leader="dot" w:pos="8844"/>
        </w:tabs>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_Toc32473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附件7：绩效评价报告财政</w:t>
      </w:r>
      <w:r>
        <w:rPr>
          <w:rFonts w:hint="eastAsia" w:ascii="Times New Roman" w:hAnsi="Times New Roman" w:cs="仿宋_GB2312"/>
          <w:sz w:val="32"/>
          <w:szCs w:val="32"/>
          <w:lang w:val="en-US" w:eastAsia="zh-CN"/>
        </w:rPr>
        <w:t>部门</w:t>
      </w:r>
      <w:r>
        <w:rPr>
          <w:rFonts w:hint="eastAsia" w:ascii="Times New Roman" w:hAnsi="Times New Roman" w:eastAsia="仿宋_GB2312" w:cs="仿宋_GB2312"/>
          <w:sz w:val="32"/>
          <w:szCs w:val="32"/>
          <w:lang w:val="en-US" w:eastAsia="zh-CN"/>
        </w:rPr>
        <w:t>意见</w:t>
      </w:r>
      <w:r>
        <w:rPr>
          <w:rFonts w:hint="eastAsia" w:ascii="Times New Roman" w:hAnsi="Times New Roman" w:cs="仿宋_GB2312"/>
          <w:sz w:val="32"/>
          <w:szCs w:val="32"/>
          <w:lang w:val="en-US" w:eastAsia="zh-CN"/>
        </w:rPr>
        <w:t>反馈表</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_Toc32473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67</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35C5926">
      <w:pPr>
        <w:spacing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Cs w:val="32"/>
        </w:rPr>
        <w:fldChar w:fldCharType="end"/>
      </w:r>
      <w:bookmarkStart w:id="16" w:name="_Toc19792"/>
    </w:p>
    <w:bookmarkEnd w:id="16"/>
    <w:p w14:paraId="6DF8D64E">
      <w:pPr>
        <w:pStyle w:val="15"/>
        <w:tabs>
          <w:tab w:val="right" w:leader="dot" w:pos="8834"/>
        </w:tabs>
        <w:ind w:left="600"/>
        <w:rPr>
          <w:rFonts w:hint="eastAsia" w:ascii="Times New Roman" w:hAnsi="Times New Roman" w:eastAsia="仿宋_GB2312" w:cs="仿宋_GB2312"/>
          <w:b/>
          <w:bCs/>
          <w:sz w:val="32"/>
          <w:szCs w:val="32"/>
        </w:rPr>
        <w:sectPr>
          <w:footerReference r:id="rId6" w:type="default"/>
          <w:footnotePr>
            <w:numFmt w:val="decimalEnclosedCircleChinese"/>
          </w:footnotePr>
          <w:pgSz w:w="11906" w:h="16838"/>
          <w:pgMar w:top="1984" w:right="1531" w:bottom="1701" w:left="1531" w:header="851" w:footer="992" w:gutter="0"/>
          <w:pgNumType w:start="1"/>
          <w:cols w:space="0" w:num="1"/>
          <w:docGrid w:type="lines" w:linePitch="408" w:charSpace="0"/>
        </w:sectPr>
      </w:pPr>
      <w:bookmarkStart w:id="17" w:name="_Toc20671"/>
    </w:p>
    <w:bookmarkEnd w:id="17"/>
    <w:p w14:paraId="436B163C">
      <w:pPr>
        <w:jc w:val="center"/>
        <w:rPr>
          <w:rFonts w:hint="eastAsia" w:ascii="Times New Roman" w:hAnsi="Times New Roman" w:eastAsia="黑体" w:cs="黑体"/>
          <w:sz w:val="40"/>
          <w:szCs w:val="40"/>
          <w:lang w:val="en-US" w:eastAsia="zh-CN"/>
        </w:rPr>
      </w:pPr>
      <w:r>
        <w:rPr>
          <w:rFonts w:hint="eastAsia" w:ascii="Times New Roman" w:hAnsi="Times New Roman" w:eastAsia="黑体" w:cs="黑体"/>
          <w:sz w:val="40"/>
          <w:szCs w:val="40"/>
          <w:lang w:val="en-US" w:eastAsia="zh-CN"/>
        </w:rPr>
        <w:t>2025年新疆是个好地方演出保障项目</w:t>
      </w:r>
    </w:p>
    <w:p w14:paraId="63B994AB">
      <w:pPr>
        <w:jc w:val="center"/>
        <w:rPr>
          <w:rFonts w:ascii="Times New Roman" w:hAnsi="Times New Roman"/>
        </w:rPr>
      </w:pPr>
      <w:r>
        <w:rPr>
          <w:rFonts w:hint="eastAsia" w:ascii="Times New Roman" w:hAnsi="Times New Roman" w:eastAsia="黑体" w:cs="黑体"/>
          <w:sz w:val="40"/>
          <w:szCs w:val="40"/>
        </w:rPr>
        <w:t>绩效评价报告</w:t>
      </w:r>
    </w:p>
    <w:p w14:paraId="04E20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ascii="Times New Roman" w:hAnsi="Times New Roman"/>
          <w:sz w:val="32"/>
          <w:szCs w:val="32"/>
        </w:rPr>
        <w:t>为贯彻落实全面推进预算绩效管理工作的要求，完善部门预算管理，强化预算支出责任，提高财政资金使用效益，新疆高博有限责任会计师事务所受</w:t>
      </w:r>
      <w:r>
        <w:rPr>
          <w:rFonts w:hint="eastAsia" w:ascii="Times New Roman" w:hAnsi="Times New Roman"/>
          <w:sz w:val="32"/>
          <w:szCs w:val="32"/>
          <w:lang w:val="en-US" w:eastAsia="zh-CN"/>
        </w:rPr>
        <w:t>喀什市</w:t>
      </w:r>
      <w:r>
        <w:rPr>
          <w:rFonts w:ascii="Times New Roman" w:hAnsi="Times New Roman"/>
          <w:sz w:val="32"/>
          <w:szCs w:val="32"/>
        </w:rPr>
        <w:t>财政局的委托，以第三方社会评价机构身份，成立绩效评价小组，根据《中华人民共和国预算法》</w:t>
      </w:r>
      <w:r>
        <w:rPr>
          <w:rFonts w:hint="eastAsia" w:ascii="Times New Roman" w:hAnsi="Times New Roman"/>
          <w:sz w:val="32"/>
          <w:szCs w:val="32"/>
        </w:rPr>
        <w:t>《中共中央 国务院</w:t>
      </w:r>
      <w:r>
        <w:rPr>
          <w:rFonts w:ascii="Times New Roman" w:hAnsi="Times New Roman"/>
          <w:sz w:val="32"/>
          <w:szCs w:val="32"/>
        </w:rPr>
        <w:t>关于全面实施预算绩效管理的意见》</w:t>
      </w:r>
      <w:r>
        <w:rPr>
          <w:rFonts w:hint="eastAsia" w:ascii="Times New Roman" w:hAnsi="Times New Roman"/>
          <w:sz w:val="32"/>
          <w:szCs w:val="32"/>
        </w:rPr>
        <w:t>（</w:t>
      </w:r>
      <w:r>
        <w:rPr>
          <w:rFonts w:ascii="Times New Roman" w:hAnsi="Times New Roman"/>
          <w:sz w:val="32"/>
          <w:szCs w:val="32"/>
        </w:rPr>
        <w:t>中发〔2018〕34号</w:t>
      </w:r>
      <w:r>
        <w:rPr>
          <w:rFonts w:hint="eastAsia" w:ascii="Times New Roman" w:hAnsi="Times New Roman"/>
          <w:sz w:val="32"/>
          <w:szCs w:val="32"/>
        </w:rPr>
        <w:t>）</w:t>
      </w:r>
      <w:r>
        <w:rPr>
          <w:rFonts w:ascii="Times New Roman" w:hAnsi="Times New Roman"/>
          <w:sz w:val="32"/>
          <w:szCs w:val="32"/>
        </w:rPr>
        <w:t>、《自治区党委自治区人民政府关于全面实施预算绩效管理的实施意见》</w:t>
      </w:r>
      <w:r>
        <w:rPr>
          <w:rFonts w:hint="eastAsia" w:ascii="Times New Roman" w:hAnsi="Times New Roman"/>
          <w:sz w:val="32"/>
          <w:szCs w:val="32"/>
        </w:rPr>
        <w:t>（</w:t>
      </w:r>
      <w:r>
        <w:rPr>
          <w:rFonts w:ascii="Times New Roman" w:hAnsi="Times New Roman"/>
          <w:sz w:val="32"/>
          <w:szCs w:val="32"/>
        </w:rPr>
        <w:t>新党发〔2018〕30号</w:t>
      </w:r>
      <w:r>
        <w:rPr>
          <w:rFonts w:hint="eastAsia" w:ascii="Times New Roman" w:hAnsi="Times New Roman"/>
          <w:sz w:val="32"/>
          <w:szCs w:val="32"/>
        </w:rPr>
        <w:t>）</w:t>
      </w:r>
      <w:r>
        <w:rPr>
          <w:rFonts w:ascii="Times New Roman" w:hAnsi="Times New Roman"/>
          <w:sz w:val="32"/>
          <w:szCs w:val="32"/>
        </w:rPr>
        <w:t>、《自治区全面实施预算绩效管理的工作方案》</w:t>
      </w:r>
      <w:r>
        <w:rPr>
          <w:rFonts w:hint="eastAsia" w:ascii="Times New Roman" w:hAnsi="Times New Roman"/>
          <w:sz w:val="32"/>
          <w:szCs w:val="32"/>
        </w:rPr>
        <w:t>（</w:t>
      </w:r>
      <w:r>
        <w:rPr>
          <w:rFonts w:ascii="Times New Roman" w:hAnsi="Times New Roman"/>
          <w:sz w:val="32"/>
          <w:szCs w:val="32"/>
        </w:rPr>
        <w:t>新财预〔2018〕158号</w:t>
      </w:r>
      <w:r>
        <w:rPr>
          <w:rFonts w:hint="eastAsia" w:ascii="Times New Roman" w:hAnsi="Times New Roman"/>
          <w:sz w:val="32"/>
          <w:szCs w:val="32"/>
        </w:rPr>
        <w:t>）</w:t>
      </w:r>
      <w:r>
        <w:rPr>
          <w:rFonts w:ascii="Times New Roman" w:hAnsi="Times New Roman"/>
          <w:sz w:val="32"/>
          <w:szCs w:val="32"/>
        </w:rPr>
        <w:t>、《项目支出绩效评价管理办法》</w:t>
      </w:r>
      <w:r>
        <w:rPr>
          <w:rFonts w:hint="eastAsia" w:ascii="Times New Roman" w:hAnsi="Times New Roman"/>
          <w:sz w:val="32"/>
          <w:szCs w:val="32"/>
        </w:rPr>
        <w:t>（</w:t>
      </w:r>
      <w:r>
        <w:rPr>
          <w:rFonts w:ascii="Times New Roman" w:hAnsi="Times New Roman"/>
          <w:sz w:val="32"/>
          <w:szCs w:val="32"/>
        </w:rPr>
        <w:t>财预〔2020〕10号</w:t>
      </w:r>
      <w:r>
        <w:rPr>
          <w:rFonts w:hint="eastAsia" w:ascii="Times New Roman" w:hAnsi="Times New Roman"/>
          <w:sz w:val="32"/>
          <w:szCs w:val="32"/>
        </w:rPr>
        <w:t>）</w:t>
      </w:r>
      <w:r>
        <w:rPr>
          <w:rFonts w:ascii="Times New Roman" w:hAnsi="Times New Roman"/>
          <w:sz w:val="32"/>
          <w:szCs w:val="32"/>
        </w:rPr>
        <w:t>、关于印发《中央部门项目支出核心绩效目标和指标设置及取值指引</w:t>
      </w:r>
      <w:r>
        <w:rPr>
          <w:rFonts w:hint="eastAsia" w:ascii="Times New Roman" w:hAnsi="Times New Roman"/>
          <w:sz w:val="32"/>
          <w:szCs w:val="32"/>
        </w:rPr>
        <w:t>（</w:t>
      </w:r>
      <w:r>
        <w:rPr>
          <w:rFonts w:ascii="Times New Roman" w:hAnsi="Times New Roman"/>
          <w:sz w:val="32"/>
          <w:szCs w:val="32"/>
        </w:rPr>
        <w:t>试行</w:t>
      </w:r>
      <w:r>
        <w:rPr>
          <w:rFonts w:hint="eastAsia" w:ascii="Times New Roman" w:hAnsi="Times New Roman"/>
          <w:sz w:val="32"/>
          <w:szCs w:val="32"/>
        </w:rPr>
        <w:t>）</w:t>
      </w:r>
      <w:r>
        <w:rPr>
          <w:rFonts w:ascii="Times New Roman" w:hAnsi="Times New Roman"/>
          <w:sz w:val="32"/>
          <w:szCs w:val="32"/>
        </w:rPr>
        <w:t>》的通知</w:t>
      </w:r>
      <w:r>
        <w:rPr>
          <w:rFonts w:hint="eastAsia" w:ascii="Times New Roman" w:hAnsi="Times New Roman"/>
          <w:sz w:val="32"/>
          <w:szCs w:val="32"/>
        </w:rPr>
        <w:t>（</w:t>
      </w:r>
      <w:r>
        <w:rPr>
          <w:rFonts w:ascii="Times New Roman" w:hAnsi="Times New Roman"/>
          <w:sz w:val="32"/>
          <w:szCs w:val="32"/>
        </w:rPr>
        <w:t>财预〔2021〕101号</w:t>
      </w:r>
      <w:r>
        <w:rPr>
          <w:rFonts w:hint="eastAsia" w:ascii="Times New Roman" w:hAnsi="Times New Roman"/>
          <w:sz w:val="32"/>
          <w:szCs w:val="32"/>
        </w:rPr>
        <w:t>）</w:t>
      </w:r>
      <w:r>
        <w:rPr>
          <w:rFonts w:ascii="Times New Roman" w:hAnsi="Times New Roman"/>
          <w:sz w:val="32"/>
          <w:szCs w:val="32"/>
        </w:rPr>
        <w:t>、《关于进一步加强和规范喀什地区项目支出“全过程”预算绩效管理结果应用的通知》</w:t>
      </w:r>
      <w:r>
        <w:rPr>
          <w:rFonts w:hint="eastAsia" w:ascii="Times New Roman" w:hAnsi="Times New Roman"/>
          <w:sz w:val="32"/>
          <w:szCs w:val="32"/>
        </w:rPr>
        <w:t>（</w:t>
      </w:r>
      <w:r>
        <w:rPr>
          <w:rFonts w:ascii="Times New Roman" w:hAnsi="Times New Roman"/>
          <w:sz w:val="32"/>
          <w:szCs w:val="32"/>
        </w:rPr>
        <w:t>喀地财绩〔2022〕2号</w:t>
      </w:r>
      <w:r>
        <w:rPr>
          <w:rFonts w:hint="eastAsia" w:ascii="Times New Roman" w:hAnsi="Times New Roman"/>
          <w:sz w:val="32"/>
          <w:szCs w:val="32"/>
        </w:rPr>
        <w:t>）</w:t>
      </w:r>
      <w:r>
        <w:rPr>
          <w:rFonts w:ascii="Times New Roman" w:hAnsi="Times New Roman"/>
          <w:sz w:val="32"/>
          <w:szCs w:val="32"/>
        </w:rPr>
        <w:t>等政策文件规定，</w:t>
      </w:r>
      <w:r>
        <w:rPr>
          <w:rFonts w:hint="eastAsia" w:ascii="Times New Roman" w:hAnsi="Times New Roman"/>
          <w:sz w:val="32"/>
          <w:szCs w:val="32"/>
          <w:highlight w:val="none"/>
        </w:rPr>
        <w:t>于2026年7月1日至2026年8月10日，</w:t>
      </w:r>
      <w:r>
        <w:rPr>
          <w:rFonts w:ascii="Times New Roman" w:hAnsi="Times New Roman"/>
          <w:sz w:val="32"/>
          <w:szCs w:val="32"/>
        </w:rPr>
        <w:t>评价组依据绩效评价的基本原理，结合项目特点，经过前期调研、方案制定、数据收集与梳理等环节，撰写形成本绩效评价报告。</w:t>
      </w:r>
    </w:p>
    <w:p w14:paraId="58E8693D">
      <w:pPr>
        <w:pStyle w:val="37"/>
        <w:widowControl w:val="0"/>
        <w:spacing w:before="0" w:after="0"/>
        <w:ind w:left="0" w:firstLine="640" w:firstLineChars="200"/>
        <w:rPr>
          <w:rFonts w:ascii="Times New Roman" w:hAnsi="Times New Roman" w:cs="黑体"/>
        </w:rPr>
      </w:pPr>
      <w:bookmarkStart w:id="18" w:name="_Toc12103"/>
      <w:bookmarkStart w:id="19" w:name="_Toc11460"/>
      <w:bookmarkStart w:id="20" w:name="_Toc24270"/>
      <w:bookmarkStart w:id="21" w:name="_Toc8968"/>
      <w:bookmarkStart w:id="22" w:name="_Toc6344"/>
      <w:bookmarkStart w:id="23" w:name="_Toc12823"/>
      <w:bookmarkStart w:id="24" w:name="_Toc31104"/>
      <w:bookmarkStart w:id="25" w:name="_Toc26715"/>
      <w:bookmarkStart w:id="26" w:name="_Toc32295"/>
      <w:bookmarkStart w:id="27" w:name="_Toc4763"/>
      <w:bookmarkStart w:id="28" w:name="_Toc4212"/>
      <w:bookmarkStart w:id="29" w:name="_Toc27623"/>
      <w:bookmarkStart w:id="30" w:name="_Toc19242"/>
      <w:bookmarkStart w:id="31" w:name="_Toc20522"/>
      <w:bookmarkStart w:id="32" w:name="_Toc8649"/>
      <w:bookmarkStart w:id="33" w:name="_Toc29859"/>
      <w:bookmarkStart w:id="34" w:name="_Toc7685"/>
      <w:bookmarkStart w:id="35" w:name="_Toc881"/>
      <w:bookmarkStart w:id="36" w:name="_Toc32467"/>
      <w:bookmarkStart w:id="37" w:name="_Toc9494"/>
      <w:bookmarkStart w:id="38" w:name="_Toc12223"/>
      <w:bookmarkStart w:id="39" w:name="_Toc5080"/>
      <w:bookmarkStart w:id="40" w:name="_Toc29311"/>
      <w:bookmarkStart w:id="41" w:name="_Toc30903"/>
      <w:bookmarkStart w:id="42" w:name="_Toc17482"/>
      <w:bookmarkStart w:id="43" w:name="_Toc6769"/>
      <w:bookmarkStart w:id="44" w:name="_Toc23723"/>
      <w:bookmarkStart w:id="45" w:name="_Toc30565"/>
      <w:bookmarkStart w:id="46" w:name="_Toc13775"/>
      <w:bookmarkStart w:id="47" w:name="_Toc26163"/>
      <w:bookmarkStart w:id="48" w:name="_Toc28855"/>
      <w:bookmarkStart w:id="49" w:name="_Toc32390"/>
      <w:bookmarkStart w:id="50" w:name="_Toc27014"/>
      <w:bookmarkStart w:id="51" w:name="_Toc4322"/>
      <w:bookmarkStart w:id="52" w:name="_Toc31139"/>
      <w:bookmarkStart w:id="53" w:name="_Toc4784"/>
      <w:bookmarkStart w:id="54" w:name="_Toc11500"/>
      <w:bookmarkStart w:id="55" w:name="_Toc1252"/>
      <w:bookmarkStart w:id="56" w:name="_Toc26039"/>
      <w:bookmarkStart w:id="57" w:name="_Toc23485"/>
      <w:bookmarkStart w:id="58" w:name="_Toc12890"/>
      <w:bookmarkStart w:id="59" w:name="_Toc18311"/>
      <w:bookmarkStart w:id="60" w:name="_Toc7951"/>
      <w:bookmarkStart w:id="61" w:name="_Toc4204"/>
      <w:bookmarkStart w:id="62" w:name="_Toc24955"/>
      <w:bookmarkStart w:id="63" w:name="_Toc11350"/>
      <w:bookmarkStart w:id="64" w:name="_Toc12644"/>
      <w:bookmarkStart w:id="65" w:name="_Toc30596"/>
      <w:bookmarkStart w:id="66" w:name="_Toc14144"/>
      <w:bookmarkStart w:id="67" w:name="_Toc21909"/>
      <w:bookmarkStart w:id="68" w:name="_Toc18198"/>
      <w:bookmarkStart w:id="69" w:name="_Toc21191"/>
      <w:bookmarkStart w:id="70" w:name="_Toc19653"/>
      <w:bookmarkStart w:id="71" w:name="_Toc14010"/>
      <w:bookmarkStart w:id="72" w:name="_Toc29377"/>
      <w:bookmarkStart w:id="73" w:name="_Toc30023"/>
      <w:bookmarkStart w:id="74" w:name="_Toc3090"/>
      <w:bookmarkStart w:id="75" w:name="_Toc4280"/>
      <w:bookmarkStart w:id="76" w:name="_Toc7372"/>
      <w:bookmarkStart w:id="77" w:name="_Toc3518"/>
      <w:bookmarkStart w:id="78" w:name="_Toc1399"/>
      <w:bookmarkStart w:id="79" w:name="_Toc4118"/>
      <w:bookmarkStart w:id="80" w:name="_Toc27791"/>
      <w:bookmarkStart w:id="81" w:name="_Toc3021"/>
      <w:bookmarkStart w:id="82" w:name="_Toc25092"/>
      <w:bookmarkStart w:id="83" w:name="_Toc28228"/>
      <w:bookmarkStart w:id="84" w:name="_Toc30178"/>
      <w:bookmarkStart w:id="85" w:name="_Toc15760"/>
      <w:bookmarkStart w:id="86" w:name="_Toc155"/>
      <w:bookmarkStart w:id="87" w:name="_Toc26650"/>
      <w:bookmarkStart w:id="88" w:name="_Toc6635"/>
      <w:bookmarkStart w:id="89" w:name="_Toc20840"/>
      <w:bookmarkStart w:id="90" w:name="_Toc22897"/>
      <w:bookmarkStart w:id="91" w:name="_Toc25919"/>
      <w:bookmarkStart w:id="92" w:name="_Toc28606"/>
      <w:bookmarkStart w:id="93" w:name="_Toc16344"/>
      <w:bookmarkStart w:id="94" w:name="_Toc28322"/>
      <w:bookmarkStart w:id="95" w:name="_Toc21582"/>
      <w:bookmarkStart w:id="96" w:name="_Toc8518"/>
      <w:bookmarkStart w:id="97" w:name="_Toc1820"/>
      <w:bookmarkStart w:id="98" w:name="_Toc22429"/>
      <w:bookmarkStart w:id="99" w:name="_Toc2122"/>
      <w:bookmarkStart w:id="100" w:name="_Toc579"/>
      <w:bookmarkStart w:id="101" w:name="_Toc13811"/>
      <w:bookmarkStart w:id="102" w:name="_Toc15619"/>
      <w:bookmarkStart w:id="103" w:name="_Toc16221"/>
      <w:r>
        <w:rPr>
          <w:rFonts w:ascii="Times New Roman" w:hAnsi="Times New Roman" w:cs="黑体"/>
        </w:rPr>
        <w:t>一、基本情况</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0BC1EA93">
      <w:pPr>
        <w:pStyle w:val="38"/>
        <w:ind w:firstLine="643"/>
        <w:rPr>
          <w:rFonts w:ascii="Times New Roman" w:hAnsi="Times New Roman"/>
        </w:rPr>
      </w:pPr>
      <w:bookmarkStart w:id="104" w:name="_Toc15632"/>
      <w:r>
        <w:rPr>
          <w:rFonts w:ascii="Times New Roman" w:hAnsi="Times New Roman"/>
        </w:rPr>
        <w:t>（一）项目概况</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4C6A757C">
      <w:pPr>
        <w:spacing w:line="560" w:lineRule="exact"/>
        <w:ind w:firstLine="643" w:firstLineChars="200"/>
        <w:rPr>
          <w:rFonts w:hint="eastAsia" w:ascii="Times New Roman" w:hAnsi="Times New Roman" w:eastAsia="仿宋_GB2312" w:cs="仿宋_GB2312"/>
          <w:b/>
          <w:bCs/>
          <w:sz w:val="32"/>
          <w:szCs w:val="32"/>
        </w:rPr>
      </w:pPr>
      <w:bookmarkStart w:id="105" w:name="_Toc15579"/>
      <w:r>
        <w:rPr>
          <w:rFonts w:hint="eastAsia" w:ascii="Times New Roman" w:hAnsi="Times New Roman" w:eastAsia="仿宋_GB2312" w:cs="仿宋_GB2312"/>
          <w:b/>
          <w:bCs/>
          <w:sz w:val="32"/>
          <w:szCs w:val="32"/>
        </w:rPr>
        <w:t>1.项目背景</w:t>
      </w:r>
      <w:bookmarkEnd w:id="105"/>
    </w:p>
    <w:p w14:paraId="4FEFE096">
      <w:pPr>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为深入贯彻落实党中央、国务院关于推动文化和旅游深度融合发展的决策部署，以及新疆维吾尔自治区关于“旅游兴疆”战略的总体要求，持续扩大喀什地区文旅品牌影响力，喀什市委、市政府高度重视文旅产业发展，明确提出要充分利用央视春晚等重大活动的辐射带动效应，将喀什打造成为具有国际影响力的旅游目的地。2024年央视春晚首次在喀什设立分会场，取得了巨大成功，极大提升了喀什的知名度和美誉度。为进一步巩固和放大春晚效应，持续叫响</w:t>
      </w:r>
      <w:r>
        <w:rPr>
          <w:rFonts w:hint="eastAsia" w:ascii="Times New Roman" w:hAnsi="Times New Roman" w:cs="Times New Roman"/>
          <w:kern w:val="2"/>
          <w:sz w:val="32"/>
          <w:szCs w:val="32"/>
          <w:lang w:val="en-US" w:eastAsia="zh-CN" w:bidi="ar-SA"/>
        </w:rPr>
        <w:t>“不到喀什，不算到新疆”</w:t>
      </w:r>
      <w:r>
        <w:rPr>
          <w:rFonts w:hint="eastAsia" w:ascii="Times New Roman" w:hAnsi="Times New Roman" w:eastAsia="仿宋_GB2312" w:cs="Times New Roman"/>
          <w:kern w:val="2"/>
          <w:sz w:val="32"/>
          <w:szCs w:val="32"/>
          <w:lang w:val="en-US" w:eastAsia="zh-CN" w:bidi="ar-SA"/>
        </w:rPr>
        <w:t>文旅品牌，喀什市决定依托春晚分会场舞台，开展</w:t>
      </w:r>
      <w:r>
        <w:rPr>
          <w:rFonts w:hint="eastAsia" w:ascii="Times New Roman" w:hAnsi="Times New Roman" w:cs="Times New Roman"/>
          <w:kern w:val="2"/>
          <w:sz w:val="32"/>
          <w:szCs w:val="32"/>
          <w:lang w:val="en-US" w:eastAsia="zh-CN" w:bidi="ar-SA"/>
        </w:rPr>
        <w:t>“新疆是个好地方”</w:t>
      </w:r>
      <w:r>
        <w:rPr>
          <w:rFonts w:hint="eastAsia" w:ascii="Times New Roman" w:hAnsi="Times New Roman" w:eastAsia="仿宋_GB2312" w:cs="Times New Roman"/>
          <w:kern w:val="2"/>
          <w:sz w:val="32"/>
          <w:szCs w:val="32"/>
          <w:lang w:val="en-US" w:eastAsia="zh-CN" w:bidi="ar-SA"/>
        </w:rPr>
        <w:t>大型主题演出活动，以展现喀什独特的自然景观、人文景观和民俗风情，推动喀什经济文化产业发展，丰富群众业余生活，打造景区、景点旅游新热点。</w:t>
      </w:r>
      <w:r>
        <w:rPr>
          <w:rFonts w:hint="eastAsia" w:ascii="Times New Roman" w:hAnsi="Times New Roman"/>
          <w:sz w:val="32"/>
          <w:szCs w:val="32"/>
        </w:rPr>
        <w:t>根据</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喀什市文化体育广播电视和旅游局局务会议纪要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喀什市文化体育广播电视和旅游局2025年第15次党组会议纪要</w:t>
      </w:r>
      <w:r>
        <w:rPr>
          <w:rFonts w:hint="eastAsia" w:ascii="Times New Roman" w:hAnsi="Times New Roman"/>
          <w:sz w:val="32"/>
          <w:szCs w:val="32"/>
          <w:lang w:eastAsia="zh-CN"/>
        </w:rPr>
        <w:t>》</w:t>
      </w:r>
      <w:r>
        <w:rPr>
          <w:rFonts w:hint="eastAsia" w:ascii="Times New Roman" w:hAnsi="Times New Roman"/>
          <w:sz w:val="32"/>
          <w:szCs w:val="32"/>
        </w:rPr>
        <w:t>等文件申请设立</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w:t>
      </w:r>
      <w:r>
        <w:rPr>
          <w:rFonts w:ascii="Times New Roman" w:hAnsi="Times New Roman"/>
          <w:sz w:val="32"/>
          <w:szCs w:val="32"/>
        </w:rPr>
        <w:t>结合</w:t>
      </w:r>
      <w:r>
        <w:rPr>
          <w:rFonts w:hint="eastAsia" w:ascii="Times New Roman" w:hAnsi="Times New Roman"/>
          <w:sz w:val="32"/>
          <w:szCs w:val="32"/>
          <w:lang w:val="en-US" w:eastAsia="zh-CN"/>
        </w:rPr>
        <w:t>喀什市文化体育广播电视和旅游局</w:t>
      </w:r>
      <w:r>
        <w:rPr>
          <w:rFonts w:ascii="Times New Roman" w:hAnsi="Times New Roman"/>
          <w:sz w:val="32"/>
          <w:szCs w:val="32"/>
        </w:rPr>
        <w:t>职责，围绕</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2025</w:t>
      </w:r>
      <w:r>
        <w:rPr>
          <w:rFonts w:ascii="Times New Roman" w:hAnsi="Times New Roman"/>
          <w:sz w:val="32"/>
          <w:szCs w:val="32"/>
        </w:rPr>
        <w:t>年度工作重点和工作任务制定经费预算</w:t>
      </w:r>
      <w:r>
        <w:rPr>
          <w:rFonts w:hint="eastAsia" w:ascii="Times New Roman" w:hAnsi="Times New Roman"/>
          <w:sz w:val="32"/>
          <w:szCs w:val="32"/>
        </w:rPr>
        <w:t>，</w:t>
      </w:r>
      <w:r>
        <w:rPr>
          <w:rFonts w:ascii="Times New Roman" w:hAnsi="Times New Roman"/>
          <w:sz w:val="32"/>
          <w:szCs w:val="32"/>
        </w:rPr>
        <w:t>本项目旨在评价</w:t>
      </w:r>
      <w:r>
        <w:rPr>
          <w:rFonts w:hint="eastAsia" w:ascii="Times New Roman" w:hAnsi="Times New Roman"/>
          <w:sz w:val="32"/>
          <w:szCs w:val="32"/>
          <w:lang w:val="en-US" w:eastAsia="zh-CN"/>
        </w:rPr>
        <w:t>2025年新疆是个好地方演出保障项目</w:t>
      </w:r>
      <w:r>
        <w:rPr>
          <w:rFonts w:ascii="Times New Roman" w:hAnsi="Times New Roman"/>
          <w:sz w:val="32"/>
          <w:szCs w:val="32"/>
        </w:rPr>
        <w:t>实施前期、过程及结果，评价财政预算资金使用的效率及效益</w:t>
      </w:r>
      <w:r>
        <w:rPr>
          <w:rFonts w:hint="eastAsia" w:ascii="Times New Roman" w:hAnsi="Times New Roman"/>
          <w:sz w:val="32"/>
          <w:szCs w:val="32"/>
        </w:rPr>
        <w:t>，</w:t>
      </w:r>
      <w:r>
        <w:rPr>
          <w:rFonts w:hint="eastAsia" w:ascii="Times New Roman" w:hAnsi="Times New Roman" w:eastAsia="仿宋_GB2312" w:cs="Times New Roman"/>
          <w:kern w:val="2"/>
          <w:sz w:val="32"/>
          <w:szCs w:val="32"/>
          <w:lang w:val="en-US" w:eastAsia="zh-CN" w:bidi="ar-SA"/>
        </w:rPr>
        <w:t>通过租赁专业灯光音响设备、修复舞台看台以及开展相关宣传推广，确保演出活动的高质量呈现，为喀什文旅产业高质量发展提供有力支撑。</w:t>
      </w:r>
    </w:p>
    <w:p w14:paraId="7B37BBEB">
      <w:pPr>
        <w:spacing w:line="560" w:lineRule="exact"/>
        <w:ind w:firstLine="643" w:firstLineChars="200"/>
        <w:rPr>
          <w:rFonts w:hint="eastAsia" w:ascii="Times New Roman" w:hAnsi="Times New Roman" w:eastAsia="仿宋_GB2312" w:cs="仿宋_GB2312"/>
          <w:b/>
          <w:bCs/>
          <w:sz w:val="32"/>
          <w:szCs w:val="32"/>
        </w:rPr>
      </w:pPr>
      <w:bookmarkStart w:id="106" w:name="_Toc14075"/>
      <w:r>
        <w:rPr>
          <w:rFonts w:hint="eastAsia" w:ascii="Times New Roman" w:hAnsi="Times New Roman" w:eastAsia="仿宋_GB2312" w:cs="仿宋_GB2312"/>
          <w:b/>
          <w:bCs/>
          <w:sz w:val="32"/>
          <w:szCs w:val="32"/>
        </w:rPr>
        <w:t>2.主要内容及实施情况</w:t>
      </w:r>
      <w:bookmarkEnd w:id="106"/>
    </w:p>
    <w:p w14:paraId="096767E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（1）项目主要内容</w:t>
      </w:r>
    </w:p>
    <w:p w14:paraId="513635BF">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根据喀什市委、市政府关于文旅产业发展的相关部署，喀什市文化体育广播电视和旅游局组织实施了2025年新疆是个好地方演出保障项目。本项目旨在通过</w:t>
      </w:r>
      <w:r>
        <w:rPr>
          <w:rFonts w:hint="eastAsia" w:ascii="Times New Roman" w:hAnsi="Times New Roman" w:cs="Times New Roman"/>
          <w:sz w:val="30"/>
          <w:szCs w:val="30"/>
        </w:rPr>
        <w:t>租赁专业灯光音响设备、舞台看台修复以及相关广告宣传，保障</w:t>
      </w:r>
      <w:r>
        <w:rPr>
          <w:rFonts w:hint="eastAsia" w:ascii="Times New Roman" w:hAnsi="Times New Roman" w:cs="Times New Roman"/>
          <w:sz w:val="30"/>
          <w:szCs w:val="30"/>
          <w:lang w:eastAsia="zh-CN"/>
        </w:rPr>
        <w:t>“新疆是个好地方”</w:t>
      </w:r>
      <w:r>
        <w:rPr>
          <w:rFonts w:hint="eastAsia" w:ascii="Times New Roman" w:hAnsi="Times New Roman" w:cs="Times New Roman"/>
          <w:sz w:val="30"/>
          <w:szCs w:val="30"/>
        </w:rPr>
        <w:t>大型演出活动的顺利举办，提升演</w:t>
      </w:r>
      <w:r>
        <w:rPr>
          <w:rFonts w:hint="eastAsia" w:ascii="Times New Roman" w:hAnsi="Times New Roman" w:cs="Times New Roman"/>
          <w:sz w:val="32"/>
          <w:szCs w:val="32"/>
        </w:rPr>
        <w:t>出质量和效果，满足人民群众精神文化需求。</w:t>
      </w:r>
    </w:p>
    <w:p w14:paraId="07DC0EF6">
      <w:pPr>
        <w:spacing w:line="560" w:lineRule="exact"/>
        <w:ind w:firstLine="643" w:firstLineChars="200"/>
        <w:rPr>
          <w:rFonts w:ascii="Times New Roman" w:hAnsi="Times New Roman"/>
          <w:b/>
          <w:bCs/>
          <w:sz w:val="32"/>
          <w:szCs w:val="32"/>
        </w:rPr>
      </w:pPr>
      <w:r>
        <w:rPr>
          <w:rFonts w:hint="eastAsia" w:ascii="Times New Roman" w:hAnsi="Times New Roman"/>
          <w:b/>
          <w:bCs/>
          <w:sz w:val="32"/>
          <w:szCs w:val="32"/>
        </w:rPr>
        <w:t>（2）项目实施情况</w:t>
      </w:r>
    </w:p>
    <w:p w14:paraId="3826F1E4">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bookmarkStart w:id="107" w:name="_Toc22205"/>
      <w:r>
        <w:rPr>
          <w:rFonts w:hint="eastAsia" w:ascii="Times New Roman" w:hAnsi="Times New Roman" w:cs="Times New Roman"/>
          <w:sz w:val="32"/>
          <w:szCs w:val="32"/>
        </w:rPr>
        <w:t>截至2025年12月31日，</w:t>
      </w:r>
      <w:r>
        <w:rPr>
          <w:rFonts w:hint="eastAsia" w:ascii="Times New Roman" w:hAnsi="Times New Roman" w:cs="Times New Roman"/>
          <w:sz w:val="32"/>
          <w:szCs w:val="32"/>
          <w:lang w:val="en-US" w:eastAsia="zh-CN"/>
        </w:rPr>
        <w:t>本项目实际支出资金49.40万元，用于开展《新疆是个好地方》演出补助</w:t>
      </w:r>
      <w:r>
        <w:rPr>
          <w:rFonts w:hint="eastAsia" w:ascii="Times New Roman" w:hAnsi="Times New Roman" w:cs="Times New Roman"/>
          <w:sz w:val="32"/>
          <w:szCs w:val="32"/>
        </w:rPr>
        <w:t>。</w:t>
      </w:r>
      <w:r>
        <w:rPr>
          <w:rFonts w:hint="eastAsia" w:ascii="Times New Roman" w:hAnsi="Times New Roman" w:cs="Times New Roman"/>
          <w:sz w:val="32"/>
          <w:szCs w:val="32"/>
          <w:lang w:val="en-US" w:eastAsia="zh-CN"/>
        </w:rPr>
        <w:t>重点围绕演出设施升级与运行保障展开。一是完成演出核心设备租赁，包括切割灯、摇头灯等专业灯光系统租赁费用合计21.34万元，确保舞台视觉效果达到演出标准；二是投入演出设备租赁费24.99万元，涵盖音响、舞台机械、幕布等配套器材，全面满足各类演出场景需求；三是强化后勤保障，安排演出送餐服务资金0.58万元，确保演职人员连续排演期间的后勤补给；四是注重宣传推广，投入广告宣传资料费2.49万元，用于制作演出海报、节目单、宣传折页等，扩大演出社会影响力。通过实施本项目，提升了演出整体质量和视觉效果，有效保障了演出的顺利开展。项目实施在凝聚人心、促进文化交流、展示新疆美好形象方面取得了积极成效。</w:t>
      </w:r>
    </w:p>
    <w:p w14:paraId="7762EF62">
      <w:pPr>
        <w:spacing w:line="560" w:lineRule="exact"/>
        <w:ind w:firstLine="643" w:firstLineChars="200"/>
        <w:jc w:val="left"/>
        <w:rPr>
          <w:rFonts w:hint="eastAsia" w:ascii="Times New Roman" w:hAnsi="Times New Roman" w:cs="仿宋_GB2312"/>
          <w:b/>
          <w:bCs/>
          <w:kern w:val="0"/>
          <w:sz w:val="32"/>
          <w:szCs w:val="32"/>
          <w:lang w:bidi="en-US"/>
        </w:rPr>
      </w:pPr>
      <w:r>
        <w:rPr>
          <w:rFonts w:ascii="Times New Roman" w:hAnsi="Times New Roman" w:eastAsia="方正仿宋_GBK"/>
          <w:b/>
          <w:bCs/>
          <w:kern w:val="0"/>
          <w:sz w:val="32"/>
          <w:szCs w:val="32"/>
          <w:lang w:bidi="en-US"/>
        </w:rPr>
        <w:t>3</w:t>
      </w:r>
      <w:r>
        <w:rPr>
          <w:rFonts w:hint="eastAsia" w:ascii="Times New Roman" w:hAnsi="Times New Roman" w:eastAsia="方正仿宋_GBK" w:cs="仿宋"/>
          <w:b/>
          <w:bCs/>
          <w:kern w:val="0"/>
          <w:sz w:val="32"/>
          <w:szCs w:val="32"/>
          <w:lang w:bidi="en-US"/>
        </w:rPr>
        <w:t>.</w:t>
      </w:r>
      <w:r>
        <w:rPr>
          <w:rFonts w:hint="eastAsia" w:ascii="Times New Roman" w:hAnsi="Times New Roman" w:cs="仿宋_GB2312"/>
          <w:b/>
          <w:bCs/>
          <w:kern w:val="0"/>
          <w:sz w:val="32"/>
          <w:szCs w:val="32"/>
          <w:lang w:bidi="en-US"/>
        </w:rPr>
        <w:t>资金投入和使用情况</w:t>
      </w:r>
      <w:bookmarkEnd w:id="107"/>
    </w:p>
    <w:p w14:paraId="5AAEFE0D">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（1）资金投入情况</w:t>
      </w:r>
    </w:p>
    <w:p w14:paraId="78524C1A">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根据</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喀什市文化体育广播电视和旅游局局务会议纪要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喀什市文化体育广播电视和旅游局2025年第15次党组会议纪要</w:t>
      </w:r>
      <w:r>
        <w:rPr>
          <w:rFonts w:hint="eastAsia" w:ascii="Times New Roman" w:hAnsi="Times New Roman"/>
          <w:sz w:val="32"/>
          <w:szCs w:val="32"/>
          <w:lang w:eastAsia="zh-CN"/>
        </w:rPr>
        <w:t>》</w:t>
      </w:r>
      <w:r>
        <w:rPr>
          <w:rFonts w:hint="eastAsia" w:ascii="Times New Roman" w:hAnsi="Times New Roman" w:cs="Times New Roman"/>
          <w:sz w:val="32"/>
          <w:szCs w:val="32"/>
          <w:lang w:eastAsia="zh-CN"/>
        </w:rPr>
        <w:t>，本</w:t>
      </w:r>
      <w:r>
        <w:rPr>
          <w:rFonts w:hint="eastAsia" w:ascii="Times New Roman" w:hAnsi="Times New Roman" w:cs="Times New Roman"/>
          <w:sz w:val="32"/>
          <w:szCs w:val="32"/>
        </w:rPr>
        <w:t>项目总预算资金</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，为</w:t>
      </w:r>
      <w:r>
        <w:rPr>
          <w:rFonts w:hint="eastAsia" w:ascii="Times New Roman" w:hAnsi="Times New Roman" w:cs="Times New Roman"/>
          <w:sz w:val="32"/>
          <w:szCs w:val="32"/>
          <w:lang w:val="en-US" w:eastAsia="zh-CN"/>
        </w:rPr>
        <w:t>本级财力资金</w:t>
      </w:r>
      <w:r>
        <w:rPr>
          <w:rFonts w:hint="eastAsia" w:ascii="Times New Roman" w:hAnsi="Times New Roman" w:cs="Times New Roman"/>
          <w:sz w:val="32"/>
          <w:szCs w:val="32"/>
        </w:rPr>
        <w:t>，实际到位资金为</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，资金到位率=（实际到位资金/预算资金）×100%=（</w:t>
      </w:r>
      <w:r>
        <w:rPr>
          <w:rFonts w:hint="eastAsia" w:ascii="Times New Roman" w:hAnsi="Times New Roman" w:cs="Times New Roman"/>
          <w:sz w:val="32"/>
          <w:szCs w:val="32"/>
          <w:lang w:val="en-US" w:eastAsia="zh-CN"/>
        </w:rPr>
        <w:t>49.40</w:t>
      </w:r>
      <w:r>
        <w:rPr>
          <w:rFonts w:hint="eastAsia" w:ascii="Times New Roman" w:hAnsi="Times New Roman" w:cs="Times New Roman"/>
          <w:sz w:val="32"/>
          <w:szCs w:val="32"/>
        </w:rPr>
        <w:t>/</w:t>
      </w:r>
      <w:r>
        <w:rPr>
          <w:rFonts w:hint="eastAsia" w:ascii="Times New Roman" w:hAnsi="Times New Roman" w:cs="Times New Roman"/>
          <w:sz w:val="32"/>
          <w:szCs w:val="32"/>
          <w:lang w:val="en-US" w:eastAsia="zh-CN"/>
        </w:rPr>
        <w:t>49.40</w:t>
      </w:r>
      <w:r>
        <w:rPr>
          <w:rFonts w:hint="eastAsia" w:ascii="Times New Roman" w:hAnsi="Times New Roman" w:cs="Times New Roman"/>
          <w:sz w:val="32"/>
          <w:szCs w:val="32"/>
        </w:rPr>
        <w:t>）×100%=100%。</w:t>
      </w:r>
    </w:p>
    <w:p w14:paraId="3D523092">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（2）资金使用情况</w:t>
      </w:r>
    </w:p>
    <w:p w14:paraId="6D62506C">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rPr>
        <w:t>截至2025年12月31日，</w:t>
      </w: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cs="Times New Roman"/>
          <w:sz w:val="32"/>
          <w:szCs w:val="32"/>
        </w:rPr>
        <w:t>预算资金总额为</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，实际支出</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，资金主要用于：演出切割灯租赁费0.77万元、演出摇头灯租赁费20.57万元、演出设备租赁费24.99万元、演出送餐保障资金0.58万元、演出广告宣传资料费2.49万元。</w:t>
      </w:r>
    </w:p>
    <w:p w14:paraId="126A75D6">
      <w:pPr>
        <w:pStyle w:val="38"/>
        <w:ind w:firstLine="643"/>
        <w:rPr>
          <w:rFonts w:ascii="Times New Roman" w:hAnsi="Times New Roman"/>
        </w:rPr>
      </w:pPr>
      <w:bookmarkStart w:id="108" w:name="_Toc30452"/>
      <w:bookmarkStart w:id="109" w:name="_Toc12054"/>
      <w:bookmarkStart w:id="110" w:name="_Toc26310"/>
      <w:bookmarkStart w:id="111" w:name="_Toc15662"/>
      <w:bookmarkStart w:id="112" w:name="_Toc20721"/>
      <w:bookmarkStart w:id="113" w:name="_Toc19251"/>
      <w:bookmarkStart w:id="114" w:name="_Toc7605"/>
      <w:bookmarkStart w:id="115" w:name="_Toc32348"/>
      <w:bookmarkStart w:id="116" w:name="_Toc17251"/>
      <w:bookmarkStart w:id="117" w:name="_Toc30131"/>
      <w:bookmarkStart w:id="118" w:name="_Toc13104"/>
      <w:bookmarkStart w:id="119" w:name="_Toc26542"/>
      <w:bookmarkStart w:id="120" w:name="_Toc3248"/>
      <w:bookmarkStart w:id="121" w:name="_Toc23876"/>
      <w:bookmarkStart w:id="122" w:name="_Toc12382"/>
      <w:bookmarkStart w:id="123" w:name="_Toc25558"/>
      <w:bookmarkStart w:id="124" w:name="_Toc17503"/>
      <w:bookmarkStart w:id="125" w:name="_Toc31745"/>
      <w:bookmarkStart w:id="126" w:name="_Toc2217"/>
      <w:bookmarkStart w:id="127" w:name="_Toc140231623"/>
      <w:bookmarkStart w:id="128" w:name="_Toc28080"/>
      <w:bookmarkStart w:id="129" w:name="_Toc12218"/>
      <w:bookmarkStart w:id="130" w:name="_Toc29710"/>
      <w:bookmarkStart w:id="131" w:name="_Toc25095"/>
      <w:bookmarkStart w:id="132" w:name="_Toc26048"/>
      <w:bookmarkStart w:id="133" w:name="_Toc17442"/>
      <w:bookmarkStart w:id="134" w:name="_Toc30209"/>
      <w:bookmarkStart w:id="135" w:name="_Toc26511"/>
      <w:bookmarkStart w:id="136" w:name="_Toc28964"/>
      <w:bookmarkStart w:id="137" w:name="_Toc1799"/>
      <w:bookmarkStart w:id="138" w:name="_Toc8757"/>
      <w:bookmarkStart w:id="139" w:name="_Toc14592"/>
      <w:bookmarkStart w:id="140" w:name="_Toc1219"/>
      <w:bookmarkStart w:id="141" w:name="_Toc17953"/>
      <w:bookmarkStart w:id="142" w:name="_Toc3165"/>
      <w:bookmarkStart w:id="143" w:name="_Toc397"/>
      <w:bookmarkStart w:id="144" w:name="_Toc12030"/>
      <w:bookmarkStart w:id="145" w:name="_Toc10597"/>
      <w:bookmarkStart w:id="146" w:name="_Toc5675"/>
      <w:bookmarkStart w:id="147" w:name="_Toc21033"/>
      <w:bookmarkStart w:id="148" w:name="_Toc15478"/>
      <w:bookmarkStart w:id="149" w:name="_Toc822"/>
      <w:bookmarkStart w:id="150" w:name="_Toc11623"/>
      <w:bookmarkStart w:id="151" w:name="_Toc19749"/>
      <w:bookmarkStart w:id="152" w:name="_Toc26893"/>
      <w:r>
        <w:rPr>
          <w:rFonts w:ascii="Times New Roman" w:hAnsi="Times New Roman"/>
        </w:rPr>
        <w:t>（二）项目绩效目标</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317CD968">
      <w:pPr>
        <w:spacing w:line="560" w:lineRule="exact"/>
        <w:ind w:firstLine="643" w:firstLineChars="200"/>
        <w:jc w:val="left"/>
        <w:rPr>
          <w:rFonts w:ascii="Times New Roman" w:hAnsi="Times New Roman"/>
          <w:sz w:val="32"/>
          <w:szCs w:val="32"/>
          <w:highlight w:val="none"/>
        </w:rPr>
      </w:pPr>
      <w:bookmarkStart w:id="153" w:name="_Toc428"/>
      <w:r>
        <w:rPr>
          <w:rFonts w:hint="eastAsia" w:ascii="Times New Roman" w:hAnsi="Times New Roman"/>
          <w:b/>
          <w:bCs/>
          <w:sz w:val="32"/>
          <w:szCs w:val="32"/>
          <w:highlight w:val="none"/>
        </w:rPr>
        <w:t>1.总体目标</w:t>
      </w:r>
      <w:bookmarkEnd w:id="153"/>
    </w:p>
    <w:p w14:paraId="2B957909">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sz w:val="32"/>
          <w:szCs w:val="32"/>
        </w:rPr>
      </w:pPr>
      <w:r>
        <w:rPr>
          <w:rFonts w:hint="eastAsia" w:ascii="Times New Roman" w:hAnsi="Times New Roman" w:cs="Times New Roman"/>
          <w:sz w:val="32"/>
          <w:szCs w:val="32"/>
        </w:rPr>
        <w:t>通过租赁专业灯光音响设备、修复舞台看台及开展广告宣传，保障2025年《新疆是个好地方》大型演出活动的顺利举办。依托专业设备与高质量的舞台保障，显著提升《新疆是个好地方》演出的视听呈现效果，增强演出的艺术感染力与观赏性。为喀什市常态化开展文旅演出活动提供坚实的硬件保障基础，确保演出能够持续、稳定、高质量地服务于本地群众和外来游客。通过高质量的演出，更好地宣传喀什独特的自然景观、人文景观和民俗风情，推动喀什经济文化产业发展，持续叫响“不到喀什</w:t>
      </w:r>
      <w:r>
        <w:rPr>
          <w:rFonts w:hint="eastAsia" w:ascii="Times New Roman" w:hAnsi="Times New Roman" w:cs="Times New Roman"/>
          <w:sz w:val="32"/>
          <w:szCs w:val="32"/>
          <w:lang w:eastAsia="zh-CN"/>
        </w:rPr>
        <w:t>，</w:t>
      </w:r>
      <w:r>
        <w:rPr>
          <w:rFonts w:hint="eastAsia" w:ascii="Times New Roman" w:hAnsi="Times New Roman" w:cs="Times New Roman"/>
          <w:sz w:val="32"/>
          <w:szCs w:val="32"/>
        </w:rPr>
        <w:t>不算到新疆”文旅品牌。</w:t>
      </w:r>
      <w:r>
        <w:rPr>
          <w:rFonts w:hint="eastAsia" w:ascii="Times New Roman" w:hAnsi="Times New Roman" w:cs="Times New Roman"/>
          <w:sz w:val="32"/>
          <w:szCs w:val="32"/>
          <w:lang w:val="en-US" w:eastAsia="zh-CN"/>
        </w:rPr>
        <w:t xml:space="preserve"> </w:t>
      </w:r>
    </w:p>
    <w:p w14:paraId="5772CA99">
      <w:pPr>
        <w:spacing w:line="560" w:lineRule="exact"/>
        <w:ind w:firstLine="643" w:firstLineChars="200"/>
        <w:jc w:val="left"/>
        <w:rPr>
          <w:rFonts w:ascii="Times New Roman" w:hAnsi="Times New Roman"/>
          <w:b/>
          <w:bCs/>
          <w:sz w:val="32"/>
          <w:szCs w:val="32"/>
          <w:highlight w:val="none"/>
        </w:rPr>
      </w:pPr>
      <w:r>
        <w:rPr>
          <w:rFonts w:hint="eastAsia" w:ascii="Times New Roman" w:hAnsi="Times New Roman"/>
          <w:b/>
          <w:bCs/>
          <w:sz w:val="32"/>
          <w:szCs w:val="32"/>
          <w:highlight w:val="none"/>
        </w:rPr>
        <w:t>2.阶段性目标</w:t>
      </w:r>
    </w:p>
    <w:p w14:paraId="04B65EC4">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sz w:val="32"/>
          <w:szCs w:val="32"/>
          <w:lang w:val="en-US" w:eastAsia="zh-CN"/>
        </w:rPr>
      </w:pPr>
      <w:bookmarkStart w:id="154" w:name="_Toc6816"/>
      <w:r>
        <w:rPr>
          <w:rFonts w:hint="eastAsia" w:ascii="Times New Roman" w:hAnsi="Times New Roman"/>
          <w:sz w:val="32"/>
          <w:szCs w:val="32"/>
          <w:lang w:val="en-US" w:eastAsia="zh-CN"/>
        </w:rPr>
        <w:t>本项目安排预算资金49.40万元，计划开展《新疆是个好地方》演出，由喀什市负责保障演出所需的灯光音响设备租赁，舞台、看台修复等工作。其中：</w:t>
      </w:r>
      <w:r>
        <w:rPr>
          <w:rFonts w:hint="eastAsia" w:ascii="Times New Roman" w:hAnsi="Times New Roman" w:cs="Times New Roman"/>
          <w:sz w:val="32"/>
          <w:szCs w:val="32"/>
        </w:rPr>
        <w:t>演出切割灯租赁费0.77万元、演出摇头灯租赁费20.57万元、演出设备租赁费24.99万元、演出送餐保障资金0.58万元、演出广告宣传资料费2.49万元。</w:t>
      </w:r>
      <w:r>
        <w:rPr>
          <w:rFonts w:hint="eastAsia" w:ascii="Times New Roman" w:hAnsi="Times New Roman" w:cs="Times New Roman"/>
          <w:sz w:val="32"/>
          <w:szCs w:val="32"/>
          <w:lang w:val="en-US" w:eastAsia="zh-CN"/>
        </w:rPr>
        <w:t>通过实施本项目，提升演出质量和效果，满足日常演出需求。</w:t>
      </w:r>
    </w:p>
    <w:p w14:paraId="66B0FFF1">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3.具体绩效指标</w:t>
      </w:r>
      <w:bookmarkEnd w:id="154"/>
    </w:p>
    <w:p w14:paraId="0F2CEB20">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cs="Times New Roman"/>
          <w:sz w:val="32"/>
          <w:szCs w:val="32"/>
        </w:rPr>
        <w:t>预算</w:t>
      </w:r>
      <w:r>
        <w:rPr>
          <w:rFonts w:hint="eastAsia" w:ascii="Times New Roman" w:hAnsi="Times New Roman" w:cs="Times New Roman"/>
          <w:sz w:val="32"/>
          <w:szCs w:val="32"/>
          <w:lang w:val="en-US" w:eastAsia="zh-CN"/>
        </w:rPr>
        <w:t>49.40万元</w:t>
      </w:r>
      <w:r>
        <w:rPr>
          <w:rFonts w:hint="eastAsia" w:ascii="Times New Roman" w:hAnsi="Times New Roman" w:cs="Times New Roman"/>
          <w:sz w:val="32"/>
          <w:szCs w:val="32"/>
        </w:rPr>
        <w:t>。设置了4个一级指标，6个二级指标，</w:t>
      </w:r>
      <w:r>
        <w:rPr>
          <w:rFonts w:hint="eastAsia" w:ascii="Times New Roman" w:hAnsi="Times New Roman" w:cs="Times New Roman"/>
          <w:sz w:val="32"/>
          <w:szCs w:val="32"/>
          <w:lang w:val="en-US" w:eastAsia="zh-CN"/>
        </w:rPr>
        <w:t>13</w:t>
      </w:r>
      <w:r>
        <w:rPr>
          <w:rFonts w:hint="eastAsia" w:ascii="Times New Roman" w:hAnsi="Times New Roman" w:cs="Times New Roman"/>
          <w:sz w:val="32"/>
          <w:szCs w:val="32"/>
        </w:rPr>
        <w:t>个三级指标，具体情况如下：</w:t>
      </w:r>
    </w:p>
    <w:p w14:paraId="3D628F15">
      <w:pPr>
        <w:pStyle w:val="18"/>
        <w:spacing w:after="0" w:line="300" w:lineRule="exact"/>
        <w:ind w:left="0" w:leftChars="0" w:firstLine="0" w:firstLineChars="0"/>
        <w:jc w:val="center"/>
        <w:rPr>
          <w:rFonts w:hint="eastAsia" w:ascii="Times New Roman" w:hAnsi="Times New Roman" w:cs="仿宋_GB2312"/>
          <w:b/>
          <w:bCs/>
          <w:sz w:val="24"/>
        </w:rPr>
      </w:pPr>
      <w:bookmarkStart w:id="155" w:name="_Toc8987"/>
      <w:bookmarkStart w:id="156" w:name="_Toc8419"/>
      <w:bookmarkStart w:id="157" w:name="_Toc8668"/>
      <w:bookmarkStart w:id="158" w:name="_Toc5461"/>
      <w:bookmarkStart w:id="159" w:name="_Toc9593"/>
      <w:bookmarkStart w:id="160" w:name="_Toc3332"/>
      <w:bookmarkStart w:id="161" w:name="_Toc31715"/>
      <w:bookmarkStart w:id="162" w:name="_Toc19927"/>
      <w:bookmarkStart w:id="163" w:name="_Toc16484"/>
      <w:bookmarkStart w:id="164" w:name="_Toc7644"/>
      <w:bookmarkStart w:id="165" w:name="_Toc24574"/>
      <w:bookmarkStart w:id="166" w:name="_Toc16040"/>
      <w:bookmarkStart w:id="167" w:name="_Toc19258"/>
      <w:bookmarkStart w:id="168" w:name="_Toc8096"/>
      <w:bookmarkStart w:id="169" w:name="_Toc24934"/>
      <w:bookmarkStart w:id="170" w:name="_Toc32669"/>
      <w:bookmarkStart w:id="171" w:name="_Toc7869"/>
      <w:bookmarkStart w:id="172" w:name="_Toc20183"/>
      <w:bookmarkStart w:id="173" w:name="_Toc18197"/>
      <w:bookmarkStart w:id="174" w:name="_Toc24563"/>
      <w:bookmarkStart w:id="175" w:name="_Toc20378"/>
      <w:bookmarkStart w:id="176" w:name="_Toc18180"/>
      <w:bookmarkStart w:id="177" w:name="_Toc15573"/>
      <w:bookmarkStart w:id="178" w:name="_Toc9285"/>
      <w:bookmarkStart w:id="179" w:name="_Toc25140"/>
      <w:bookmarkStart w:id="180" w:name="_Toc4558"/>
      <w:bookmarkStart w:id="181" w:name="_Toc11447"/>
      <w:bookmarkStart w:id="182" w:name="_Toc5725"/>
      <w:bookmarkStart w:id="183" w:name="_Toc10652"/>
      <w:bookmarkStart w:id="184" w:name="_Toc10764"/>
      <w:bookmarkStart w:id="185" w:name="_Toc648"/>
      <w:bookmarkStart w:id="186" w:name="_Toc4081"/>
      <w:bookmarkStart w:id="187" w:name="_Toc15953"/>
      <w:bookmarkStart w:id="188" w:name="_Toc16800"/>
      <w:bookmarkStart w:id="189" w:name="_Toc9118"/>
      <w:bookmarkStart w:id="190" w:name="_Toc4666"/>
      <w:bookmarkStart w:id="191" w:name="_Toc30973"/>
      <w:bookmarkStart w:id="192" w:name="_Toc23853"/>
      <w:bookmarkStart w:id="193" w:name="_Toc14236"/>
      <w:bookmarkStart w:id="194" w:name="_Toc9899"/>
      <w:bookmarkStart w:id="195" w:name="_Toc24500"/>
      <w:bookmarkStart w:id="196" w:name="_Toc25380"/>
      <w:r>
        <w:rPr>
          <w:rFonts w:hint="eastAsia" w:ascii="Times New Roman" w:hAnsi="Times New Roman" w:cs="仿宋_GB2312"/>
          <w:b/>
          <w:bCs/>
          <w:sz w:val="24"/>
          <w:lang w:val="en-US" w:eastAsia="zh-CN"/>
        </w:rPr>
        <w:t>2025年新疆是个好地方演出保障项目</w:t>
      </w:r>
      <w:r>
        <w:rPr>
          <w:rFonts w:hint="eastAsia" w:ascii="Times New Roman" w:hAnsi="Times New Roman" w:cs="仿宋_GB2312"/>
          <w:b/>
          <w:bCs/>
          <w:sz w:val="24"/>
        </w:rPr>
        <w:t>目标表</w:t>
      </w:r>
    </w:p>
    <w:tbl>
      <w:tblPr>
        <w:tblStyle w:val="19"/>
        <w:tblW w:w="896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01"/>
        <w:gridCol w:w="4252"/>
        <w:gridCol w:w="1581"/>
      </w:tblGrid>
      <w:tr w14:paraId="71FF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1433" w:type="dxa"/>
            <w:tcBorders>
              <w:tl2br w:val="nil"/>
              <w:tr2bl w:val="nil"/>
            </w:tcBorders>
            <w:shd w:val="clear" w:color="auto" w:fill="EEECE1" w:themeFill="background2"/>
            <w:vAlign w:val="center"/>
          </w:tcPr>
          <w:p w14:paraId="44086B85">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一级指标</w:t>
            </w:r>
          </w:p>
        </w:tc>
        <w:tc>
          <w:tcPr>
            <w:tcW w:w="1701" w:type="dxa"/>
            <w:tcBorders>
              <w:tl2br w:val="nil"/>
              <w:tr2bl w:val="nil"/>
            </w:tcBorders>
            <w:shd w:val="clear" w:color="auto" w:fill="EEECE1" w:themeFill="background2"/>
            <w:vAlign w:val="center"/>
          </w:tcPr>
          <w:p w14:paraId="4ADD9C78">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二级指标</w:t>
            </w:r>
          </w:p>
        </w:tc>
        <w:tc>
          <w:tcPr>
            <w:tcW w:w="4252" w:type="dxa"/>
            <w:tcBorders>
              <w:tl2br w:val="nil"/>
              <w:tr2bl w:val="nil"/>
            </w:tcBorders>
            <w:shd w:val="clear" w:color="auto" w:fill="EEECE1" w:themeFill="background2"/>
            <w:vAlign w:val="center"/>
          </w:tcPr>
          <w:p w14:paraId="1E52BFED">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三级指标</w:t>
            </w:r>
          </w:p>
        </w:tc>
        <w:tc>
          <w:tcPr>
            <w:tcW w:w="1581" w:type="dxa"/>
            <w:tcBorders>
              <w:tl2br w:val="nil"/>
              <w:tr2bl w:val="nil"/>
            </w:tcBorders>
            <w:shd w:val="clear" w:color="auto" w:fill="EEECE1" w:themeFill="background2"/>
            <w:vAlign w:val="center"/>
          </w:tcPr>
          <w:p w14:paraId="407D6E0B">
            <w:pPr>
              <w:widowControl/>
              <w:spacing w:line="300" w:lineRule="exact"/>
              <w:jc w:val="center"/>
              <w:rPr>
                <w:rFonts w:ascii="Times New Roman" w:hAnsi="Times New Roman"/>
                <w:b/>
                <w:bCs/>
                <w:color w:val="000000"/>
                <w:kern w:val="0"/>
                <w:sz w:val="22"/>
                <w:szCs w:val="22"/>
              </w:rPr>
            </w:pPr>
            <w:r>
              <w:rPr>
                <w:rFonts w:ascii="Times New Roman" w:hAnsi="Times New Roman"/>
                <w:b/>
                <w:bCs/>
                <w:color w:val="000000"/>
                <w:kern w:val="0"/>
                <w:sz w:val="22"/>
                <w:szCs w:val="22"/>
              </w:rPr>
              <w:t>年度指标值</w:t>
            </w:r>
          </w:p>
        </w:tc>
      </w:tr>
      <w:tr w14:paraId="792A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4113B864">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产出指标</w:t>
            </w:r>
          </w:p>
        </w:tc>
        <w:tc>
          <w:tcPr>
            <w:tcW w:w="1701" w:type="dxa"/>
            <w:vMerge w:val="restart"/>
            <w:tcBorders>
              <w:tl2br w:val="nil"/>
              <w:tr2bl w:val="nil"/>
            </w:tcBorders>
            <w:vAlign w:val="center"/>
          </w:tcPr>
          <w:p w14:paraId="36D0327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数量指标</w:t>
            </w:r>
          </w:p>
        </w:tc>
        <w:tc>
          <w:tcPr>
            <w:tcW w:w="4252" w:type="dxa"/>
            <w:tcBorders>
              <w:tl2br w:val="nil"/>
              <w:tr2bl w:val="nil"/>
            </w:tcBorders>
            <w:noWrap/>
            <w:vAlign w:val="center"/>
          </w:tcPr>
          <w:p w14:paraId="2286830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演出广告宣传场次</w:t>
            </w:r>
          </w:p>
        </w:tc>
        <w:tc>
          <w:tcPr>
            <w:tcW w:w="1581" w:type="dxa"/>
            <w:tcBorders>
              <w:tl2br w:val="nil"/>
              <w:tr2bl w:val="nil"/>
            </w:tcBorders>
            <w:vAlign w:val="center"/>
          </w:tcPr>
          <w:p w14:paraId="3C294C63">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&gt;=1场次</w:t>
            </w:r>
          </w:p>
        </w:tc>
      </w:tr>
      <w:tr w14:paraId="35C1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B059AD1">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4EA71615">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604936A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租赁灯光设备数量</w:t>
            </w:r>
          </w:p>
        </w:tc>
        <w:tc>
          <w:tcPr>
            <w:tcW w:w="1581" w:type="dxa"/>
            <w:tcBorders>
              <w:tl2br w:val="nil"/>
              <w:tr2bl w:val="nil"/>
            </w:tcBorders>
            <w:vAlign w:val="center"/>
          </w:tcPr>
          <w:p w14:paraId="67297E61">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rPr>
              <w:t>&gt;=</w:t>
            </w:r>
            <w:r>
              <w:rPr>
                <w:rFonts w:hint="eastAsia" w:ascii="Times New Roman" w:hAnsi="Times New Roman"/>
                <w:sz w:val="22"/>
                <w:szCs w:val="22"/>
                <w:lang w:val="en-US" w:eastAsia="zh-CN"/>
              </w:rPr>
              <w:t>2批次</w:t>
            </w:r>
          </w:p>
        </w:tc>
      </w:tr>
      <w:tr w14:paraId="7BBA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40C60CB">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0AF71996">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33338C33">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演出租赁设备数量</w:t>
            </w:r>
          </w:p>
        </w:tc>
        <w:tc>
          <w:tcPr>
            <w:tcW w:w="1581" w:type="dxa"/>
            <w:tcBorders>
              <w:tl2br w:val="nil"/>
              <w:tr2bl w:val="nil"/>
            </w:tcBorders>
            <w:vAlign w:val="center"/>
          </w:tcPr>
          <w:p w14:paraId="66BF77B2">
            <w:pPr>
              <w:pStyle w:val="18"/>
              <w:spacing w:after="0" w:line="300" w:lineRule="exact"/>
              <w:ind w:left="0" w:leftChars="0" w:firstLine="0" w:firstLineChars="0"/>
              <w:jc w:val="center"/>
              <w:rPr>
                <w:rFonts w:hint="eastAsia" w:ascii="Times New Roman" w:hAnsi="Times New Roman" w:eastAsia="仿宋_GB2312"/>
                <w:sz w:val="22"/>
                <w:szCs w:val="22"/>
                <w:lang w:eastAsia="zh-CN"/>
              </w:rPr>
            </w:pPr>
            <w:r>
              <w:rPr>
                <w:rFonts w:hint="eastAsia" w:ascii="Times New Roman" w:hAnsi="Times New Roman"/>
                <w:sz w:val="22"/>
                <w:szCs w:val="22"/>
              </w:rPr>
              <w:t>&gt;=1</w:t>
            </w:r>
            <w:r>
              <w:rPr>
                <w:rFonts w:hint="eastAsia" w:ascii="Times New Roman" w:hAnsi="Times New Roman"/>
                <w:sz w:val="22"/>
                <w:szCs w:val="22"/>
                <w:lang w:val="en-US" w:eastAsia="zh-CN"/>
              </w:rPr>
              <w:t>批次</w:t>
            </w:r>
          </w:p>
        </w:tc>
      </w:tr>
      <w:tr w14:paraId="0811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7C27649B">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78ED6FF5">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质量指标</w:t>
            </w:r>
          </w:p>
        </w:tc>
        <w:tc>
          <w:tcPr>
            <w:tcW w:w="4252" w:type="dxa"/>
            <w:tcBorders>
              <w:tl2br w:val="nil"/>
              <w:tr2bl w:val="nil"/>
            </w:tcBorders>
            <w:noWrap/>
            <w:vAlign w:val="center"/>
          </w:tcPr>
          <w:p w14:paraId="303F2EBC">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设备验收合格率</w:t>
            </w:r>
          </w:p>
        </w:tc>
        <w:tc>
          <w:tcPr>
            <w:tcW w:w="1581" w:type="dxa"/>
            <w:tcBorders>
              <w:tl2br w:val="nil"/>
              <w:tr2bl w:val="nil"/>
            </w:tcBorders>
            <w:vAlign w:val="center"/>
          </w:tcPr>
          <w:p w14:paraId="19122CEE">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=100%</w:t>
            </w:r>
          </w:p>
        </w:tc>
      </w:tr>
      <w:tr w14:paraId="6338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6C0191F6">
            <w:pPr>
              <w:pStyle w:val="18"/>
              <w:spacing w:after="0" w:line="300" w:lineRule="exact"/>
              <w:ind w:left="0" w:leftChars="0" w:firstLine="0" w:firstLineChars="0"/>
              <w:jc w:val="center"/>
              <w:rPr>
                <w:rFonts w:ascii="Times New Roman" w:hAnsi="Times New Roman"/>
                <w:sz w:val="22"/>
                <w:szCs w:val="22"/>
              </w:rPr>
            </w:pPr>
          </w:p>
        </w:tc>
        <w:tc>
          <w:tcPr>
            <w:tcW w:w="1701" w:type="dxa"/>
            <w:tcBorders>
              <w:tl2br w:val="nil"/>
              <w:tr2bl w:val="nil"/>
            </w:tcBorders>
            <w:vAlign w:val="center"/>
          </w:tcPr>
          <w:p w14:paraId="5C8BF07F">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时效指标</w:t>
            </w:r>
          </w:p>
        </w:tc>
        <w:tc>
          <w:tcPr>
            <w:tcW w:w="4252" w:type="dxa"/>
            <w:tcBorders>
              <w:tl2br w:val="nil"/>
              <w:tr2bl w:val="nil"/>
            </w:tcBorders>
            <w:noWrap/>
            <w:vAlign w:val="center"/>
          </w:tcPr>
          <w:p w14:paraId="54E20D60">
            <w:pPr>
              <w:pStyle w:val="18"/>
              <w:spacing w:after="0" w:line="300" w:lineRule="exact"/>
              <w:ind w:left="0" w:leftChars="0"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设备租赁及时率</w:t>
            </w:r>
          </w:p>
        </w:tc>
        <w:tc>
          <w:tcPr>
            <w:tcW w:w="1581" w:type="dxa"/>
            <w:tcBorders>
              <w:tl2br w:val="nil"/>
              <w:tr2bl w:val="nil"/>
            </w:tcBorders>
            <w:vAlign w:val="center"/>
          </w:tcPr>
          <w:p w14:paraId="4529D35E">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val="en-US" w:eastAsia="zh-CN"/>
              </w:rPr>
              <w:t>=100%</w:t>
            </w:r>
          </w:p>
        </w:tc>
      </w:tr>
      <w:tr w14:paraId="3C1D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restart"/>
            <w:tcBorders>
              <w:tl2br w:val="nil"/>
              <w:tr2bl w:val="nil"/>
            </w:tcBorders>
            <w:vAlign w:val="center"/>
          </w:tcPr>
          <w:p w14:paraId="6C24CCA1">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成本指标</w:t>
            </w:r>
          </w:p>
        </w:tc>
        <w:tc>
          <w:tcPr>
            <w:tcW w:w="1701" w:type="dxa"/>
            <w:vMerge w:val="restart"/>
            <w:tcBorders>
              <w:tl2br w:val="nil"/>
              <w:tr2bl w:val="nil"/>
            </w:tcBorders>
            <w:vAlign w:val="center"/>
          </w:tcPr>
          <w:p w14:paraId="77375C6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经济</w:t>
            </w:r>
            <w:r>
              <w:rPr>
                <w:rFonts w:ascii="Times New Roman" w:hAnsi="Times New Roman"/>
                <w:sz w:val="22"/>
                <w:szCs w:val="22"/>
              </w:rPr>
              <w:t>成本指标</w:t>
            </w:r>
          </w:p>
        </w:tc>
        <w:tc>
          <w:tcPr>
            <w:tcW w:w="4252" w:type="dxa"/>
            <w:tcBorders>
              <w:tl2br w:val="nil"/>
              <w:tr2bl w:val="nil"/>
            </w:tcBorders>
            <w:noWrap/>
            <w:vAlign w:val="center"/>
          </w:tcPr>
          <w:p w14:paraId="4378E5A7">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演出切割灯租赁费支出</w:t>
            </w:r>
          </w:p>
        </w:tc>
        <w:tc>
          <w:tcPr>
            <w:tcW w:w="1581" w:type="dxa"/>
            <w:tcBorders>
              <w:tl2br w:val="nil"/>
              <w:tr2bl w:val="nil"/>
            </w:tcBorders>
            <w:vAlign w:val="center"/>
          </w:tcPr>
          <w:p w14:paraId="16236AFF">
            <w:pPr>
              <w:widowControl/>
              <w:jc w:val="center"/>
              <w:textAlignment w:val="center"/>
              <w:rPr>
                <w:rFonts w:ascii="Times New Roman" w:hAnsi="Times New Roman"/>
                <w:sz w:val="22"/>
                <w:szCs w:val="22"/>
              </w:rPr>
            </w:pPr>
            <w:r>
              <w:rPr>
                <w:rFonts w:hint="eastAsia" w:ascii="Times New Roman" w:hAnsi="Times New Roman" w:eastAsia="等线"/>
                <w:color w:val="000000"/>
                <w:kern w:val="0"/>
                <w:sz w:val="22"/>
                <w:szCs w:val="22"/>
                <w:lang w:bidi="ar"/>
              </w:rPr>
              <w:t>&lt;=0.77万元</w:t>
            </w:r>
          </w:p>
        </w:tc>
      </w:tr>
      <w:tr w14:paraId="0F64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0A624B6C">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7A9E2A18">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15F74A48">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演出摇头灯租赁费支出</w:t>
            </w:r>
          </w:p>
        </w:tc>
        <w:tc>
          <w:tcPr>
            <w:tcW w:w="1581" w:type="dxa"/>
            <w:tcBorders>
              <w:tl2br w:val="nil"/>
              <w:tr2bl w:val="nil"/>
            </w:tcBorders>
            <w:vAlign w:val="center"/>
          </w:tcPr>
          <w:p w14:paraId="0CDCA634">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&lt;=20.57万元</w:t>
            </w:r>
          </w:p>
        </w:tc>
      </w:tr>
      <w:tr w14:paraId="7BB7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746F2123">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09F9553E">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6CC81897">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rPr>
              <w:t>演出设备租赁费支出</w:t>
            </w:r>
          </w:p>
        </w:tc>
        <w:tc>
          <w:tcPr>
            <w:tcW w:w="1581" w:type="dxa"/>
            <w:tcBorders>
              <w:tl2br w:val="nil"/>
              <w:tr2bl w:val="nil"/>
            </w:tcBorders>
            <w:vAlign w:val="center"/>
          </w:tcPr>
          <w:p w14:paraId="4684D9CE">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&lt;=24.99万元</w:t>
            </w:r>
          </w:p>
        </w:tc>
      </w:tr>
      <w:tr w14:paraId="46B2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6BA5FA95">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67DF5836">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7B0A6877">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rPr>
              <w:t>演出送餐保障资金费支出</w:t>
            </w:r>
          </w:p>
        </w:tc>
        <w:tc>
          <w:tcPr>
            <w:tcW w:w="1581" w:type="dxa"/>
            <w:tcBorders>
              <w:tl2br w:val="nil"/>
              <w:tr2bl w:val="nil"/>
            </w:tcBorders>
            <w:vAlign w:val="center"/>
          </w:tcPr>
          <w:p w14:paraId="01E18940">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&lt;=0.58万元</w:t>
            </w:r>
          </w:p>
        </w:tc>
      </w:tr>
      <w:tr w14:paraId="43AD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33" w:type="dxa"/>
            <w:vMerge w:val="continue"/>
            <w:tcBorders>
              <w:tl2br w:val="nil"/>
              <w:tr2bl w:val="nil"/>
            </w:tcBorders>
            <w:vAlign w:val="center"/>
          </w:tcPr>
          <w:p w14:paraId="5052D576">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052A2457">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288E1BAC">
            <w:pPr>
              <w:pStyle w:val="18"/>
              <w:spacing w:after="0" w:line="300" w:lineRule="exact"/>
              <w:ind w:left="0" w:leftChars="0" w:firstLine="0" w:firstLineChars="0"/>
              <w:jc w:val="center"/>
              <w:rPr>
                <w:rFonts w:hint="eastAsia" w:ascii="Times New Roman" w:hAnsi="Times New Roman"/>
                <w:sz w:val="22"/>
                <w:szCs w:val="22"/>
              </w:rPr>
            </w:pPr>
            <w:r>
              <w:rPr>
                <w:rFonts w:hint="eastAsia" w:ascii="Times New Roman" w:hAnsi="Times New Roman"/>
                <w:sz w:val="22"/>
                <w:szCs w:val="22"/>
              </w:rPr>
              <w:t>演出广告宣传资料费支出</w:t>
            </w:r>
          </w:p>
        </w:tc>
        <w:tc>
          <w:tcPr>
            <w:tcW w:w="1581" w:type="dxa"/>
            <w:tcBorders>
              <w:tl2br w:val="nil"/>
              <w:tr2bl w:val="nil"/>
            </w:tcBorders>
            <w:vAlign w:val="center"/>
          </w:tcPr>
          <w:p w14:paraId="37445AE1">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&lt;=2.49万元</w:t>
            </w:r>
          </w:p>
        </w:tc>
      </w:tr>
      <w:tr w14:paraId="5552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restart"/>
            <w:tcBorders>
              <w:tl2br w:val="nil"/>
              <w:tr2bl w:val="nil"/>
            </w:tcBorders>
            <w:vAlign w:val="center"/>
          </w:tcPr>
          <w:p w14:paraId="54BB3869">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效益指标</w:t>
            </w:r>
          </w:p>
        </w:tc>
        <w:tc>
          <w:tcPr>
            <w:tcW w:w="1701" w:type="dxa"/>
            <w:vMerge w:val="restart"/>
            <w:tcBorders>
              <w:tl2br w:val="nil"/>
              <w:tr2bl w:val="nil"/>
            </w:tcBorders>
            <w:vAlign w:val="center"/>
          </w:tcPr>
          <w:p w14:paraId="2C206D9E">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社会效益指标</w:t>
            </w:r>
          </w:p>
        </w:tc>
        <w:tc>
          <w:tcPr>
            <w:tcW w:w="4252" w:type="dxa"/>
            <w:tcBorders>
              <w:tl2br w:val="nil"/>
              <w:tr2bl w:val="nil"/>
            </w:tcBorders>
            <w:noWrap/>
            <w:vAlign w:val="center"/>
          </w:tcPr>
          <w:p w14:paraId="7A43EBB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提升演出质量和效果</w:t>
            </w:r>
          </w:p>
        </w:tc>
        <w:tc>
          <w:tcPr>
            <w:tcW w:w="1581" w:type="dxa"/>
            <w:tcBorders>
              <w:tl2br w:val="nil"/>
              <w:tr2bl w:val="nil"/>
            </w:tcBorders>
            <w:vAlign w:val="center"/>
          </w:tcPr>
          <w:p w14:paraId="44AD8F47">
            <w:pPr>
              <w:widowControl/>
              <w:jc w:val="center"/>
              <w:textAlignment w:val="center"/>
              <w:rPr>
                <w:rFonts w:ascii="Times New Roman" w:hAnsi="Times New Roman"/>
                <w:sz w:val="22"/>
                <w:szCs w:val="22"/>
              </w:rPr>
            </w:pPr>
            <w:r>
              <w:rPr>
                <w:rFonts w:hint="eastAsia" w:ascii="Times New Roman" w:hAnsi="Times New Roman" w:eastAsia="等线"/>
                <w:color w:val="000000"/>
                <w:kern w:val="0"/>
                <w:sz w:val="22"/>
                <w:szCs w:val="22"/>
                <w:lang w:bidi="ar"/>
              </w:rPr>
              <w:t>提升</w:t>
            </w:r>
          </w:p>
        </w:tc>
      </w:tr>
      <w:tr w14:paraId="1B44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Merge w:val="continue"/>
            <w:tcBorders>
              <w:tl2br w:val="nil"/>
              <w:tr2bl w:val="nil"/>
            </w:tcBorders>
            <w:vAlign w:val="center"/>
          </w:tcPr>
          <w:p w14:paraId="602B0D47">
            <w:pPr>
              <w:pStyle w:val="18"/>
              <w:spacing w:after="0" w:line="300" w:lineRule="exact"/>
              <w:ind w:left="0" w:leftChars="0" w:firstLine="0" w:firstLineChars="0"/>
              <w:jc w:val="center"/>
              <w:rPr>
                <w:rFonts w:ascii="Times New Roman" w:hAnsi="Times New Roman"/>
                <w:sz w:val="22"/>
                <w:szCs w:val="22"/>
              </w:rPr>
            </w:pPr>
          </w:p>
        </w:tc>
        <w:tc>
          <w:tcPr>
            <w:tcW w:w="1701" w:type="dxa"/>
            <w:vMerge w:val="continue"/>
            <w:tcBorders>
              <w:tl2br w:val="nil"/>
              <w:tr2bl w:val="nil"/>
            </w:tcBorders>
            <w:vAlign w:val="center"/>
          </w:tcPr>
          <w:p w14:paraId="1E24793D">
            <w:pPr>
              <w:pStyle w:val="18"/>
              <w:spacing w:after="0" w:line="300" w:lineRule="exact"/>
              <w:ind w:left="0" w:leftChars="0" w:firstLine="0" w:firstLineChars="0"/>
              <w:jc w:val="center"/>
              <w:rPr>
                <w:rFonts w:ascii="Times New Roman" w:hAnsi="Times New Roman"/>
                <w:sz w:val="22"/>
                <w:szCs w:val="22"/>
              </w:rPr>
            </w:pPr>
          </w:p>
        </w:tc>
        <w:tc>
          <w:tcPr>
            <w:tcW w:w="4252" w:type="dxa"/>
            <w:tcBorders>
              <w:tl2br w:val="nil"/>
              <w:tr2bl w:val="nil"/>
            </w:tcBorders>
            <w:noWrap/>
            <w:vAlign w:val="center"/>
          </w:tcPr>
          <w:p w14:paraId="6EAB9812">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满足日常演出需求</w:t>
            </w:r>
          </w:p>
        </w:tc>
        <w:tc>
          <w:tcPr>
            <w:tcW w:w="1581" w:type="dxa"/>
            <w:tcBorders>
              <w:tl2br w:val="nil"/>
              <w:tr2bl w:val="nil"/>
            </w:tcBorders>
            <w:vAlign w:val="center"/>
          </w:tcPr>
          <w:p w14:paraId="462256D6">
            <w:pPr>
              <w:widowControl/>
              <w:jc w:val="center"/>
              <w:textAlignment w:val="center"/>
              <w:rPr>
                <w:rFonts w:ascii="Times New Roman" w:hAnsi="Times New Roman" w:eastAsia="等线"/>
                <w:color w:val="000000"/>
                <w:kern w:val="0"/>
                <w:sz w:val="22"/>
                <w:szCs w:val="22"/>
                <w:lang w:bidi="ar"/>
              </w:rPr>
            </w:pPr>
            <w:r>
              <w:rPr>
                <w:rFonts w:hint="eastAsia" w:ascii="Times New Roman" w:hAnsi="Times New Roman" w:eastAsia="等线"/>
                <w:color w:val="000000"/>
                <w:kern w:val="0"/>
                <w:sz w:val="22"/>
                <w:szCs w:val="22"/>
                <w:lang w:bidi="ar"/>
              </w:rPr>
              <w:t>满足</w:t>
            </w:r>
          </w:p>
        </w:tc>
      </w:tr>
      <w:tr w14:paraId="43CC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tcBorders>
              <w:tl2br w:val="nil"/>
              <w:tr2bl w:val="nil"/>
            </w:tcBorders>
            <w:vAlign w:val="center"/>
          </w:tcPr>
          <w:p w14:paraId="7D95E389">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1701" w:type="dxa"/>
            <w:tcBorders>
              <w:tl2br w:val="nil"/>
              <w:tr2bl w:val="nil"/>
            </w:tcBorders>
            <w:vAlign w:val="center"/>
          </w:tcPr>
          <w:p w14:paraId="03676C65">
            <w:pPr>
              <w:pStyle w:val="18"/>
              <w:spacing w:after="0" w:line="300" w:lineRule="exact"/>
              <w:ind w:left="0" w:leftChars="0" w:firstLine="0" w:firstLineChars="0"/>
              <w:jc w:val="center"/>
              <w:rPr>
                <w:rFonts w:ascii="Times New Roman" w:hAnsi="Times New Roman"/>
                <w:sz w:val="22"/>
                <w:szCs w:val="22"/>
              </w:rPr>
            </w:pPr>
            <w:r>
              <w:rPr>
                <w:rFonts w:ascii="Times New Roman" w:hAnsi="Times New Roman"/>
                <w:sz w:val="22"/>
                <w:szCs w:val="22"/>
              </w:rPr>
              <w:t>满意度指标</w:t>
            </w:r>
          </w:p>
        </w:tc>
        <w:tc>
          <w:tcPr>
            <w:tcW w:w="4252" w:type="dxa"/>
            <w:tcBorders>
              <w:tl2br w:val="nil"/>
              <w:tr2bl w:val="nil"/>
            </w:tcBorders>
            <w:noWrap/>
            <w:vAlign w:val="center"/>
          </w:tcPr>
          <w:p w14:paraId="46C59485">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rPr>
              <w:t>演出人员满意度</w:t>
            </w:r>
          </w:p>
        </w:tc>
        <w:tc>
          <w:tcPr>
            <w:tcW w:w="1581" w:type="dxa"/>
            <w:tcBorders>
              <w:tl2br w:val="nil"/>
              <w:tr2bl w:val="nil"/>
            </w:tcBorders>
            <w:vAlign w:val="center"/>
          </w:tcPr>
          <w:p w14:paraId="4C276AD9">
            <w:pPr>
              <w:pStyle w:val="18"/>
              <w:spacing w:after="0" w:line="300" w:lineRule="exact"/>
              <w:ind w:left="0" w:leftChars="0" w:firstLine="0" w:firstLineChars="0"/>
              <w:jc w:val="center"/>
              <w:rPr>
                <w:rFonts w:ascii="Times New Roman" w:hAnsi="Times New Roman"/>
                <w:sz w:val="22"/>
                <w:szCs w:val="22"/>
              </w:rPr>
            </w:pPr>
            <w:r>
              <w:rPr>
                <w:rFonts w:hint="eastAsia" w:ascii="Times New Roman" w:hAnsi="Times New Roman"/>
                <w:sz w:val="22"/>
                <w:szCs w:val="22"/>
                <w:lang w:eastAsia="zh-CN"/>
              </w:rPr>
              <w:t>&gt;</w:t>
            </w:r>
            <w:r>
              <w:rPr>
                <w:rFonts w:hint="eastAsia" w:ascii="Times New Roman" w:hAnsi="Times New Roman"/>
                <w:sz w:val="22"/>
                <w:szCs w:val="22"/>
              </w:rPr>
              <w:t>=95</w:t>
            </w:r>
            <w:r>
              <w:rPr>
                <w:rFonts w:ascii="Times New Roman" w:hAnsi="Times New Roman"/>
                <w:sz w:val="22"/>
                <w:szCs w:val="22"/>
              </w:rPr>
              <w:t>%</w:t>
            </w:r>
          </w:p>
        </w:tc>
      </w:tr>
    </w:tbl>
    <w:p w14:paraId="37E3ED88">
      <w:pPr>
        <w:pStyle w:val="37"/>
        <w:widowControl w:val="0"/>
        <w:spacing w:before="0" w:after="0"/>
        <w:ind w:left="0" w:firstLine="640" w:firstLineChars="200"/>
        <w:rPr>
          <w:rFonts w:ascii="Times New Roman" w:hAnsi="Times New Roman" w:cs="黑体"/>
        </w:rPr>
      </w:pPr>
      <w:bookmarkStart w:id="197" w:name="_Toc9903"/>
      <w:r>
        <w:rPr>
          <w:rFonts w:ascii="Times New Roman" w:hAnsi="Times New Roman" w:cs="黑体"/>
        </w:rPr>
        <w:t>二、绩效评价工作开展情况</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7EC2D310">
      <w:pPr>
        <w:pStyle w:val="38"/>
        <w:ind w:firstLine="643"/>
        <w:rPr>
          <w:rFonts w:ascii="Times New Roman" w:hAnsi="Times New Roman"/>
        </w:rPr>
      </w:pPr>
      <w:bookmarkStart w:id="198" w:name="_Toc207"/>
      <w:bookmarkStart w:id="199" w:name="_Toc17067"/>
      <w:bookmarkStart w:id="200" w:name="_Toc21157"/>
      <w:bookmarkStart w:id="201" w:name="_Toc12063"/>
      <w:bookmarkStart w:id="202" w:name="_Toc14245"/>
      <w:bookmarkStart w:id="203" w:name="_Toc12540"/>
      <w:bookmarkStart w:id="204" w:name="_Toc19079"/>
      <w:bookmarkStart w:id="205" w:name="_Toc25320"/>
      <w:bookmarkStart w:id="206" w:name="_Toc30334"/>
      <w:bookmarkStart w:id="207" w:name="_Toc22002"/>
      <w:bookmarkStart w:id="208" w:name="_Toc17893"/>
      <w:bookmarkStart w:id="209" w:name="_Toc8647"/>
      <w:bookmarkStart w:id="210" w:name="_Toc11054"/>
      <w:bookmarkStart w:id="211" w:name="_Toc3855"/>
      <w:bookmarkStart w:id="212" w:name="_Toc25397"/>
      <w:bookmarkStart w:id="213" w:name="_Toc27253"/>
      <w:bookmarkStart w:id="214" w:name="_Toc6226"/>
      <w:bookmarkStart w:id="215" w:name="_Toc29424"/>
      <w:bookmarkStart w:id="216" w:name="_Toc29387"/>
      <w:bookmarkStart w:id="217" w:name="_Toc24255"/>
      <w:bookmarkStart w:id="218" w:name="_Toc21469"/>
      <w:bookmarkStart w:id="219" w:name="_Toc17603"/>
      <w:bookmarkStart w:id="220" w:name="_Toc14811"/>
      <w:bookmarkStart w:id="221" w:name="_Toc30954"/>
      <w:bookmarkStart w:id="222" w:name="_Toc27547"/>
      <w:bookmarkStart w:id="223" w:name="_Toc5765"/>
      <w:bookmarkStart w:id="224" w:name="_Toc3569"/>
      <w:bookmarkStart w:id="225" w:name="_Toc10447"/>
      <w:bookmarkStart w:id="226" w:name="_Toc21320"/>
      <w:bookmarkStart w:id="227" w:name="_Toc14551"/>
      <w:bookmarkStart w:id="228" w:name="_Toc15082"/>
      <w:bookmarkStart w:id="229" w:name="_Toc31470"/>
      <w:bookmarkStart w:id="230" w:name="_Toc14629"/>
      <w:bookmarkStart w:id="231" w:name="_Toc14502"/>
      <w:bookmarkStart w:id="232" w:name="_Toc12674"/>
      <w:bookmarkStart w:id="233" w:name="_Toc212"/>
      <w:bookmarkStart w:id="234" w:name="_Toc22174"/>
      <w:bookmarkStart w:id="235" w:name="_Toc2996"/>
      <w:bookmarkStart w:id="236" w:name="_Toc28364"/>
      <w:bookmarkStart w:id="237" w:name="_Toc1058"/>
      <w:bookmarkStart w:id="238" w:name="_Toc10647"/>
      <w:bookmarkStart w:id="239" w:name="_Toc18604"/>
      <w:bookmarkStart w:id="240" w:name="_Toc3146"/>
      <w:bookmarkStart w:id="241" w:name="_Toc13293"/>
      <w:r>
        <w:rPr>
          <w:rFonts w:ascii="Times New Roman" w:hAnsi="Times New Roman"/>
        </w:rPr>
        <w:t>（一）绩效评价目的、对象、范围</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ascii="Times New Roman" w:hAnsi="Times New Roman"/>
        </w:rPr>
        <w:t>、依据及绩效评价时段</w:t>
      </w:r>
      <w:bookmarkEnd w:id="241"/>
    </w:p>
    <w:p w14:paraId="5EB217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cs="Times New Roman"/>
          <w:sz w:val="32"/>
          <w:szCs w:val="32"/>
        </w:rPr>
      </w:pPr>
      <w:r>
        <w:rPr>
          <w:rFonts w:hint="eastAsia" w:ascii="Times New Roman" w:hAnsi="Times New Roman"/>
          <w:b/>
          <w:bCs/>
          <w:sz w:val="32"/>
          <w:szCs w:val="32"/>
        </w:rPr>
        <w:t>评价目的：</w:t>
      </w:r>
      <w:r>
        <w:rPr>
          <w:rFonts w:hint="eastAsia" w:ascii="Times New Roman" w:hAnsi="Times New Roman" w:cs="Times New Roman"/>
          <w:sz w:val="32"/>
          <w:szCs w:val="32"/>
        </w:rPr>
        <w:t>通过对</w:t>
      </w: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cs="Times New Roman"/>
          <w:sz w:val="32"/>
          <w:szCs w:val="32"/>
        </w:rPr>
        <w:t>资金进行绩效评价，旨在了解项目资金使用和项目管理情况、取得的成绩及效益、主要的经验做法，进而分析在政策制定、预算资金安排、项目管理等方面存在的问题，并提出针对性建议，为项目后续资金投入、分配和管理提供决策依据。</w:t>
      </w:r>
    </w:p>
    <w:p w14:paraId="53ED3C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sz w:val="32"/>
          <w:szCs w:val="32"/>
        </w:rPr>
      </w:pPr>
      <w:r>
        <w:rPr>
          <w:rFonts w:hint="eastAsia" w:ascii="Times New Roman" w:hAnsi="Times New Roman"/>
          <w:b/>
          <w:bCs/>
          <w:sz w:val="32"/>
          <w:szCs w:val="32"/>
        </w:rPr>
        <w:t>评价对象和评价范围：</w:t>
      </w:r>
      <w:r>
        <w:rPr>
          <w:rFonts w:hint="eastAsia" w:ascii="Times New Roman" w:hAnsi="Times New Roman"/>
          <w:sz w:val="32"/>
          <w:szCs w:val="32"/>
        </w:rPr>
        <w:t>评价对象是</w:t>
      </w:r>
      <w:r>
        <w:rPr>
          <w:rFonts w:hint="eastAsia" w:ascii="Times New Roman" w:hAnsi="Times New Roman" w:cs="Times New Roman"/>
          <w:sz w:val="32"/>
          <w:szCs w:val="32"/>
          <w:lang w:val="en-US" w:eastAsia="zh-CN"/>
        </w:rPr>
        <w:t>2025年新疆是个好地方演出保障项目资金</w:t>
      </w:r>
      <w:r>
        <w:rPr>
          <w:rFonts w:hint="eastAsia" w:ascii="Times New Roman" w:hAnsi="Times New Roman"/>
          <w:sz w:val="32"/>
          <w:szCs w:val="32"/>
          <w:lang w:val="en-US" w:eastAsia="zh-CN"/>
        </w:rPr>
        <w:t>49.40万元</w:t>
      </w:r>
      <w:r>
        <w:rPr>
          <w:rFonts w:hint="eastAsia" w:ascii="Times New Roman" w:hAnsi="Times New Roman"/>
          <w:sz w:val="32"/>
          <w:szCs w:val="32"/>
        </w:rPr>
        <w:t>，对该项目资金决策、过程、产出、效益等进行绩效评价。本次绩效评价对</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进行现场调研，评价小组对项目资金的到位、使用、绩效管理和项目管理等情况进行检查。</w:t>
      </w:r>
    </w:p>
    <w:p w14:paraId="5EBAFA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sz w:val="32"/>
          <w:szCs w:val="32"/>
        </w:rPr>
      </w:pPr>
      <w:r>
        <w:rPr>
          <w:rFonts w:hint="eastAsia" w:ascii="Times New Roman" w:hAnsi="Times New Roman"/>
          <w:b/>
          <w:bCs/>
          <w:sz w:val="32"/>
          <w:szCs w:val="32"/>
        </w:rPr>
        <w:t>评价时段：</w:t>
      </w:r>
      <w:r>
        <w:rPr>
          <w:rFonts w:hint="eastAsia" w:ascii="Times New Roman" w:hAnsi="Times New Roman"/>
          <w:sz w:val="32"/>
          <w:szCs w:val="32"/>
        </w:rPr>
        <w:t>2025年1月1日至2025年12月31日。</w:t>
      </w:r>
    </w:p>
    <w:p w14:paraId="14877F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rPr>
      </w:pPr>
      <w:r>
        <w:rPr>
          <w:rFonts w:hint="eastAsia" w:ascii="Times New Roman" w:hAnsi="Times New Roman"/>
          <w:b/>
          <w:bCs/>
          <w:sz w:val="32"/>
          <w:szCs w:val="32"/>
        </w:rPr>
        <w:t>评价依据：</w:t>
      </w:r>
      <w:r>
        <w:rPr>
          <w:rFonts w:hint="eastAsia" w:ascii="Times New Roman" w:hAnsi="Times New Roman"/>
          <w:sz w:val="32"/>
          <w:szCs w:val="32"/>
        </w:rPr>
        <w:t>《中华人民共和国预算法》《中共中央 国务院关于全面实施预算绩效管理的意见》（中发〔2018〕34号）、《项目支出绩效评价管理办法》（财预〔2020〕10号）及《关于进一步加强和规范喀什地区项目支出“全过程”预算绩效管理结果应用的通知》（喀地财绩〔2022〕2号）、关于印发《中央部门项目支出核心绩效目标和指标设置及取值指引（试行）》的通知（财预〔2021〕101号），结合</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根据重点项目清单，提供</w:t>
      </w: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sz w:val="32"/>
          <w:szCs w:val="32"/>
        </w:rPr>
        <w:t>绩效评价工作相关资料。</w:t>
      </w:r>
    </w:p>
    <w:p w14:paraId="200705B0">
      <w:pPr>
        <w:pStyle w:val="38"/>
        <w:keepNext w:val="0"/>
        <w:keepLines w:val="0"/>
        <w:ind w:firstLine="643"/>
        <w:rPr>
          <w:rFonts w:ascii="Times New Roman" w:hAnsi="Times New Roman"/>
        </w:rPr>
      </w:pPr>
      <w:bookmarkStart w:id="242" w:name="_Toc21940"/>
      <w:bookmarkStart w:id="243" w:name="_Toc3736"/>
      <w:bookmarkStart w:id="244" w:name="_Toc8486"/>
      <w:bookmarkStart w:id="245" w:name="_Toc6526"/>
      <w:bookmarkStart w:id="246" w:name="_Toc16360"/>
      <w:bookmarkStart w:id="247" w:name="_Toc31681"/>
      <w:bookmarkStart w:id="248" w:name="_Toc16829"/>
      <w:bookmarkStart w:id="249" w:name="_Toc18340"/>
      <w:bookmarkStart w:id="250" w:name="_Toc28567"/>
      <w:bookmarkStart w:id="251" w:name="_Toc11528"/>
      <w:bookmarkStart w:id="252" w:name="_Toc3554"/>
      <w:bookmarkStart w:id="253" w:name="_Toc3457"/>
      <w:bookmarkStart w:id="254" w:name="_Toc632"/>
      <w:bookmarkStart w:id="255" w:name="_Toc7982"/>
      <w:bookmarkStart w:id="256" w:name="_Toc7190"/>
      <w:bookmarkStart w:id="257" w:name="_Toc12244"/>
      <w:bookmarkStart w:id="258" w:name="_Toc16516"/>
      <w:bookmarkStart w:id="259" w:name="_Toc1463"/>
      <w:bookmarkStart w:id="260" w:name="_Toc21876"/>
      <w:bookmarkStart w:id="261" w:name="_Toc2930"/>
      <w:bookmarkStart w:id="262" w:name="_Toc8600"/>
      <w:bookmarkStart w:id="263" w:name="_Toc23060"/>
      <w:bookmarkStart w:id="264" w:name="_Toc32508"/>
      <w:bookmarkStart w:id="265" w:name="_Toc17942"/>
      <w:bookmarkStart w:id="266" w:name="_Toc28430"/>
      <w:bookmarkStart w:id="267" w:name="_Toc19651"/>
      <w:bookmarkStart w:id="268" w:name="_Toc7541"/>
      <w:bookmarkStart w:id="269" w:name="_Toc2833"/>
      <w:bookmarkStart w:id="270" w:name="_Toc5012"/>
      <w:bookmarkStart w:id="271" w:name="_Toc7782"/>
      <w:bookmarkStart w:id="272" w:name="_Toc19938"/>
      <w:bookmarkStart w:id="273" w:name="_Toc17802"/>
      <w:bookmarkStart w:id="274" w:name="_Toc21085"/>
      <w:bookmarkStart w:id="275" w:name="_Toc20624"/>
      <w:bookmarkStart w:id="276" w:name="_Toc26814"/>
      <w:bookmarkStart w:id="277" w:name="_Toc13583"/>
      <w:bookmarkStart w:id="278" w:name="_Toc10957"/>
      <w:bookmarkStart w:id="279" w:name="_Toc8329"/>
      <w:bookmarkStart w:id="280" w:name="_Toc26086"/>
      <w:bookmarkStart w:id="281" w:name="_Toc12399"/>
      <w:bookmarkStart w:id="282" w:name="_Toc19687"/>
      <w:bookmarkStart w:id="283" w:name="_Toc22765"/>
      <w:bookmarkStart w:id="284" w:name="_Toc29800"/>
      <w:bookmarkStart w:id="285" w:name="_Toc2465"/>
      <w:r>
        <w:rPr>
          <w:rFonts w:ascii="Times New Roman" w:hAnsi="Times New Roman"/>
        </w:rPr>
        <w:t>（二）绩效评价原则、评价指标体系（附表说明）、评价方法、评价标准等</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798F2501">
      <w:pPr>
        <w:spacing w:line="560" w:lineRule="exact"/>
        <w:ind w:firstLine="643" w:firstLineChars="200"/>
        <w:jc w:val="left"/>
        <w:rPr>
          <w:rFonts w:ascii="Times New Roman" w:hAnsi="Times New Roman"/>
          <w:b/>
          <w:bCs/>
          <w:sz w:val="32"/>
          <w:szCs w:val="32"/>
        </w:rPr>
      </w:pPr>
      <w:bookmarkStart w:id="286" w:name="_Toc20918"/>
      <w:r>
        <w:rPr>
          <w:rFonts w:hint="eastAsia" w:ascii="Times New Roman" w:hAnsi="Times New Roman"/>
          <w:b/>
          <w:bCs/>
          <w:sz w:val="32"/>
          <w:szCs w:val="32"/>
        </w:rPr>
        <w:t>1.绩效评价原则</w:t>
      </w:r>
      <w:bookmarkEnd w:id="286"/>
    </w:p>
    <w:p w14:paraId="01E5CF3A">
      <w:pPr>
        <w:spacing w:line="570" w:lineRule="exact"/>
        <w:ind w:firstLine="640" w:firstLineChars="200"/>
        <w:rPr>
          <w:rFonts w:ascii="Times New Roman" w:hAnsi="Times New Roman"/>
          <w:sz w:val="32"/>
          <w:szCs w:val="32"/>
        </w:rPr>
      </w:pPr>
      <w:bookmarkStart w:id="287" w:name="_Toc14346"/>
      <w:r>
        <w:rPr>
          <w:rFonts w:hint="eastAsia" w:ascii="Times New Roman" w:hAnsi="Times New Roman"/>
          <w:sz w:val="32"/>
          <w:szCs w:val="32"/>
        </w:rPr>
        <w:t>根据《中华人民共和国预算法》</w:t>
      </w:r>
      <w:r>
        <w:rPr>
          <w:rFonts w:hint="eastAsia" w:ascii="Times New Roman" w:hAnsi="Times New Roman"/>
          <w:sz w:val="32"/>
          <w:szCs w:val="32"/>
          <w:lang w:eastAsia="zh-CN"/>
        </w:rPr>
        <w:t>《中共中央 国务院关于</w:t>
      </w:r>
      <w:r>
        <w:rPr>
          <w:rFonts w:hint="eastAsia" w:ascii="Times New Roman" w:hAnsi="Times New Roman"/>
          <w:sz w:val="32"/>
          <w:szCs w:val="32"/>
        </w:rPr>
        <w:t>全面实施预算绩效管理的意见》（中发〔2018〕34号）、《项目支出绩效评价管理办法》（财预〔2020〕10号）及《关于进一步加强和规范喀什地区项目支出“全过程”预算绩效管理结果应用的通知》（喀地财绩〔2022〕2号）、关于印发《中央部门项目支出核心绩效目标和指标设置及取值指引（试行）》的通知（财预〔2021〕101号）等文件的要求，本次绩效评价秉承科学公正、统筹兼顾、激励约束、公开透明等原则，按照从投入、过程到产出效果和影响的绩效逻辑路径，发现项目实施和管理中的问题，切实提高财政资源配置效率和使用效益。</w:t>
      </w:r>
    </w:p>
    <w:p w14:paraId="70CC1735">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2.评价指标体系</w:t>
      </w:r>
      <w:bookmarkEnd w:id="287"/>
    </w:p>
    <w:p w14:paraId="135C0249">
      <w:pPr>
        <w:spacing w:line="560" w:lineRule="exact"/>
        <w:ind w:firstLine="640" w:firstLineChars="200"/>
        <w:rPr>
          <w:rFonts w:ascii="Times New Roman" w:hAnsi="Times New Roman"/>
          <w:sz w:val="32"/>
          <w:szCs w:val="32"/>
        </w:rPr>
      </w:pPr>
      <w:r>
        <w:rPr>
          <w:rFonts w:hint="eastAsia" w:ascii="Times New Roman" w:hAnsi="Times New Roman"/>
          <w:sz w:val="32"/>
          <w:szCs w:val="32"/>
        </w:rPr>
        <w:t>本次绩效评价指标主要分为</w:t>
      </w:r>
      <w:r>
        <w:rPr>
          <w:rFonts w:hint="eastAsia" w:ascii="Times New Roman" w:hAnsi="Times New Roman"/>
          <w:sz w:val="32"/>
          <w:szCs w:val="32"/>
          <w:highlight w:val="none"/>
        </w:rPr>
        <w:t>4个一级指标，一级指标下设10个二级指标、</w:t>
      </w:r>
      <w:r>
        <w:rPr>
          <w:rFonts w:hint="eastAsia" w:ascii="Times New Roman" w:hAnsi="Times New Roman"/>
          <w:sz w:val="32"/>
          <w:szCs w:val="32"/>
          <w:highlight w:val="none"/>
          <w:lang w:val="en-US" w:eastAsia="zh-CN"/>
        </w:rPr>
        <w:t>27</w:t>
      </w:r>
      <w:r>
        <w:rPr>
          <w:rFonts w:hint="eastAsia" w:ascii="Times New Roman" w:hAnsi="Times New Roman"/>
          <w:sz w:val="32"/>
          <w:szCs w:val="32"/>
          <w:highlight w:val="none"/>
        </w:rPr>
        <w:t>个三级指标。</w:t>
      </w:r>
      <w:r>
        <w:rPr>
          <w:rFonts w:hint="eastAsia" w:ascii="Times New Roman" w:hAnsi="Times New Roman"/>
          <w:sz w:val="32"/>
          <w:szCs w:val="32"/>
        </w:rPr>
        <w:t>项目绩效评价指标体系、评分标准及评分分析详见报告《</w:t>
      </w: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sz w:val="32"/>
          <w:szCs w:val="32"/>
        </w:rPr>
        <w:t>绩效评价指标综合评分表》（附件1）。</w:t>
      </w:r>
    </w:p>
    <w:p w14:paraId="6377FCA5">
      <w:pPr>
        <w:spacing w:line="560" w:lineRule="exact"/>
        <w:ind w:firstLine="643" w:firstLineChars="200"/>
        <w:rPr>
          <w:rFonts w:ascii="Times New Roman" w:hAnsi="Times New Roman"/>
          <w:b/>
          <w:bCs/>
          <w:sz w:val="32"/>
          <w:szCs w:val="32"/>
        </w:rPr>
      </w:pPr>
      <w:bookmarkStart w:id="288" w:name="_Toc23666"/>
      <w:r>
        <w:rPr>
          <w:rFonts w:hint="eastAsia" w:ascii="Times New Roman" w:hAnsi="Times New Roman"/>
          <w:b/>
          <w:bCs/>
          <w:sz w:val="32"/>
          <w:szCs w:val="32"/>
        </w:rPr>
        <w:t>3.评价方法及评价标准</w:t>
      </w:r>
      <w:bookmarkEnd w:id="288"/>
    </w:p>
    <w:p w14:paraId="4DBCBCCF">
      <w:pPr>
        <w:spacing w:line="560" w:lineRule="exact"/>
        <w:ind w:firstLine="640" w:firstLineChars="200"/>
        <w:rPr>
          <w:rFonts w:ascii="Times New Roman" w:hAnsi="Times New Roman"/>
          <w:sz w:val="32"/>
          <w:szCs w:val="32"/>
          <w:lang w:val="zh-CN"/>
        </w:rPr>
      </w:pPr>
      <w:r>
        <w:rPr>
          <w:rFonts w:hint="eastAsia" w:ascii="Times New Roman" w:hAnsi="Times New Roman"/>
          <w:sz w:val="32"/>
          <w:szCs w:val="32"/>
        </w:rPr>
        <w:t>本次绩效评价方法主要采用公众评判法、文献法等。</w:t>
      </w:r>
      <w:bookmarkStart w:id="289" w:name="_Toc435026288"/>
      <w:bookmarkStart w:id="290" w:name="_Toc438563763"/>
      <w:bookmarkStart w:id="291" w:name="_Toc435460264"/>
      <w:bookmarkStart w:id="292" w:name="_Toc435006004"/>
      <w:bookmarkStart w:id="293" w:name="_Toc451758897"/>
      <w:bookmarkStart w:id="294" w:name="_Toc371295690"/>
      <w:bookmarkStart w:id="295" w:name="_Toc371600465"/>
      <w:bookmarkStart w:id="296" w:name="_Toc435602755"/>
      <w:bookmarkStart w:id="297" w:name="_Toc452370924"/>
      <w:bookmarkStart w:id="298" w:name="_Toc453593832"/>
      <w:bookmarkStart w:id="299" w:name="_Toc451937457"/>
    </w:p>
    <w:p w14:paraId="252F2C69">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公众评判法</w:t>
      </w:r>
      <w:bookmarkEnd w:id="289"/>
      <w:bookmarkEnd w:id="290"/>
      <w:bookmarkEnd w:id="291"/>
      <w:bookmarkEnd w:id="292"/>
      <w:bookmarkEnd w:id="293"/>
      <w:bookmarkEnd w:id="294"/>
      <w:bookmarkEnd w:id="295"/>
      <w:bookmarkEnd w:id="296"/>
      <w:bookmarkEnd w:id="297"/>
      <w:bookmarkEnd w:id="298"/>
      <w:bookmarkEnd w:id="299"/>
      <w:r>
        <w:rPr>
          <w:rFonts w:hint="eastAsia" w:ascii="Times New Roman" w:hAnsi="Times New Roman"/>
          <w:b/>
          <w:bCs/>
          <w:sz w:val="32"/>
          <w:szCs w:val="32"/>
        </w:rPr>
        <w:t>：</w:t>
      </w:r>
      <w:r>
        <w:rPr>
          <w:rFonts w:hint="eastAsia" w:ascii="Times New Roman" w:hAnsi="Times New Roman"/>
          <w:sz w:val="32"/>
          <w:szCs w:val="32"/>
        </w:rPr>
        <w:t>评价组采用实地访谈方式，对</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进行充分调研，了解掌握资金分配、资金管理、资金使用、制度建设、制度执行情况。</w:t>
      </w:r>
    </w:p>
    <w:p w14:paraId="4973B14C">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文献法：</w:t>
      </w:r>
      <w:r>
        <w:rPr>
          <w:rFonts w:hint="eastAsia" w:ascii="Times New Roman" w:hAnsi="Times New Roman"/>
          <w:sz w:val="32"/>
          <w:szCs w:val="32"/>
        </w:rPr>
        <w:t>通过检索、查阅、梳理国家、自治区有关部门制定的本项目相关政策等文件，评价项目立项依据的充分性及立项规范性。</w:t>
      </w:r>
    </w:p>
    <w:p w14:paraId="211F4F8F">
      <w:pPr>
        <w:spacing w:line="560" w:lineRule="exact"/>
        <w:ind w:firstLine="643" w:firstLineChars="200"/>
        <w:rPr>
          <w:rFonts w:hint="eastAsia" w:ascii="Times New Roman" w:hAnsi="Times New Roman"/>
          <w:sz w:val="32"/>
          <w:szCs w:val="32"/>
        </w:rPr>
      </w:pPr>
      <w:r>
        <w:rPr>
          <w:rFonts w:hint="eastAsia" w:ascii="Times New Roman" w:hAnsi="Times New Roman"/>
          <w:b/>
          <w:bCs/>
          <w:sz w:val="32"/>
          <w:szCs w:val="32"/>
        </w:rPr>
        <w:t>问卷调查</w:t>
      </w:r>
      <w:r>
        <w:rPr>
          <w:rFonts w:hint="eastAsia" w:ascii="Times New Roman" w:hAnsi="Times New Roman"/>
          <w:b/>
          <w:bCs/>
          <w:sz w:val="32"/>
          <w:szCs w:val="32"/>
          <w:lang w:eastAsia="zh-CN"/>
        </w:rPr>
        <w:t>：</w:t>
      </w:r>
      <w:r>
        <w:rPr>
          <w:rFonts w:hint="eastAsia" w:ascii="Times New Roman" w:hAnsi="Times New Roman"/>
          <w:sz w:val="32"/>
          <w:szCs w:val="32"/>
        </w:rPr>
        <w:t>调查对象为演出人员，采用简单随机抽样现场发放问卷，共发放180份、回收有效问卷178份，回收率98.89%。演出人员约200人，在95%置信水平、5%边际误差下最小样本量为132份，实际回收178份，样本量充足。问卷设6个问题，采用五级李克特量表（非常满意1分→非常不满意0分），综合满意度99.82%。</w:t>
      </w:r>
    </w:p>
    <w:p w14:paraId="03870683">
      <w:pPr>
        <w:spacing w:line="560" w:lineRule="exact"/>
        <w:ind w:firstLine="643" w:firstLineChars="200"/>
        <w:rPr>
          <w:rFonts w:hint="eastAsia" w:ascii="Times New Roman" w:hAnsi="Times New Roman"/>
          <w:sz w:val="32"/>
          <w:szCs w:val="32"/>
          <w:lang w:eastAsia="zh-CN"/>
        </w:rPr>
      </w:pPr>
      <w:r>
        <w:rPr>
          <w:rFonts w:hint="eastAsia" w:ascii="Times New Roman" w:hAnsi="Times New Roman"/>
          <w:b/>
          <w:bCs/>
          <w:sz w:val="32"/>
          <w:szCs w:val="32"/>
        </w:rPr>
        <w:t>访谈调查</w:t>
      </w:r>
      <w:r>
        <w:rPr>
          <w:rFonts w:hint="eastAsia" w:ascii="Times New Roman" w:hAnsi="Times New Roman"/>
          <w:b/>
          <w:bCs/>
          <w:sz w:val="32"/>
          <w:szCs w:val="32"/>
          <w:lang w:eastAsia="zh-CN"/>
        </w:rPr>
        <w:t>：</w:t>
      </w:r>
      <w:r>
        <w:rPr>
          <w:rFonts w:hint="eastAsia" w:ascii="Times New Roman" w:hAnsi="Times New Roman"/>
          <w:sz w:val="32"/>
          <w:szCs w:val="32"/>
          <w:lang w:eastAsia="zh-CN"/>
        </w:rPr>
        <w:t>围绕项目立项决策、资金支付、合同履约、验收规范、实施效果等核心问题展开，采用半结构化访谈方式，详见附件4《访谈记录》。</w:t>
      </w:r>
    </w:p>
    <w:p w14:paraId="7F468EF1">
      <w:pPr>
        <w:spacing w:line="560" w:lineRule="exact"/>
        <w:ind w:firstLine="602" w:firstLineChars="200"/>
        <w:rPr>
          <w:rFonts w:hint="eastAsia" w:ascii="Times New Roman" w:hAnsi="Times New Roman" w:eastAsia="仿宋_GB2312"/>
          <w:sz w:val="32"/>
          <w:szCs w:val="32"/>
          <w:lang w:eastAsia="zh-CN"/>
        </w:rPr>
      </w:pPr>
      <w:r>
        <w:rPr>
          <w:rFonts w:ascii="Times New Roman" w:hAnsi="Times New Roman"/>
          <w:b/>
        </w:rPr>
        <w:t>质量控制</w:t>
      </w:r>
      <w:r>
        <w:rPr>
          <w:rFonts w:hint="eastAsia" w:ascii="Times New Roman" w:hAnsi="Times New Roman"/>
          <w:b/>
          <w:lang w:eastAsia="zh-CN"/>
        </w:rPr>
        <w:t>：</w:t>
      </w:r>
      <w:r>
        <w:rPr>
          <w:rFonts w:hint="eastAsia" w:ascii="Times New Roman" w:hAnsi="Times New Roman"/>
          <w:sz w:val="32"/>
          <w:szCs w:val="32"/>
          <w:lang w:eastAsia="zh-CN"/>
        </w:rPr>
        <w:t>一是多源数据交叉验证，资金支付时间同时核对国库集中支付凭证、记账凭证和发票三类凭证；</w:t>
      </w:r>
      <w:r>
        <w:rPr>
          <w:rFonts w:hint="eastAsia" w:ascii="Times New Roman" w:hAnsi="Times New Roman"/>
          <w:sz w:val="32"/>
          <w:szCs w:val="32"/>
          <w:lang w:val="en-US" w:eastAsia="zh-CN"/>
        </w:rPr>
        <w:t>二</w:t>
      </w:r>
      <w:r>
        <w:rPr>
          <w:rFonts w:hint="eastAsia" w:ascii="Times New Roman" w:hAnsi="Times New Roman"/>
          <w:sz w:val="32"/>
          <w:szCs w:val="32"/>
          <w:lang w:eastAsia="zh-CN"/>
        </w:rPr>
        <w:t>是内部三级审核，经一审廉柳俊、二审张红霞、三审杨柳逐级把关；</w:t>
      </w:r>
      <w:r>
        <w:rPr>
          <w:rFonts w:hint="eastAsia" w:ascii="Times New Roman" w:hAnsi="Times New Roman"/>
          <w:sz w:val="32"/>
          <w:szCs w:val="32"/>
          <w:lang w:val="en-US" w:eastAsia="zh-CN"/>
        </w:rPr>
        <w:t>三</w:t>
      </w:r>
      <w:r>
        <w:rPr>
          <w:rFonts w:hint="eastAsia" w:ascii="Times New Roman" w:hAnsi="Times New Roman"/>
          <w:sz w:val="32"/>
          <w:szCs w:val="32"/>
          <w:lang w:eastAsia="zh-CN"/>
        </w:rPr>
        <w:t>是征求意见反馈，分别征求项目单位和财政局意见后修改完善。</w:t>
      </w:r>
    </w:p>
    <w:p w14:paraId="7912C5EE">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本项目评价指标体系的评价标准按照计划标准、行业标准制定。</w:t>
      </w:r>
    </w:p>
    <w:p w14:paraId="098F79D7">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计划标准：</w:t>
      </w:r>
      <w:r>
        <w:rPr>
          <w:rFonts w:hint="eastAsia" w:ascii="Times New Roman" w:hAnsi="Times New Roman"/>
          <w:sz w:val="32"/>
          <w:szCs w:val="32"/>
        </w:rPr>
        <w:t>指以预先制定的目标、计划、预算、定额等作为评价标准。</w:t>
      </w:r>
    </w:p>
    <w:p w14:paraId="3F5E271C">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行业标准：</w:t>
      </w:r>
      <w:r>
        <w:rPr>
          <w:rFonts w:hint="eastAsia" w:ascii="Times New Roman" w:hAnsi="Times New Roman"/>
          <w:sz w:val="32"/>
          <w:szCs w:val="32"/>
        </w:rPr>
        <w:t>指参照国家公布的行业指标数据制定的评价标准。</w:t>
      </w:r>
    </w:p>
    <w:p w14:paraId="11DCE0DE">
      <w:pPr>
        <w:spacing w:line="560" w:lineRule="exact"/>
        <w:ind w:firstLine="640" w:firstLineChars="200"/>
        <w:rPr>
          <w:rFonts w:ascii="Times New Roman" w:hAnsi="Times New Roman"/>
          <w:sz w:val="32"/>
          <w:szCs w:val="32"/>
        </w:rPr>
      </w:pPr>
      <w:r>
        <w:rPr>
          <w:rFonts w:hint="eastAsia" w:ascii="Times New Roman" w:hAnsi="Times New Roman"/>
          <w:sz w:val="32"/>
          <w:szCs w:val="32"/>
        </w:rPr>
        <w:t>对于定性指标，通过问卷调查及访谈方式，采集相关数据，运用等级描述法，设置分级标准，体现该指标认可程度的差异。对于定量指标，通过公式等方式予以量化，可以准确衡量，并设定目标值的考核指标。绩效评价体系、标准等详见《</w:t>
      </w:r>
      <w:r>
        <w:rPr>
          <w:rFonts w:hint="eastAsia" w:ascii="Times New Roman" w:hAnsi="Times New Roman" w:cs="Times New Roman"/>
          <w:sz w:val="32"/>
          <w:szCs w:val="32"/>
          <w:lang w:val="en-US" w:eastAsia="zh-CN"/>
        </w:rPr>
        <w:t>2025年新疆是个好地方演出保障项目</w:t>
      </w:r>
      <w:r>
        <w:rPr>
          <w:rFonts w:hint="eastAsia" w:ascii="Times New Roman" w:hAnsi="Times New Roman"/>
          <w:sz w:val="32"/>
          <w:szCs w:val="32"/>
        </w:rPr>
        <w:t>绩效评价指标综合评分表》（附件1）。</w:t>
      </w:r>
    </w:p>
    <w:p w14:paraId="0F67C8D9">
      <w:pPr>
        <w:pStyle w:val="38"/>
        <w:ind w:firstLine="643"/>
        <w:rPr>
          <w:rFonts w:ascii="Times New Roman" w:hAnsi="Times New Roman"/>
        </w:rPr>
      </w:pPr>
      <w:bookmarkStart w:id="300" w:name="_Toc9634"/>
      <w:bookmarkStart w:id="301" w:name="_Toc29230"/>
      <w:bookmarkStart w:id="302" w:name="_Toc13120"/>
      <w:bookmarkStart w:id="303" w:name="_Toc25991"/>
      <w:bookmarkStart w:id="304" w:name="_Toc24538"/>
      <w:bookmarkStart w:id="305" w:name="_Toc27051"/>
      <w:bookmarkStart w:id="306" w:name="_Toc28992"/>
      <w:bookmarkStart w:id="307" w:name="_Toc22850"/>
      <w:bookmarkStart w:id="308" w:name="_Toc26604"/>
      <w:bookmarkStart w:id="309" w:name="_Toc26261"/>
      <w:bookmarkStart w:id="310" w:name="_Toc4106"/>
      <w:bookmarkStart w:id="311" w:name="_Toc7466"/>
      <w:bookmarkStart w:id="312" w:name="_Toc22034"/>
      <w:bookmarkStart w:id="313" w:name="_Toc17021"/>
      <w:bookmarkStart w:id="314" w:name="_Toc27895"/>
      <w:bookmarkStart w:id="315" w:name="_Toc7494"/>
      <w:bookmarkStart w:id="316" w:name="_Toc32315"/>
      <w:bookmarkStart w:id="317" w:name="_Toc4460"/>
      <w:bookmarkStart w:id="318" w:name="_Toc10010"/>
      <w:bookmarkStart w:id="319" w:name="_Toc10672"/>
      <w:bookmarkStart w:id="320" w:name="_Toc12835"/>
      <w:bookmarkStart w:id="321" w:name="_Toc5411"/>
      <w:bookmarkStart w:id="322" w:name="_Toc1469"/>
      <w:bookmarkStart w:id="323" w:name="_Toc2547"/>
      <w:bookmarkStart w:id="324" w:name="_Toc14193"/>
      <w:bookmarkStart w:id="325" w:name="_Toc26665"/>
      <w:bookmarkStart w:id="326" w:name="_Toc7151"/>
      <w:bookmarkStart w:id="327" w:name="_Toc30489"/>
      <w:bookmarkStart w:id="328" w:name="_Toc5526"/>
      <w:bookmarkStart w:id="329" w:name="_Toc8456"/>
      <w:bookmarkStart w:id="330" w:name="_Toc4493"/>
      <w:bookmarkStart w:id="331" w:name="_Toc17698"/>
      <w:bookmarkStart w:id="332" w:name="_Toc23325"/>
      <w:bookmarkStart w:id="333" w:name="_Toc12026"/>
      <w:bookmarkStart w:id="334" w:name="_Toc11199"/>
      <w:bookmarkStart w:id="335" w:name="_Toc11698"/>
      <w:bookmarkStart w:id="336" w:name="_Toc9124"/>
      <w:bookmarkStart w:id="337" w:name="_Toc14938"/>
      <w:bookmarkStart w:id="338" w:name="_Toc24159"/>
      <w:bookmarkStart w:id="339" w:name="_Toc22857"/>
      <w:bookmarkStart w:id="340" w:name="_Toc20031"/>
      <w:bookmarkStart w:id="341" w:name="_Toc10214"/>
      <w:bookmarkStart w:id="342" w:name="_Toc24642"/>
      <w:bookmarkStart w:id="343" w:name="_Toc19765"/>
      <w:r>
        <w:rPr>
          <w:rFonts w:ascii="Times New Roman" w:hAnsi="Times New Roman"/>
        </w:rPr>
        <w:t>（三）绩效评价工作过程</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074CB4EE">
      <w:pPr>
        <w:spacing w:line="560" w:lineRule="exact"/>
        <w:ind w:firstLine="643" w:firstLineChars="200"/>
        <w:jc w:val="left"/>
        <w:rPr>
          <w:rFonts w:ascii="Times New Roman" w:hAnsi="Times New Roman" w:eastAsia="方正仿宋_GBK"/>
          <w:b/>
          <w:bCs/>
          <w:kern w:val="0"/>
          <w:sz w:val="32"/>
          <w:szCs w:val="32"/>
          <w:lang w:bidi="en-US"/>
        </w:rPr>
      </w:pPr>
      <w:bookmarkStart w:id="344" w:name="_Toc9139"/>
      <w:bookmarkStart w:id="345" w:name="_Toc22621"/>
      <w:r>
        <w:rPr>
          <w:rFonts w:ascii="Times New Roman" w:hAnsi="Times New Roman" w:eastAsia="方正仿宋_GBK"/>
          <w:b/>
          <w:bCs/>
          <w:kern w:val="0"/>
          <w:sz w:val="32"/>
          <w:szCs w:val="32"/>
          <w:lang w:bidi="en-US"/>
        </w:rPr>
        <w:t>1.</w:t>
      </w:r>
      <w:r>
        <w:rPr>
          <w:rFonts w:hint="eastAsia" w:ascii="Times New Roman" w:hAnsi="Times New Roman" w:cs="仿宋_GB2312"/>
          <w:b/>
          <w:bCs/>
          <w:kern w:val="0"/>
          <w:sz w:val="32"/>
          <w:szCs w:val="32"/>
          <w:lang w:bidi="en-US"/>
        </w:rPr>
        <w:t>前期准备</w:t>
      </w:r>
      <w:bookmarkEnd w:id="344"/>
    </w:p>
    <w:p w14:paraId="1C1DC7B9">
      <w:pPr>
        <w:pStyle w:val="36"/>
        <w:ind w:firstLine="640"/>
        <w:jc w:val="both"/>
        <w:rPr>
          <w:rFonts w:ascii="Times New Roman" w:hAnsi="Times New Roman"/>
        </w:rPr>
      </w:pPr>
      <w:r>
        <w:rPr>
          <w:rFonts w:ascii="Times New Roman" w:hAnsi="Times New Roman"/>
        </w:rPr>
        <w:t>新疆高博有限责任会计师事务所为绩效评价工作方面的专业第三方机构，受喀什</w:t>
      </w:r>
      <w:r>
        <w:rPr>
          <w:rFonts w:hint="eastAsia" w:ascii="Times New Roman" w:hAnsi="Times New Roman"/>
          <w:lang w:val="en-US" w:eastAsia="zh-CN"/>
        </w:rPr>
        <w:t>市</w:t>
      </w:r>
      <w:r>
        <w:rPr>
          <w:rFonts w:ascii="Times New Roman" w:hAnsi="Times New Roman"/>
        </w:rPr>
        <w:t>财政局委托实施重点项目（部门单位）绩效评价工作。根据文件及制度要求，新疆高博有限责任会计师事务所成立了由主评人担任评价组长的工作小组，按照绩效评价流程及程序开展工作。具体成员及职责分工如下</w:t>
      </w:r>
      <w:r>
        <w:rPr>
          <w:rFonts w:hint="eastAsia" w:ascii="Times New Roman" w:hAnsi="Times New Roman"/>
        </w:rPr>
        <w:t>：</w:t>
      </w:r>
    </w:p>
    <w:p w14:paraId="59E4EE1E">
      <w:pPr>
        <w:pStyle w:val="36"/>
        <w:ind w:firstLine="482"/>
        <w:jc w:val="center"/>
        <w:rPr>
          <w:rFonts w:ascii="Times New Roman" w:hAnsi="Times New Roman"/>
          <w:b/>
          <w:bCs/>
          <w:sz w:val="24"/>
          <w:szCs w:val="24"/>
        </w:rPr>
      </w:pPr>
      <w:r>
        <w:rPr>
          <w:rFonts w:ascii="Times New Roman" w:hAnsi="Times New Roman"/>
          <w:b/>
          <w:bCs/>
          <w:sz w:val="24"/>
          <w:szCs w:val="24"/>
        </w:rPr>
        <w:t>评价组成员表</w:t>
      </w:r>
    </w:p>
    <w:tbl>
      <w:tblPr>
        <w:tblStyle w:val="19"/>
        <w:tblW w:w="0" w:type="auto"/>
        <w:tblInd w:w="0" w:type="dxa"/>
        <w:tblLayout w:type="fixed"/>
        <w:tblCellMar>
          <w:top w:w="0" w:type="dxa"/>
          <w:left w:w="108" w:type="dxa"/>
          <w:bottom w:w="0" w:type="dxa"/>
          <w:right w:w="108" w:type="dxa"/>
        </w:tblCellMar>
      </w:tblPr>
      <w:tblGrid>
        <w:gridCol w:w="789"/>
        <w:gridCol w:w="1200"/>
        <w:gridCol w:w="1920"/>
        <w:gridCol w:w="5067"/>
      </w:tblGrid>
      <w:tr w14:paraId="45D50663">
        <w:tblPrEx>
          <w:tblCellMar>
            <w:top w:w="0" w:type="dxa"/>
            <w:left w:w="108" w:type="dxa"/>
            <w:bottom w:w="0" w:type="dxa"/>
            <w:right w:w="108" w:type="dxa"/>
          </w:tblCellMar>
        </w:tblPrEx>
        <w:trPr>
          <w:trHeight w:val="680" w:hRule="atLeast"/>
          <w:tblHeader/>
        </w:trPr>
        <w:tc>
          <w:tcPr>
            <w:tcW w:w="789"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10C9CCE">
            <w:pPr>
              <w:widowControl/>
              <w:jc w:val="center"/>
              <w:textAlignment w:val="center"/>
              <w:rPr>
                <w:rFonts w:ascii="Times New Roman" w:hAnsi="Times New Roman"/>
                <w:sz w:val="22"/>
                <w:szCs w:val="22"/>
              </w:rPr>
            </w:pPr>
            <w:r>
              <w:rPr>
                <w:rFonts w:ascii="Times New Roman" w:hAnsi="Times New Roman"/>
                <w:kern w:val="0"/>
                <w:sz w:val="22"/>
                <w:szCs w:val="22"/>
                <w:lang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790CDAF">
            <w:pPr>
              <w:widowControl/>
              <w:jc w:val="center"/>
              <w:textAlignment w:val="center"/>
              <w:rPr>
                <w:rFonts w:ascii="Times New Roman" w:hAnsi="Times New Roman"/>
                <w:sz w:val="22"/>
                <w:szCs w:val="22"/>
              </w:rPr>
            </w:pPr>
            <w:r>
              <w:rPr>
                <w:rFonts w:ascii="Times New Roman" w:hAnsi="Times New Roman"/>
                <w:kern w:val="0"/>
                <w:sz w:val="22"/>
                <w:szCs w:val="22"/>
                <w:lang w:bidi="ar"/>
              </w:rPr>
              <w:t>姓名</w:t>
            </w:r>
          </w:p>
        </w:tc>
        <w:tc>
          <w:tcPr>
            <w:tcW w:w="192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070E72D">
            <w:pPr>
              <w:widowControl/>
              <w:jc w:val="center"/>
              <w:textAlignment w:val="center"/>
              <w:rPr>
                <w:rFonts w:ascii="Times New Roman" w:hAnsi="Times New Roman"/>
                <w:sz w:val="22"/>
                <w:szCs w:val="22"/>
              </w:rPr>
            </w:pPr>
            <w:r>
              <w:rPr>
                <w:rFonts w:ascii="Times New Roman" w:hAnsi="Times New Roman"/>
                <w:kern w:val="0"/>
                <w:sz w:val="22"/>
                <w:szCs w:val="22"/>
                <w:lang w:bidi="ar"/>
              </w:rPr>
              <w:t>工作职责</w:t>
            </w:r>
          </w:p>
        </w:tc>
        <w:tc>
          <w:tcPr>
            <w:tcW w:w="5067"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072D8B2">
            <w:pPr>
              <w:widowControl/>
              <w:jc w:val="center"/>
              <w:textAlignment w:val="center"/>
              <w:rPr>
                <w:rFonts w:ascii="Times New Roman" w:hAnsi="Times New Roman"/>
                <w:sz w:val="22"/>
                <w:szCs w:val="22"/>
              </w:rPr>
            </w:pPr>
            <w:r>
              <w:rPr>
                <w:rFonts w:ascii="Times New Roman" w:hAnsi="Times New Roman"/>
                <w:kern w:val="0"/>
                <w:sz w:val="22"/>
                <w:szCs w:val="22"/>
                <w:lang w:bidi="ar"/>
              </w:rPr>
              <w:t>分工内容</w:t>
            </w:r>
          </w:p>
        </w:tc>
      </w:tr>
      <w:tr w14:paraId="1B7C8AFF">
        <w:tblPrEx>
          <w:tblCellMar>
            <w:top w:w="0" w:type="dxa"/>
            <w:left w:w="108" w:type="dxa"/>
            <w:bottom w:w="0" w:type="dxa"/>
            <w:right w:w="108" w:type="dxa"/>
          </w:tblCellMar>
        </w:tblPrEx>
        <w:trPr>
          <w:trHeight w:val="973"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679CA400">
            <w:pPr>
              <w:widowControl/>
              <w:jc w:val="center"/>
              <w:textAlignment w:val="center"/>
              <w:rPr>
                <w:rFonts w:ascii="Times New Roman" w:hAnsi="Times New Roman"/>
                <w:sz w:val="22"/>
                <w:szCs w:val="22"/>
              </w:rPr>
            </w:pPr>
            <w:r>
              <w:rPr>
                <w:rFonts w:ascii="Times New Roman" w:hAnsi="Times New Roman"/>
                <w:kern w:val="0"/>
                <w:sz w:val="22"/>
                <w:szCs w:val="22"/>
                <w:lang w:bidi="ar"/>
              </w:rPr>
              <w:t>1</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23358FC">
            <w:pPr>
              <w:widowControl/>
              <w:jc w:val="center"/>
              <w:textAlignment w:val="center"/>
              <w:rPr>
                <w:rFonts w:ascii="Times New Roman" w:hAnsi="Times New Roman"/>
                <w:sz w:val="22"/>
                <w:szCs w:val="22"/>
              </w:rPr>
            </w:pPr>
            <w:r>
              <w:rPr>
                <w:rFonts w:ascii="Times New Roman" w:hAnsi="Times New Roman"/>
                <w:kern w:val="0"/>
                <w:sz w:val="22"/>
                <w:szCs w:val="22"/>
                <w:lang w:bidi="ar"/>
              </w:rPr>
              <w:t>杨柳</w:t>
            </w:r>
          </w:p>
        </w:tc>
        <w:tc>
          <w:tcPr>
            <w:tcW w:w="1920" w:type="dxa"/>
            <w:tcBorders>
              <w:top w:val="single" w:color="000000" w:sz="4" w:space="0"/>
              <w:left w:val="single" w:color="000000" w:sz="4" w:space="0"/>
              <w:bottom w:val="single" w:color="000000" w:sz="4" w:space="0"/>
              <w:right w:val="single" w:color="000000" w:sz="4" w:space="0"/>
            </w:tcBorders>
            <w:vAlign w:val="center"/>
          </w:tcPr>
          <w:p w14:paraId="3D1BE545">
            <w:pPr>
              <w:widowControl/>
              <w:jc w:val="center"/>
              <w:textAlignment w:val="center"/>
              <w:rPr>
                <w:rFonts w:ascii="Times New Roman" w:hAnsi="Times New Roman"/>
                <w:sz w:val="22"/>
                <w:szCs w:val="22"/>
              </w:rPr>
            </w:pPr>
            <w:r>
              <w:rPr>
                <w:rFonts w:ascii="Times New Roman" w:hAnsi="Times New Roman"/>
                <w:kern w:val="0"/>
                <w:sz w:val="22"/>
                <w:szCs w:val="22"/>
                <w:lang w:bidi="ar"/>
              </w:rPr>
              <w:t>质控人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12070D4C">
            <w:pPr>
              <w:widowControl/>
              <w:jc w:val="left"/>
              <w:textAlignment w:val="center"/>
              <w:rPr>
                <w:rFonts w:ascii="Times New Roman" w:hAnsi="Times New Roman"/>
                <w:sz w:val="22"/>
                <w:szCs w:val="22"/>
              </w:rPr>
            </w:pPr>
            <w:r>
              <w:rPr>
                <w:rFonts w:ascii="Times New Roman" w:hAnsi="Times New Roman"/>
                <w:kern w:val="0"/>
                <w:sz w:val="22"/>
                <w:szCs w:val="22"/>
                <w:lang w:bidi="ar"/>
              </w:rPr>
              <w:t>负责对整体检查工作进行全面技术把关和指导报告质量内部质量总体把控，对整体评价结论进行最终复核；</w:t>
            </w:r>
          </w:p>
        </w:tc>
      </w:tr>
      <w:tr w14:paraId="5D483B03">
        <w:tblPrEx>
          <w:tblCellMar>
            <w:top w:w="0" w:type="dxa"/>
            <w:left w:w="108" w:type="dxa"/>
            <w:bottom w:w="0" w:type="dxa"/>
            <w:right w:w="108" w:type="dxa"/>
          </w:tblCellMar>
        </w:tblPrEx>
        <w:trPr>
          <w:trHeight w:val="723"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39AFD0D">
            <w:pPr>
              <w:widowControl/>
              <w:jc w:val="center"/>
              <w:textAlignment w:val="center"/>
              <w:rPr>
                <w:rFonts w:ascii="Times New Roman" w:hAnsi="Times New Roman"/>
                <w:sz w:val="22"/>
                <w:szCs w:val="22"/>
              </w:rPr>
            </w:pPr>
            <w:r>
              <w:rPr>
                <w:rFonts w:ascii="Times New Roman" w:hAnsi="Times New Roman"/>
                <w:kern w:val="0"/>
                <w:sz w:val="22"/>
                <w:szCs w:val="22"/>
                <w:lang w:bidi="ar"/>
              </w:rPr>
              <w:t>2</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F251366">
            <w:pPr>
              <w:widowControl/>
              <w:jc w:val="center"/>
              <w:textAlignment w:val="center"/>
              <w:rPr>
                <w:rFonts w:ascii="Times New Roman" w:hAnsi="Times New Roman"/>
                <w:sz w:val="22"/>
                <w:szCs w:val="22"/>
              </w:rPr>
            </w:pPr>
            <w:r>
              <w:rPr>
                <w:rFonts w:hint="eastAsia" w:ascii="Times New Roman" w:hAnsi="Times New Roman"/>
                <w:sz w:val="22"/>
                <w:szCs w:val="22"/>
              </w:rPr>
              <w:t>张红霞</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715A892">
            <w:pPr>
              <w:widowControl/>
              <w:jc w:val="center"/>
              <w:textAlignment w:val="center"/>
              <w:rPr>
                <w:rFonts w:ascii="Times New Roman" w:hAnsi="Times New Roman"/>
                <w:sz w:val="22"/>
                <w:szCs w:val="22"/>
              </w:rPr>
            </w:pPr>
            <w:r>
              <w:rPr>
                <w:rFonts w:ascii="Times New Roman" w:hAnsi="Times New Roman"/>
                <w:kern w:val="0"/>
                <w:sz w:val="22"/>
                <w:szCs w:val="22"/>
                <w:lang w:bidi="ar"/>
              </w:rPr>
              <w:t>主评人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53DA6C26">
            <w:pPr>
              <w:widowControl/>
              <w:jc w:val="left"/>
              <w:textAlignment w:val="center"/>
              <w:rPr>
                <w:rFonts w:ascii="Times New Roman" w:hAnsi="Times New Roman"/>
                <w:sz w:val="22"/>
                <w:szCs w:val="22"/>
              </w:rPr>
            </w:pPr>
            <w:r>
              <w:rPr>
                <w:rFonts w:ascii="Times New Roman" w:hAnsi="Times New Roman"/>
                <w:sz w:val="22"/>
                <w:szCs w:val="22"/>
              </w:rPr>
              <w:t>负责</w:t>
            </w:r>
            <w:r>
              <w:rPr>
                <w:rFonts w:hint="eastAsia" w:ascii="Times New Roman" w:hAnsi="Times New Roman"/>
                <w:sz w:val="22"/>
                <w:szCs w:val="22"/>
              </w:rPr>
              <w:t>部门整体</w:t>
            </w:r>
            <w:r>
              <w:rPr>
                <w:rFonts w:ascii="Times New Roman" w:hAnsi="Times New Roman"/>
                <w:sz w:val="22"/>
                <w:szCs w:val="22"/>
              </w:rPr>
              <w:t>评价方案、</w:t>
            </w:r>
            <w:r>
              <w:rPr>
                <w:rFonts w:hint="eastAsia" w:ascii="Times New Roman" w:hAnsi="Times New Roman"/>
                <w:sz w:val="22"/>
                <w:szCs w:val="22"/>
              </w:rPr>
              <w:t>评价</w:t>
            </w:r>
            <w:r>
              <w:rPr>
                <w:rFonts w:ascii="Times New Roman" w:hAnsi="Times New Roman"/>
                <w:sz w:val="22"/>
                <w:szCs w:val="22"/>
              </w:rPr>
              <w:t>报告等重点工作内容的质量控制，技术指导</w:t>
            </w:r>
            <w:r>
              <w:rPr>
                <w:rFonts w:hint="eastAsia" w:ascii="Times New Roman" w:hAnsi="Times New Roman"/>
                <w:sz w:val="22"/>
                <w:szCs w:val="22"/>
              </w:rPr>
              <w:t>；</w:t>
            </w:r>
          </w:p>
        </w:tc>
      </w:tr>
      <w:tr w14:paraId="25B6F281">
        <w:tblPrEx>
          <w:tblCellMar>
            <w:top w:w="0" w:type="dxa"/>
            <w:left w:w="108" w:type="dxa"/>
            <w:bottom w:w="0" w:type="dxa"/>
            <w:right w:w="108" w:type="dxa"/>
          </w:tblCellMar>
        </w:tblPrEx>
        <w:trPr>
          <w:trHeight w:val="967"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018D3A96">
            <w:pPr>
              <w:widowControl/>
              <w:jc w:val="center"/>
              <w:textAlignment w:val="center"/>
              <w:rPr>
                <w:rFonts w:ascii="Times New Roman" w:hAnsi="Times New Roman"/>
                <w:sz w:val="22"/>
                <w:szCs w:val="22"/>
              </w:rPr>
            </w:pPr>
            <w:r>
              <w:rPr>
                <w:rFonts w:ascii="Times New Roman" w:hAnsi="Times New Roman"/>
                <w:kern w:val="0"/>
                <w:sz w:val="22"/>
                <w:szCs w:val="22"/>
                <w:lang w:bidi="ar"/>
              </w:rPr>
              <w:t>3</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E2915A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廉柳俊</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989A197">
            <w:pPr>
              <w:widowControl/>
              <w:jc w:val="center"/>
              <w:textAlignment w:val="center"/>
              <w:rPr>
                <w:rFonts w:ascii="Times New Roman" w:hAnsi="Times New Roman"/>
                <w:sz w:val="22"/>
                <w:szCs w:val="22"/>
              </w:rPr>
            </w:pPr>
            <w:r>
              <w:rPr>
                <w:rFonts w:ascii="Times New Roman" w:hAnsi="Times New Roman"/>
                <w:kern w:val="0"/>
                <w:sz w:val="22"/>
                <w:szCs w:val="22"/>
                <w:lang w:bidi="ar"/>
              </w:rPr>
              <w:t>现场负责人</w:t>
            </w:r>
          </w:p>
        </w:tc>
        <w:tc>
          <w:tcPr>
            <w:tcW w:w="5067" w:type="dxa"/>
            <w:tcBorders>
              <w:top w:val="single" w:color="000000" w:sz="4" w:space="0"/>
              <w:left w:val="single" w:color="000000" w:sz="4" w:space="0"/>
              <w:bottom w:val="single" w:color="000000" w:sz="4" w:space="0"/>
              <w:right w:val="single" w:color="000000" w:sz="4" w:space="0"/>
            </w:tcBorders>
            <w:vAlign w:val="center"/>
          </w:tcPr>
          <w:p w14:paraId="51C8EFB1">
            <w:pPr>
              <w:widowControl/>
              <w:jc w:val="left"/>
              <w:textAlignment w:val="center"/>
              <w:rPr>
                <w:rFonts w:ascii="Times New Roman" w:hAnsi="Times New Roman"/>
                <w:sz w:val="22"/>
                <w:szCs w:val="22"/>
              </w:rPr>
            </w:pPr>
            <w:r>
              <w:rPr>
                <w:rFonts w:ascii="Times New Roman" w:hAnsi="Times New Roman"/>
                <w:kern w:val="0"/>
                <w:sz w:val="22"/>
                <w:szCs w:val="22"/>
                <w:lang w:bidi="ar"/>
              </w:rPr>
              <w:t>负责对项目实施统筹、资料收集，整理及数据分析、撰写工作方案及评价报告并对评价报告进行负责；</w:t>
            </w:r>
          </w:p>
        </w:tc>
      </w:tr>
      <w:tr w14:paraId="310C963A">
        <w:tblPrEx>
          <w:tblCellMar>
            <w:top w:w="0" w:type="dxa"/>
            <w:left w:w="108" w:type="dxa"/>
            <w:bottom w:w="0" w:type="dxa"/>
            <w:right w:w="108" w:type="dxa"/>
          </w:tblCellMar>
        </w:tblPrEx>
        <w:trPr>
          <w:trHeight w:val="957"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2C66FEDA">
            <w:pPr>
              <w:widowControl/>
              <w:jc w:val="center"/>
              <w:textAlignment w:val="center"/>
              <w:rPr>
                <w:rFonts w:ascii="Times New Roman" w:hAnsi="Times New Roman"/>
                <w:sz w:val="22"/>
                <w:szCs w:val="22"/>
              </w:rPr>
            </w:pPr>
            <w:r>
              <w:rPr>
                <w:rFonts w:ascii="Times New Roman" w:hAnsi="Times New Roman"/>
                <w:kern w:val="0"/>
                <w:sz w:val="22"/>
                <w:szCs w:val="22"/>
                <w:lang w:bidi="ar"/>
              </w:rPr>
              <w:t>4</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314C85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马祥琴</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BF5BC05">
            <w:pPr>
              <w:widowControl/>
              <w:jc w:val="center"/>
              <w:textAlignment w:val="center"/>
              <w:rPr>
                <w:rFonts w:ascii="Times New Roman" w:hAnsi="Times New Roman"/>
                <w:sz w:val="22"/>
                <w:szCs w:val="22"/>
              </w:rPr>
            </w:pPr>
            <w:r>
              <w:rPr>
                <w:rFonts w:ascii="Times New Roman" w:hAnsi="Times New Roman"/>
                <w:kern w:val="0"/>
                <w:sz w:val="22"/>
                <w:szCs w:val="22"/>
                <w:lang w:bidi="ar"/>
              </w:rPr>
              <w:t>评价组成员</w:t>
            </w:r>
          </w:p>
        </w:tc>
        <w:tc>
          <w:tcPr>
            <w:tcW w:w="5067" w:type="dxa"/>
            <w:tcBorders>
              <w:top w:val="single" w:color="000000" w:sz="4" w:space="0"/>
              <w:left w:val="single" w:color="000000" w:sz="4" w:space="0"/>
              <w:bottom w:val="single" w:color="000000" w:sz="4" w:space="0"/>
              <w:right w:val="single" w:color="000000" w:sz="4" w:space="0"/>
            </w:tcBorders>
            <w:vAlign w:val="center"/>
          </w:tcPr>
          <w:p w14:paraId="4B760378">
            <w:pPr>
              <w:widowControl/>
              <w:jc w:val="left"/>
              <w:textAlignment w:val="center"/>
              <w:rPr>
                <w:rFonts w:ascii="Times New Roman" w:hAnsi="Times New Roman"/>
                <w:sz w:val="22"/>
                <w:szCs w:val="22"/>
              </w:rPr>
            </w:pPr>
            <w:r>
              <w:rPr>
                <w:rFonts w:ascii="Times New Roman" w:hAnsi="Times New Roman"/>
                <w:kern w:val="0"/>
                <w:sz w:val="22"/>
                <w:szCs w:val="22"/>
                <w:lang w:bidi="ar"/>
              </w:rPr>
              <w:t>负责资料搜集、整理及数据分析等，并协助撰写工作方案及评价报告等；</w:t>
            </w:r>
          </w:p>
        </w:tc>
      </w:tr>
      <w:tr w14:paraId="3363B30E">
        <w:tblPrEx>
          <w:tblCellMar>
            <w:top w:w="0" w:type="dxa"/>
            <w:left w:w="108" w:type="dxa"/>
            <w:bottom w:w="0" w:type="dxa"/>
            <w:right w:w="108" w:type="dxa"/>
          </w:tblCellMar>
        </w:tblPrEx>
        <w:trPr>
          <w:trHeight w:val="871" w:hRule="atLeast"/>
          <w:tblHeader/>
        </w:trPr>
        <w:tc>
          <w:tcPr>
            <w:tcW w:w="789" w:type="dxa"/>
            <w:tcBorders>
              <w:top w:val="single" w:color="000000" w:sz="4" w:space="0"/>
              <w:left w:val="single" w:color="000000" w:sz="4" w:space="0"/>
              <w:bottom w:val="single" w:color="000000" w:sz="4" w:space="0"/>
              <w:right w:val="single" w:color="000000" w:sz="4" w:space="0"/>
            </w:tcBorders>
            <w:noWrap/>
            <w:vAlign w:val="center"/>
          </w:tcPr>
          <w:p w14:paraId="353C326D">
            <w:pPr>
              <w:widowControl/>
              <w:jc w:val="center"/>
              <w:textAlignment w:val="center"/>
              <w:rPr>
                <w:rFonts w:ascii="Times New Roman" w:hAnsi="Times New Roman"/>
                <w:sz w:val="22"/>
                <w:szCs w:val="22"/>
              </w:rPr>
            </w:pPr>
            <w:r>
              <w:rPr>
                <w:rFonts w:ascii="Times New Roman" w:hAnsi="Times New Roman"/>
                <w:kern w:val="0"/>
                <w:sz w:val="22"/>
                <w:szCs w:val="22"/>
                <w:lang w:bidi="ar"/>
              </w:rPr>
              <w:t>5</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04436F8">
            <w:pPr>
              <w:widowControl/>
              <w:jc w:val="center"/>
              <w:textAlignment w:val="center"/>
              <w:rPr>
                <w:rFonts w:ascii="Times New Roman" w:hAnsi="Times New Roman"/>
                <w:sz w:val="22"/>
                <w:szCs w:val="22"/>
              </w:rPr>
            </w:pPr>
            <w:r>
              <w:rPr>
                <w:rFonts w:hint="eastAsia" w:ascii="Times New Roman" w:hAnsi="Times New Roman"/>
                <w:kern w:val="0"/>
                <w:sz w:val="22"/>
                <w:szCs w:val="22"/>
                <w:lang w:bidi="ar"/>
              </w:rPr>
              <w:t>李子航</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DA10152">
            <w:pPr>
              <w:widowControl/>
              <w:jc w:val="center"/>
              <w:textAlignment w:val="center"/>
              <w:rPr>
                <w:rFonts w:ascii="Times New Roman" w:hAnsi="Times New Roman"/>
                <w:sz w:val="22"/>
                <w:szCs w:val="22"/>
              </w:rPr>
            </w:pPr>
            <w:r>
              <w:rPr>
                <w:rFonts w:ascii="Times New Roman" w:hAnsi="Times New Roman"/>
                <w:kern w:val="0"/>
                <w:sz w:val="22"/>
                <w:szCs w:val="22"/>
                <w:lang w:bidi="ar"/>
              </w:rPr>
              <w:t>评价组成员</w:t>
            </w:r>
          </w:p>
        </w:tc>
        <w:tc>
          <w:tcPr>
            <w:tcW w:w="5067" w:type="dxa"/>
            <w:tcBorders>
              <w:top w:val="single" w:color="000000" w:sz="4" w:space="0"/>
              <w:left w:val="single" w:color="000000" w:sz="4" w:space="0"/>
              <w:bottom w:val="single" w:color="000000" w:sz="4" w:space="0"/>
              <w:right w:val="single" w:color="000000" w:sz="4" w:space="0"/>
            </w:tcBorders>
            <w:vAlign w:val="center"/>
          </w:tcPr>
          <w:p w14:paraId="60BD040E">
            <w:pPr>
              <w:widowControl/>
              <w:jc w:val="left"/>
              <w:textAlignment w:val="center"/>
              <w:rPr>
                <w:rFonts w:ascii="Times New Roman" w:hAnsi="Times New Roman"/>
                <w:sz w:val="22"/>
                <w:szCs w:val="22"/>
              </w:rPr>
            </w:pPr>
            <w:r>
              <w:rPr>
                <w:rFonts w:ascii="Times New Roman" w:hAnsi="Times New Roman"/>
                <w:kern w:val="0"/>
                <w:sz w:val="22"/>
                <w:szCs w:val="22"/>
                <w:lang w:bidi="ar"/>
              </w:rPr>
              <w:t>负责资料搜集、整理及数据分析等，并协助撰写工作方案及评价报告等；</w:t>
            </w:r>
          </w:p>
        </w:tc>
      </w:tr>
    </w:tbl>
    <w:p w14:paraId="71B79064">
      <w:pPr>
        <w:pStyle w:val="36"/>
        <w:ind w:firstLine="640"/>
        <w:jc w:val="both"/>
        <w:rPr>
          <w:rFonts w:ascii="Times New Roman" w:hAnsi="Times New Roman"/>
        </w:rPr>
      </w:pPr>
      <w:r>
        <w:rPr>
          <w:rFonts w:ascii="Times New Roman" w:hAnsi="Times New Roman"/>
        </w:rPr>
        <w:t>本次项目评价期间自202</w:t>
      </w:r>
      <w:r>
        <w:rPr>
          <w:rFonts w:hint="eastAsia" w:ascii="Times New Roman" w:hAnsi="Times New Roman"/>
        </w:rPr>
        <w:t>6</w:t>
      </w:r>
      <w:r>
        <w:rPr>
          <w:rFonts w:ascii="Times New Roman" w:hAnsi="Times New Roman"/>
        </w:rPr>
        <w:t>年</w:t>
      </w:r>
      <w:r>
        <w:rPr>
          <w:rFonts w:hint="eastAsia" w:ascii="Times New Roman" w:hAnsi="Times New Roman"/>
        </w:rPr>
        <w:t>7</w:t>
      </w:r>
      <w:r>
        <w:rPr>
          <w:rFonts w:ascii="Times New Roman" w:hAnsi="Times New Roman"/>
        </w:rPr>
        <w:t>月</w:t>
      </w:r>
      <w:r>
        <w:rPr>
          <w:rFonts w:hint="eastAsia" w:ascii="Times New Roman" w:hAnsi="Times New Roman"/>
        </w:rPr>
        <w:t>1</w:t>
      </w:r>
      <w:r>
        <w:rPr>
          <w:rFonts w:ascii="Times New Roman" w:hAnsi="Times New Roman"/>
        </w:rPr>
        <w:t>日至202</w:t>
      </w:r>
      <w:r>
        <w:rPr>
          <w:rFonts w:hint="eastAsia" w:ascii="Times New Roman" w:hAnsi="Times New Roman"/>
        </w:rPr>
        <w:t>6</w:t>
      </w:r>
      <w:r>
        <w:rPr>
          <w:rFonts w:ascii="Times New Roman" w:hAnsi="Times New Roman"/>
        </w:rPr>
        <w:t>年</w:t>
      </w:r>
      <w:r>
        <w:rPr>
          <w:rFonts w:hint="eastAsia" w:ascii="Times New Roman" w:hAnsi="Times New Roman"/>
        </w:rPr>
        <w:t>8</w:t>
      </w:r>
      <w:r>
        <w:rPr>
          <w:rFonts w:ascii="Times New Roman" w:hAnsi="Times New Roman"/>
        </w:rPr>
        <w:t>月</w:t>
      </w:r>
      <w:r>
        <w:rPr>
          <w:rFonts w:hint="eastAsia" w:ascii="Times New Roman" w:hAnsi="Times New Roman"/>
        </w:rPr>
        <w:t>10</w:t>
      </w:r>
      <w:r>
        <w:rPr>
          <w:rFonts w:ascii="Times New Roman" w:hAnsi="Times New Roman"/>
        </w:rPr>
        <w:t>日，具体安排为：</w:t>
      </w:r>
    </w:p>
    <w:p w14:paraId="5C252EF9">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绩效评价准备阶段：</w:t>
      </w:r>
      <w:r>
        <w:rPr>
          <w:rFonts w:ascii="Times New Roman" w:hAnsi="Times New Roman"/>
          <w:kern w:val="0"/>
          <w:sz w:val="32"/>
          <w:szCs w:val="32"/>
          <w:lang w:bidi="en-US"/>
        </w:rPr>
        <w:t>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w:t>
      </w:r>
      <w:r>
        <w:rPr>
          <w:rFonts w:ascii="Times New Roman" w:hAnsi="Times New Roman"/>
          <w:kern w:val="0"/>
          <w:sz w:val="32"/>
          <w:szCs w:val="32"/>
          <w:lang w:bidi="en-US"/>
        </w:rPr>
        <w:t>日至202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10</w:t>
      </w:r>
      <w:r>
        <w:rPr>
          <w:rFonts w:ascii="Times New Roman" w:hAnsi="Times New Roman"/>
          <w:kern w:val="0"/>
          <w:sz w:val="32"/>
          <w:szCs w:val="32"/>
          <w:lang w:bidi="en-US"/>
        </w:rPr>
        <w:t>日，组成绩效评价工作小组（质控人：杨柳；主评人：张红霞；组员：</w:t>
      </w:r>
      <w:r>
        <w:rPr>
          <w:rFonts w:hint="eastAsia" w:ascii="Times New Roman" w:hAnsi="Times New Roman"/>
          <w:kern w:val="0"/>
          <w:sz w:val="32"/>
          <w:szCs w:val="32"/>
          <w:lang w:bidi="en-US"/>
        </w:rPr>
        <w:t>廉柳俊</w:t>
      </w:r>
      <w:r>
        <w:rPr>
          <w:rFonts w:ascii="Times New Roman" w:hAnsi="Times New Roman"/>
          <w:kern w:val="0"/>
          <w:sz w:val="32"/>
          <w:szCs w:val="32"/>
          <w:lang w:bidi="en-US"/>
        </w:rPr>
        <w:t>、</w:t>
      </w:r>
      <w:r>
        <w:rPr>
          <w:rFonts w:hint="eastAsia" w:ascii="Times New Roman" w:hAnsi="Times New Roman"/>
          <w:kern w:val="0"/>
          <w:sz w:val="32"/>
          <w:szCs w:val="32"/>
          <w:lang w:bidi="en-US"/>
        </w:rPr>
        <w:t>马祥琴</w:t>
      </w:r>
      <w:r>
        <w:rPr>
          <w:rFonts w:ascii="Times New Roman" w:hAnsi="Times New Roman"/>
          <w:kern w:val="0"/>
          <w:sz w:val="32"/>
          <w:szCs w:val="32"/>
          <w:lang w:bidi="en-US"/>
        </w:rPr>
        <w:t>、</w:t>
      </w:r>
      <w:r>
        <w:rPr>
          <w:rFonts w:hint="eastAsia" w:ascii="Times New Roman" w:hAnsi="Times New Roman"/>
          <w:kern w:val="0"/>
          <w:sz w:val="32"/>
          <w:szCs w:val="32"/>
          <w:lang w:bidi="en-US"/>
        </w:rPr>
        <w:t>李子航</w:t>
      </w:r>
      <w:r>
        <w:rPr>
          <w:rFonts w:ascii="Times New Roman" w:hAnsi="Times New Roman"/>
          <w:kern w:val="0"/>
          <w:sz w:val="32"/>
          <w:szCs w:val="32"/>
          <w:lang w:bidi="en-US"/>
        </w:rPr>
        <w:t>），研究制定绩效评价工作方案（包括出具绩效评价指标体系、整理完善资料清单、编制重点项目绩效评价实施方案等），征求喀什</w:t>
      </w:r>
      <w:r>
        <w:rPr>
          <w:rFonts w:hint="eastAsia" w:ascii="Times New Roman" w:hAnsi="Times New Roman"/>
          <w:kern w:val="0"/>
          <w:sz w:val="32"/>
          <w:szCs w:val="32"/>
          <w:lang w:bidi="en-US"/>
        </w:rPr>
        <w:t>市</w:t>
      </w:r>
      <w:r>
        <w:rPr>
          <w:rFonts w:ascii="Times New Roman" w:hAnsi="Times New Roman"/>
          <w:kern w:val="0"/>
          <w:sz w:val="32"/>
          <w:szCs w:val="32"/>
          <w:lang w:bidi="en-US"/>
        </w:rPr>
        <w:t>财政局的意见，将确定的绩效评价工作方案和资料清单委托财政局发放项目主管部门单位，主管部门单位根据资料清单收集项目资料。</w:t>
      </w:r>
    </w:p>
    <w:p w14:paraId="2D9D23CE">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绩效评价实施阶段：</w:t>
      </w:r>
      <w:r>
        <w:rPr>
          <w:rFonts w:ascii="Times New Roman" w:hAnsi="Times New Roman"/>
          <w:kern w:val="0"/>
          <w:sz w:val="32"/>
          <w:szCs w:val="32"/>
          <w:lang w:bidi="en-US"/>
        </w:rPr>
        <w:t>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11</w:t>
      </w:r>
      <w:r>
        <w:rPr>
          <w:rFonts w:ascii="Times New Roman" w:hAnsi="Times New Roman"/>
          <w:kern w:val="0"/>
          <w:sz w:val="32"/>
          <w:szCs w:val="32"/>
          <w:lang w:bidi="en-US"/>
        </w:rPr>
        <w:t>日至202</w:t>
      </w:r>
      <w:r>
        <w:rPr>
          <w:rFonts w:hint="eastAsia" w:ascii="Times New Roman" w:hAnsi="Times New Roman"/>
          <w:kern w:val="0"/>
          <w:sz w:val="32"/>
          <w:szCs w:val="32"/>
          <w:lang w:val="en-US" w:eastAsia="zh-CN" w:bidi="en-US"/>
        </w:rPr>
        <w:t>6</w:t>
      </w:r>
      <w:r>
        <w:rPr>
          <w:rFonts w:ascii="Times New Roman" w:hAnsi="Times New Roman"/>
          <w:kern w:val="0"/>
          <w:sz w:val="32"/>
          <w:szCs w:val="32"/>
          <w:lang w:bidi="en-US"/>
        </w:rPr>
        <w:t>年</w:t>
      </w:r>
      <w:r>
        <w:rPr>
          <w:rFonts w:hint="eastAsia" w:ascii="Times New Roman" w:hAnsi="Times New Roman"/>
          <w:kern w:val="0"/>
          <w:sz w:val="32"/>
          <w:szCs w:val="32"/>
          <w:lang w:bidi="en-US"/>
        </w:rPr>
        <w:t>7</w:t>
      </w:r>
      <w:r>
        <w:rPr>
          <w:rFonts w:ascii="Times New Roman" w:hAnsi="Times New Roman"/>
          <w:kern w:val="0"/>
          <w:sz w:val="32"/>
          <w:szCs w:val="32"/>
          <w:lang w:bidi="en-US"/>
        </w:rPr>
        <w:t>月</w:t>
      </w:r>
      <w:r>
        <w:rPr>
          <w:rFonts w:hint="eastAsia" w:ascii="Times New Roman" w:hAnsi="Times New Roman"/>
          <w:kern w:val="0"/>
          <w:sz w:val="32"/>
          <w:szCs w:val="32"/>
          <w:lang w:bidi="en-US"/>
        </w:rPr>
        <w:t>31</w:t>
      </w:r>
      <w:r>
        <w:rPr>
          <w:rFonts w:ascii="Times New Roman" w:hAnsi="Times New Roman"/>
          <w:kern w:val="0"/>
          <w:sz w:val="32"/>
          <w:szCs w:val="32"/>
          <w:lang w:bidi="en-US"/>
        </w:rPr>
        <w:t>日，绩效评价工作小组参照实施方案，具体组织实施项目绩效评价工作。通过实地走访、座谈交流等方式了解项目实际情况并收集相关资料。</w:t>
      </w:r>
    </w:p>
    <w:p w14:paraId="589B3F42">
      <w:pPr>
        <w:spacing w:line="560" w:lineRule="exact"/>
        <w:ind w:firstLine="643" w:firstLineChars="200"/>
        <w:rPr>
          <w:rFonts w:ascii="Times New Roman" w:hAnsi="Times New Roman"/>
          <w:kern w:val="0"/>
          <w:sz w:val="32"/>
          <w:szCs w:val="32"/>
          <w:lang w:bidi="en-US"/>
        </w:rPr>
      </w:pPr>
      <w:r>
        <w:rPr>
          <w:rFonts w:ascii="Times New Roman" w:hAnsi="Times New Roman"/>
          <w:b/>
          <w:bCs/>
          <w:kern w:val="0"/>
          <w:sz w:val="32"/>
          <w:szCs w:val="32"/>
          <w:lang w:bidi="en-US"/>
        </w:rPr>
        <w:t>汇总评价报告阶段：</w:t>
      </w:r>
      <w:r>
        <w:rPr>
          <w:rFonts w:hint="eastAsia" w:ascii="Times New Roman" w:hAnsi="Times New Roman"/>
          <w:kern w:val="0"/>
          <w:sz w:val="32"/>
          <w:szCs w:val="32"/>
          <w:lang w:bidi="en-US"/>
        </w:rPr>
        <w:t>2026年8月1日至2026年8月10日，绩效评价工作小组根据项目实际情况，编制绩效评价报告初稿，并进行内部三审复核（复核人员：三审杨柳、二审张红霞、一审廉柳俊）；复核通过后征求项目单位意见建议</w:t>
      </w:r>
      <w:r>
        <w:rPr>
          <w:rFonts w:ascii="Times New Roman" w:hAnsi="Times New Roman"/>
          <w:kern w:val="0"/>
          <w:sz w:val="32"/>
          <w:szCs w:val="32"/>
          <w:lang w:bidi="en-US"/>
        </w:rPr>
        <w:t>。</w:t>
      </w:r>
    </w:p>
    <w:p w14:paraId="7614EDA3">
      <w:pPr>
        <w:pStyle w:val="36"/>
        <w:ind w:firstLine="643"/>
        <w:jc w:val="both"/>
        <w:rPr>
          <w:rFonts w:ascii="Times New Roman" w:hAnsi="Times New Roman"/>
          <w:kern w:val="2"/>
          <w:lang w:bidi="ar-SA"/>
        </w:rPr>
      </w:pPr>
      <w:r>
        <w:rPr>
          <w:rFonts w:ascii="Times New Roman" w:hAnsi="Times New Roman"/>
          <w:b/>
          <w:bCs/>
        </w:rPr>
        <w:t>报告评审修改及验收阶段：</w:t>
      </w:r>
      <w:r>
        <w:rPr>
          <w:rFonts w:hint="eastAsia" w:ascii="Times New Roman" w:hAnsi="Times New Roman"/>
        </w:rPr>
        <w:t>2026年8月11日至2026年8月15日，评价小组根据项目单位反馈意见逐项修改完善，形成报告征求意见稿，征求喀什市财政局及被评价部门单位意见建议，最终形成正式绩效评价报告</w:t>
      </w:r>
      <w:r>
        <w:rPr>
          <w:rFonts w:ascii="Times New Roman" w:hAnsi="Times New Roman"/>
        </w:rPr>
        <w:t>。</w:t>
      </w:r>
    </w:p>
    <w:p w14:paraId="708FBD27">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2.组织实施</w:t>
      </w:r>
      <w:bookmarkEnd w:id="345"/>
    </w:p>
    <w:p w14:paraId="5A8D4023">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评价小组通过与</w:t>
      </w:r>
      <w:r>
        <w:rPr>
          <w:rFonts w:hint="eastAsia" w:ascii="Times New Roman" w:hAnsi="Times New Roman"/>
          <w:sz w:val="32"/>
          <w:szCs w:val="32"/>
          <w:lang w:eastAsia="zh-CN"/>
        </w:rPr>
        <w:t>喀什市文化体育广播电视和旅游局</w:t>
      </w:r>
      <w:r>
        <w:rPr>
          <w:rFonts w:hint="eastAsia" w:ascii="Times New Roman" w:hAnsi="Times New Roman"/>
          <w:sz w:val="32"/>
          <w:szCs w:val="32"/>
        </w:rPr>
        <w:t>沟通，了解项目基本情况，收集相关基础资料，并进行整理分析，编制项目绩效评价资料清单，对项目资金使用进行分析和绩效检查，并根据评价需求实地进行调研考察，严格按照绩效评价指标体系进行评价，总结各地经验做法和存在的问题。</w:t>
      </w:r>
    </w:p>
    <w:p w14:paraId="35688639">
      <w:pPr>
        <w:spacing w:line="560" w:lineRule="exact"/>
        <w:ind w:firstLine="643" w:firstLineChars="200"/>
        <w:jc w:val="left"/>
        <w:rPr>
          <w:rFonts w:ascii="Times New Roman" w:hAnsi="Times New Roman"/>
          <w:b/>
          <w:bCs/>
          <w:sz w:val="32"/>
          <w:szCs w:val="32"/>
        </w:rPr>
      </w:pPr>
      <w:bookmarkStart w:id="346" w:name="_Toc14996"/>
      <w:bookmarkStart w:id="347" w:name="_Toc419984719"/>
      <w:bookmarkStart w:id="348" w:name="_Toc428278227"/>
      <w:r>
        <w:rPr>
          <w:rFonts w:hint="eastAsia" w:ascii="Times New Roman" w:hAnsi="Times New Roman"/>
          <w:b/>
          <w:bCs/>
          <w:sz w:val="32"/>
          <w:szCs w:val="32"/>
        </w:rPr>
        <w:t>3.综合分析评价</w:t>
      </w:r>
      <w:bookmarkEnd w:id="346"/>
    </w:p>
    <w:p w14:paraId="5C70D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rPr>
      </w:pPr>
      <w:r>
        <w:rPr>
          <w:rFonts w:hint="eastAsia" w:ascii="Times New Roman" w:hAnsi="Times New Roman" w:cs="Times New Roman"/>
          <w:sz w:val="32"/>
          <w:szCs w:val="32"/>
        </w:rPr>
        <w:t>一是根据所收集的资料，结合现场勘查等有关情况，整理出绩效评价所需要的基本资料和数据。二是按照确定的评价指标、评价标准和评价方法，对评价对象的绩效情况进行全面的定量定性分析和综合评价，量化评分，形成评价初步结论。</w:t>
      </w:r>
    </w:p>
    <w:p w14:paraId="3037B03C">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4.报告撰写</w:t>
      </w:r>
    </w:p>
    <w:p w14:paraId="5C32E7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sz w:val="32"/>
          <w:szCs w:val="32"/>
        </w:rPr>
        <w:t>一是根据本次绩效评价开展情况和初步评价结果，形成绩效评价报告初稿。二是征求</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及喀什市财政局意见，并结合反馈意见形成正式报告。</w:t>
      </w:r>
    </w:p>
    <w:bookmarkEnd w:id="347"/>
    <w:bookmarkEnd w:id="348"/>
    <w:p w14:paraId="5520F8D0">
      <w:pPr>
        <w:pStyle w:val="37"/>
        <w:widowControl w:val="0"/>
        <w:numPr>
          <w:ilvl w:val="0"/>
          <w:numId w:val="1"/>
        </w:numPr>
        <w:spacing w:before="0" w:after="0"/>
        <w:ind w:left="0" w:firstLine="640" w:firstLineChars="200"/>
        <w:rPr>
          <w:rFonts w:ascii="Times New Roman" w:hAnsi="Times New Roman" w:cs="黑体"/>
        </w:rPr>
      </w:pPr>
      <w:bookmarkStart w:id="349" w:name="_Toc19020"/>
      <w:bookmarkStart w:id="350" w:name="_Toc29772"/>
      <w:bookmarkStart w:id="351" w:name="_Toc8202"/>
      <w:bookmarkStart w:id="352" w:name="_Toc26847"/>
      <w:bookmarkStart w:id="353" w:name="_Toc29329"/>
      <w:bookmarkStart w:id="354" w:name="_Toc13397"/>
      <w:bookmarkStart w:id="355" w:name="_Toc22159"/>
      <w:bookmarkStart w:id="356" w:name="_Toc25674"/>
      <w:bookmarkStart w:id="357" w:name="_Toc21585"/>
      <w:bookmarkStart w:id="358" w:name="_Toc15351"/>
      <w:bookmarkStart w:id="359" w:name="_Toc24018"/>
      <w:bookmarkStart w:id="360" w:name="_Toc16606"/>
      <w:bookmarkStart w:id="361" w:name="_Toc17060"/>
      <w:bookmarkStart w:id="362" w:name="_Toc17271"/>
      <w:bookmarkStart w:id="363" w:name="_Toc17811"/>
      <w:bookmarkStart w:id="364" w:name="_Toc6369"/>
      <w:bookmarkStart w:id="365" w:name="_Toc20947"/>
      <w:bookmarkStart w:id="366" w:name="_Toc11888"/>
      <w:bookmarkStart w:id="367" w:name="_Toc6307"/>
      <w:bookmarkStart w:id="368" w:name="_Toc18353"/>
      <w:bookmarkStart w:id="369" w:name="_Toc6834"/>
      <w:bookmarkStart w:id="370" w:name="_Toc4407"/>
      <w:bookmarkStart w:id="371" w:name="_Toc9129"/>
      <w:bookmarkStart w:id="372" w:name="_Toc2736"/>
      <w:bookmarkStart w:id="373" w:name="_Toc15366"/>
      <w:bookmarkStart w:id="374" w:name="_Toc29151"/>
      <w:bookmarkStart w:id="375" w:name="_Toc13270"/>
      <w:bookmarkStart w:id="376" w:name="_Toc28055"/>
      <w:bookmarkStart w:id="377" w:name="_Toc7240"/>
      <w:bookmarkStart w:id="378" w:name="_Toc19637"/>
      <w:bookmarkStart w:id="379" w:name="_Toc6742"/>
      <w:bookmarkStart w:id="380" w:name="_Toc20797"/>
      <w:bookmarkStart w:id="381" w:name="_Toc4038"/>
      <w:bookmarkStart w:id="382" w:name="_Toc22600"/>
      <w:bookmarkStart w:id="383" w:name="_Toc28150"/>
      <w:bookmarkStart w:id="384" w:name="_Toc17077"/>
      <w:bookmarkStart w:id="385" w:name="_Toc8251"/>
      <w:bookmarkStart w:id="386" w:name="_Toc21656"/>
      <w:bookmarkStart w:id="387" w:name="_Toc16063"/>
      <w:bookmarkStart w:id="388" w:name="_Toc10568"/>
      <w:bookmarkStart w:id="389" w:name="_Toc30416"/>
      <w:r>
        <w:rPr>
          <w:rFonts w:ascii="Times New Roman" w:hAnsi="Times New Roman" w:cs="黑体"/>
        </w:rPr>
        <w:t>综合评价情况及评价结论</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6199F9B">
      <w:pPr>
        <w:keepNext w:val="0"/>
        <w:keepLines w:val="0"/>
        <w:pageBreakBefore w:val="0"/>
        <w:widowControl w:val="0"/>
        <w:tabs>
          <w:tab w:val="left" w:pos="240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bookmarkStart w:id="390" w:name="_Toc12136"/>
      <w:bookmarkStart w:id="391" w:name="_Toc13708"/>
      <w:bookmarkStart w:id="392" w:name="_Toc25292"/>
      <w:r>
        <w:rPr>
          <w:rFonts w:hint="eastAsia" w:ascii="Times New Roman" w:hAnsi="Times New Roman" w:eastAsia="仿宋_GB2312" w:cs="Times New Roman"/>
          <w:kern w:val="2"/>
          <w:sz w:val="32"/>
          <w:szCs w:val="32"/>
          <w:lang w:val="en-US" w:eastAsia="zh-CN" w:bidi="ar-SA"/>
        </w:rPr>
        <w:t>2025年新疆是个好地方演出保障项目安排预算资金</w:t>
      </w:r>
      <w:r>
        <w:rPr>
          <w:rFonts w:hint="eastAsia" w:ascii="Times New Roman" w:hAnsi="Times New Roman" w:cs="Times New Roman"/>
          <w:kern w:val="2"/>
          <w:sz w:val="32"/>
          <w:szCs w:val="32"/>
          <w:lang w:val="en-US" w:eastAsia="zh-CN" w:bidi="ar-SA"/>
        </w:rPr>
        <w:t>49.40万元</w:t>
      </w:r>
      <w:r>
        <w:rPr>
          <w:rFonts w:hint="eastAsia" w:ascii="Times New Roman" w:hAnsi="Times New Roman" w:eastAsia="仿宋_GB2312" w:cs="Times New Roman"/>
          <w:kern w:val="2"/>
          <w:sz w:val="32"/>
          <w:szCs w:val="32"/>
          <w:lang w:val="en-US" w:eastAsia="zh-CN" w:bidi="ar-SA"/>
        </w:rPr>
        <w:t>，截至2025年12月31日，实际执行金额为</w:t>
      </w:r>
      <w:r>
        <w:rPr>
          <w:rFonts w:hint="eastAsia" w:ascii="Times New Roman" w:hAnsi="Times New Roman" w:cs="Times New Roman"/>
          <w:kern w:val="2"/>
          <w:sz w:val="32"/>
          <w:szCs w:val="32"/>
          <w:lang w:val="en-US" w:eastAsia="zh-CN" w:bidi="ar-SA"/>
        </w:rPr>
        <w:t>49.40万元</w:t>
      </w:r>
      <w:r>
        <w:rPr>
          <w:rFonts w:hint="eastAsia" w:ascii="Times New Roman" w:hAnsi="Times New Roman" w:eastAsia="仿宋_GB2312" w:cs="Times New Roman"/>
          <w:kern w:val="2"/>
          <w:sz w:val="32"/>
          <w:szCs w:val="32"/>
          <w:lang w:val="en-US" w:eastAsia="zh-CN" w:bidi="ar-SA"/>
        </w:rPr>
        <w:t>，</w:t>
      </w:r>
      <w:bookmarkEnd w:id="390"/>
      <w:bookmarkEnd w:id="391"/>
      <w:bookmarkEnd w:id="392"/>
      <w:r>
        <w:rPr>
          <w:rFonts w:hint="eastAsia" w:ascii="Times New Roman" w:hAnsi="Times New Roman" w:cs="Times New Roman"/>
          <w:sz w:val="32"/>
          <w:szCs w:val="32"/>
          <w:lang w:val="en-US" w:eastAsia="zh-CN"/>
        </w:rPr>
        <w:t>一是完成演出核心设备租赁，包括切割灯、摇头灯等专业灯光系统租赁费用合计21.34万元，确保舞台视觉效果达到演出标准；二是投入演出设备租赁费24.99万元，涵盖音响、舞台机械、幕布等配套器材，全面满足各类演出场景需求；三是强化后勤保障，安排演出送餐服务资金0.58万元，确保演职人员连续排演期间的后勤补给；四是注重宣传推广，投入广告宣传资料费2.49万元，用于制作演出海报、节目单、宣传折页等，扩大演出社会影响力。通过实施本项目，提升了演出整体质量和视觉效果，有效保障了演出的顺利开展。项目实施取得了在凝聚人心、促进文化交流、展示新疆美好形象方面的积极成效。</w:t>
      </w:r>
    </w:p>
    <w:p w14:paraId="65D532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sz w:val="32"/>
          <w:szCs w:val="32"/>
        </w:rPr>
      </w:pPr>
      <w:r>
        <w:rPr>
          <w:rFonts w:hint="eastAsia" w:ascii="Times New Roman" w:hAnsi="Times New Roman"/>
          <w:sz w:val="32"/>
          <w:szCs w:val="32"/>
          <w:highlight w:val="none"/>
        </w:rPr>
        <w:t>依</w:t>
      </w:r>
      <w:r>
        <w:rPr>
          <w:rFonts w:hint="eastAsia" w:ascii="Times New Roman" w:hAnsi="Times New Roman"/>
          <w:sz w:val="32"/>
          <w:szCs w:val="32"/>
        </w:rPr>
        <w:t>据</w:t>
      </w:r>
      <w:r>
        <w:rPr>
          <w:rFonts w:hint="eastAsia" w:ascii="Times New Roman" w:hAnsi="Times New Roman"/>
          <w:sz w:val="32"/>
          <w:szCs w:val="32"/>
          <w:lang w:eastAsia="zh-CN"/>
        </w:rPr>
        <w:t>《中共中央 国务院</w:t>
      </w:r>
      <w:r>
        <w:rPr>
          <w:rFonts w:hint="eastAsia" w:ascii="Times New Roman" w:hAnsi="Times New Roman"/>
          <w:sz w:val="32"/>
          <w:szCs w:val="32"/>
        </w:rPr>
        <w:t>关于全面实施预算绩效管理的意见》《项目支出绩效评价管理办法》（财预〔2020〕10号）以及《关于进一步加强和规范喀什地区项目支出“全过程”预算绩效管理结果应用的通知》（喀地财绩〔2022〕2号）文件，绩效评价总分设置为100分，划分为四档：90（含）-100分为“优”、80（含）-90分为“良”、70（含）-80分为“中”、70分以下为“差”。该项目最终评分结果：</w:t>
      </w:r>
      <w:r>
        <w:rPr>
          <w:rFonts w:hint="eastAsia" w:ascii="Times New Roman" w:hAnsi="Times New Roman"/>
          <w:sz w:val="32"/>
          <w:szCs w:val="32"/>
          <w:highlight w:val="none"/>
        </w:rPr>
        <w:t>评价总分</w:t>
      </w:r>
      <w:r>
        <w:rPr>
          <w:rFonts w:hint="eastAsia" w:ascii="Times New Roman" w:hAnsi="Times New Roman"/>
          <w:sz w:val="32"/>
          <w:szCs w:val="32"/>
          <w:highlight w:val="none"/>
          <w:lang w:val="en-US" w:eastAsia="zh-CN"/>
        </w:rPr>
        <w:t>92</w:t>
      </w:r>
      <w:r>
        <w:rPr>
          <w:rFonts w:hint="eastAsia" w:ascii="Times New Roman" w:hAnsi="Times New Roman"/>
          <w:sz w:val="32"/>
          <w:szCs w:val="32"/>
          <w:highlight w:val="none"/>
        </w:rPr>
        <w:t>分，</w:t>
      </w:r>
      <w:r>
        <w:rPr>
          <w:rFonts w:hint="eastAsia" w:ascii="Times New Roman" w:hAnsi="Times New Roman"/>
          <w:sz w:val="32"/>
          <w:szCs w:val="32"/>
        </w:rPr>
        <w:t>绩效等级为</w:t>
      </w:r>
      <w:r>
        <w:rPr>
          <w:rFonts w:hint="eastAsia" w:ascii="Times New Roman" w:hAnsi="Times New Roman"/>
          <w:sz w:val="32"/>
          <w:szCs w:val="32"/>
          <w:highlight w:val="none"/>
        </w:rPr>
        <w:t>“</w:t>
      </w:r>
      <w:r>
        <w:rPr>
          <w:rFonts w:hint="eastAsia" w:ascii="Times New Roman" w:hAnsi="Times New Roman"/>
          <w:sz w:val="32"/>
          <w:szCs w:val="32"/>
          <w:highlight w:val="none"/>
          <w:lang w:val="en-US" w:eastAsia="zh-CN"/>
        </w:rPr>
        <w:t>优</w:t>
      </w:r>
      <w:r>
        <w:rPr>
          <w:rFonts w:hint="eastAsia" w:ascii="Times New Roman" w:hAnsi="Times New Roman"/>
          <w:sz w:val="32"/>
          <w:szCs w:val="32"/>
          <w:highlight w:val="none"/>
        </w:rPr>
        <w:t>”。</w:t>
      </w:r>
      <w:r>
        <w:rPr>
          <w:rFonts w:hint="eastAsia" w:ascii="Times New Roman" w:hAnsi="Times New Roman"/>
          <w:sz w:val="32"/>
          <w:szCs w:val="32"/>
        </w:rPr>
        <w:t>具体得分情况见下表，《</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绩效评价指标综合评分表》（附件1）</w:t>
      </w:r>
      <w:r>
        <w:rPr>
          <w:rFonts w:hint="eastAsia" w:ascii="Times New Roman" w:hAnsi="Times New Roman"/>
          <w:sz w:val="32"/>
          <w:szCs w:val="32"/>
          <w:lang w:eastAsia="zh-CN"/>
        </w:rPr>
        <w:t>。</w:t>
      </w:r>
    </w:p>
    <w:p w14:paraId="292B7B04">
      <w:pPr>
        <w:pStyle w:val="36"/>
        <w:spacing w:line="300" w:lineRule="exact"/>
        <w:ind w:firstLine="0" w:firstLineChars="0"/>
        <w:jc w:val="center"/>
        <w:rPr>
          <w:rFonts w:hint="eastAsia" w:ascii="Times New Roman" w:hAnsi="Times New Roman" w:cs="仿宋_GB2312"/>
          <w:b/>
          <w:bCs/>
          <w:sz w:val="24"/>
          <w:szCs w:val="24"/>
        </w:rPr>
      </w:pPr>
      <w:r>
        <w:rPr>
          <w:rFonts w:hint="eastAsia" w:ascii="Times New Roman" w:hAnsi="Times New Roman"/>
          <w:b/>
          <w:bCs/>
          <w:sz w:val="24"/>
          <w:szCs w:val="24"/>
          <w:lang w:val="en-US" w:eastAsia="zh-CN"/>
        </w:rPr>
        <w:t>2025年新疆是个好地方演出保障项目</w:t>
      </w:r>
      <w:r>
        <w:rPr>
          <w:rFonts w:hint="eastAsia" w:ascii="Times New Roman" w:hAnsi="Times New Roman" w:cs="仿宋_GB2312"/>
          <w:b/>
          <w:bCs/>
          <w:sz w:val="24"/>
          <w:szCs w:val="24"/>
        </w:rPr>
        <w:t>绩效评价评分汇总表</w:t>
      </w:r>
    </w:p>
    <w:tbl>
      <w:tblPr>
        <w:tblStyle w:val="19"/>
        <w:tblW w:w="8902" w:type="dxa"/>
        <w:tblInd w:w="0" w:type="dxa"/>
        <w:tblLayout w:type="fixed"/>
        <w:tblCellMar>
          <w:top w:w="0" w:type="dxa"/>
          <w:left w:w="0" w:type="dxa"/>
          <w:bottom w:w="0" w:type="dxa"/>
          <w:right w:w="0" w:type="dxa"/>
        </w:tblCellMar>
      </w:tblPr>
      <w:tblGrid>
        <w:gridCol w:w="2224"/>
        <w:gridCol w:w="2224"/>
        <w:gridCol w:w="2227"/>
        <w:gridCol w:w="2227"/>
      </w:tblGrid>
      <w:tr w14:paraId="5EE1899D">
        <w:tblPrEx>
          <w:tblCellMar>
            <w:top w:w="0" w:type="dxa"/>
            <w:left w:w="0" w:type="dxa"/>
            <w:bottom w:w="0" w:type="dxa"/>
            <w:right w:w="0" w:type="dxa"/>
          </w:tblCellMar>
        </w:tblPrEx>
        <w:trPr>
          <w:trHeight w:val="539" w:hRule="atLeast"/>
          <w:tblHeader/>
        </w:trPr>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47A66145">
            <w:pPr>
              <w:pStyle w:val="36"/>
              <w:spacing w:line="300" w:lineRule="exact"/>
              <w:ind w:firstLine="0" w:firstLineChars="0"/>
              <w:jc w:val="center"/>
              <w:rPr>
                <w:rFonts w:ascii="Times New Roman" w:hAnsi="Times New Roman"/>
                <w:b/>
                <w:bCs/>
                <w:sz w:val="22"/>
                <w:szCs w:val="22"/>
              </w:rPr>
            </w:pPr>
            <w:bookmarkStart w:id="393" w:name="_Toc4679"/>
            <w:bookmarkStart w:id="394" w:name="_Toc21060"/>
            <w:bookmarkStart w:id="395" w:name="_Toc10868"/>
            <w:bookmarkStart w:id="396" w:name="_Toc20541"/>
            <w:bookmarkStart w:id="397" w:name="_Toc18791"/>
            <w:bookmarkStart w:id="398" w:name="_Toc11776"/>
            <w:bookmarkStart w:id="399" w:name="_Toc29915"/>
            <w:bookmarkStart w:id="400" w:name="_Toc32460"/>
            <w:bookmarkStart w:id="401" w:name="_Toc1774"/>
            <w:bookmarkStart w:id="402" w:name="_Toc157"/>
            <w:bookmarkStart w:id="403" w:name="_Toc9852"/>
            <w:bookmarkStart w:id="404" w:name="_Toc16732"/>
            <w:bookmarkStart w:id="405" w:name="_Toc19063"/>
            <w:bookmarkStart w:id="406" w:name="_Toc25780"/>
            <w:bookmarkStart w:id="407" w:name="_Toc20153"/>
            <w:bookmarkStart w:id="408" w:name="_Toc18458"/>
            <w:bookmarkStart w:id="409" w:name="_Toc22655"/>
            <w:bookmarkStart w:id="410" w:name="_Toc13298"/>
            <w:bookmarkStart w:id="411" w:name="_Toc13834"/>
            <w:bookmarkStart w:id="412" w:name="_Toc10133"/>
            <w:bookmarkStart w:id="413" w:name="_Toc22547"/>
            <w:bookmarkStart w:id="414" w:name="_Toc32459"/>
            <w:bookmarkStart w:id="415" w:name="_Toc16807"/>
            <w:bookmarkStart w:id="416" w:name="_Toc13265"/>
            <w:r>
              <w:rPr>
                <w:rFonts w:ascii="Times New Roman" w:hAnsi="Times New Roman"/>
                <w:b/>
                <w:bCs/>
                <w:sz w:val="22"/>
                <w:szCs w:val="22"/>
              </w:rPr>
              <w:t>一级指标</w:t>
            </w:r>
          </w:p>
        </w:tc>
        <w:tc>
          <w:tcPr>
            <w:tcW w:w="2224"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320ACD53">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标准分值</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2AA0BF67">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w:t>
            </w:r>
          </w:p>
        </w:tc>
        <w:tc>
          <w:tcPr>
            <w:tcW w:w="2227" w:type="dxa"/>
            <w:tcBorders>
              <w:top w:val="single" w:color="000000" w:sz="4" w:space="0"/>
              <w:left w:val="single" w:color="000000" w:sz="4" w:space="0"/>
              <w:bottom w:val="single" w:color="000000" w:sz="4" w:space="0"/>
              <w:right w:val="single" w:color="000000" w:sz="4" w:space="0"/>
            </w:tcBorders>
            <w:shd w:val="clear" w:color="auto" w:fill="EEECE1" w:themeFill="background2"/>
            <w:noWrap/>
            <w:tcMar>
              <w:top w:w="12" w:type="dxa"/>
              <w:left w:w="12" w:type="dxa"/>
              <w:right w:w="12" w:type="dxa"/>
            </w:tcMar>
            <w:vAlign w:val="center"/>
          </w:tcPr>
          <w:p w14:paraId="73FE5D9F">
            <w:pPr>
              <w:pStyle w:val="36"/>
              <w:spacing w:line="300" w:lineRule="exact"/>
              <w:ind w:firstLine="0" w:firstLineChars="0"/>
              <w:jc w:val="center"/>
              <w:rPr>
                <w:rFonts w:ascii="Times New Roman" w:hAnsi="Times New Roman"/>
                <w:b/>
                <w:bCs/>
                <w:sz w:val="22"/>
                <w:szCs w:val="22"/>
              </w:rPr>
            </w:pPr>
            <w:r>
              <w:rPr>
                <w:rFonts w:ascii="Times New Roman" w:hAnsi="Times New Roman"/>
                <w:b/>
                <w:bCs/>
                <w:sz w:val="22"/>
                <w:szCs w:val="22"/>
              </w:rPr>
              <w:t>得分率</w:t>
            </w:r>
          </w:p>
        </w:tc>
      </w:tr>
      <w:tr w14:paraId="77F60BD5">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D70B8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决策指标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17C1E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460E3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15.00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351095">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0BF4C6A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518A64">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过程指标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1AE480">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40</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60294E">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32.00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8301C49">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80.00</w:t>
            </w:r>
            <w:r>
              <w:rPr>
                <w:rFonts w:ascii="Times New Roman" w:hAnsi="Times New Roman"/>
                <w:sz w:val="22"/>
                <w:szCs w:val="22"/>
              </w:rPr>
              <w:t>%</w:t>
            </w:r>
          </w:p>
        </w:tc>
      </w:tr>
      <w:tr w14:paraId="75261E33">
        <w:tblPrEx>
          <w:tblCellMar>
            <w:top w:w="0" w:type="dxa"/>
            <w:left w:w="0" w:type="dxa"/>
            <w:bottom w:w="0" w:type="dxa"/>
            <w:right w:w="0" w:type="dxa"/>
          </w:tblCellMar>
        </w:tblPrEx>
        <w:trPr>
          <w:trHeight w:val="526"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CB21581">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产出指标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AA063C1">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3</w:t>
            </w:r>
            <w:r>
              <w:rPr>
                <w:rFonts w:ascii="Times New Roman" w:hAnsi="Times New Roman"/>
                <w:sz w:val="22"/>
                <w:szCs w:val="22"/>
              </w:rPr>
              <w:t>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0BD749">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30.00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A4714DD">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100.00</w:t>
            </w:r>
            <w:r>
              <w:rPr>
                <w:rFonts w:ascii="Times New Roman" w:hAnsi="Times New Roman"/>
                <w:sz w:val="22"/>
                <w:szCs w:val="22"/>
              </w:rPr>
              <w:t>%</w:t>
            </w:r>
          </w:p>
        </w:tc>
      </w:tr>
      <w:tr w14:paraId="6F7E0DCF">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E34F498">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效益指标</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D725AB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E4EC62B">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15</w:t>
            </w:r>
            <w:r>
              <w:rPr>
                <w:rFonts w:hint="eastAsia" w:ascii="Times New Roman" w:hAnsi="Times New Roman"/>
                <w:sz w:val="22"/>
                <w:szCs w:val="22"/>
              </w:rPr>
              <w:t>.00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4834C38">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10</w:t>
            </w:r>
            <w:r>
              <w:rPr>
                <w:rFonts w:hint="eastAsia" w:ascii="Times New Roman" w:hAnsi="Times New Roman"/>
                <w:sz w:val="22"/>
                <w:szCs w:val="22"/>
              </w:rPr>
              <w:t>0.00</w:t>
            </w:r>
            <w:r>
              <w:rPr>
                <w:rFonts w:ascii="Times New Roman" w:hAnsi="Times New Roman"/>
                <w:sz w:val="22"/>
                <w:szCs w:val="22"/>
              </w:rPr>
              <w:t>%</w:t>
            </w:r>
          </w:p>
        </w:tc>
      </w:tr>
      <w:tr w14:paraId="5DF3DFA0">
        <w:tblPrEx>
          <w:tblCellMar>
            <w:top w:w="0" w:type="dxa"/>
            <w:left w:w="0" w:type="dxa"/>
            <w:bottom w:w="0" w:type="dxa"/>
            <w:right w:w="0"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237F1F">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合计</w:t>
            </w:r>
          </w:p>
        </w:tc>
        <w:tc>
          <w:tcPr>
            <w:tcW w:w="222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0DE050">
            <w:pPr>
              <w:pStyle w:val="36"/>
              <w:spacing w:line="300" w:lineRule="exact"/>
              <w:ind w:firstLine="0" w:firstLineChars="0"/>
              <w:jc w:val="center"/>
              <w:rPr>
                <w:rFonts w:ascii="Times New Roman" w:hAnsi="Times New Roman"/>
                <w:sz w:val="22"/>
                <w:szCs w:val="22"/>
              </w:rPr>
            </w:pPr>
            <w:r>
              <w:rPr>
                <w:rFonts w:ascii="Times New Roman" w:hAnsi="Times New Roman"/>
                <w:sz w:val="22"/>
                <w:szCs w:val="22"/>
              </w:rPr>
              <w:t>100.00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1EF5B2">
            <w:pPr>
              <w:pStyle w:val="36"/>
              <w:spacing w:line="300" w:lineRule="exact"/>
              <w:ind w:firstLine="0" w:firstLineChars="0"/>
              <w:jc w:val="center"/>
              <w:rPr>
                <w:rFonts w:hint="default" w:ascii="Times New Roman" w:hAnsi="Times New Roman" w:eastAsia="仿宋_GB2312"/>
                <w:sz w:val="22"/>
                <w:szCs w:val="22"/>
                <w:lang w:val="en-US" w:eastAsia="zh-CN"/>
              </w:rPr>
            </w:pPr>
            <w:r>
              <w:rPr>
                <w:rFonts w:hint="eastAsia" w:ascii="Times New Roman" w:hAnsi="Times New Roman"/>
                <w:sz w:val="22"/>
                <w:szCs w:val="22"/>
                <w:lang w:val="en-US" w:eastAsia="zh-CN"/>
              </w:rPr>
              <w:t>92.00</w:t>
            </w:r>
          </w:p>
        </w:tc>
        <w:tc>
          <w:tcPr>
            <w:tcW w:w="2227"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6715F2">
            <w:pPr>
              <w:pStyle w:val="36"/>
              <w:spacing w:line="300" w:lineRule="exact"/>
              <w:ind w:firstLine="0" w:firstLineChars="0"/>
              <w:jc w:val="center"/>
              <w:rPr>
                <w:rFonts w:ascii="Times New Roman" w:hAnsi="Times New Roman"/>
                <w:sz w:val="22"/>
                <w:szCs w:val="22"/>
              </w:rPr>
            </w:pPr>
            <w:r>
              <w:rPr>
                <w:rFonts w:hint="eastAsia" w:ascii="Times New Roman" w:hAnsi="Times New Roman"/>
                <w:sz w:val="22"/>
                <w:szCs w:val="22"/>
                <w:lang w:val="en-US" w:eastAsia="zh-CN"/>
              </w:rPr>
              <w:t>92.00</w:t>
            </w:r>
            <w:r>
              <w:rPr>
                <w:rFonts w:ascii="Times New Roman" w:hAnsi="Times New Roman"/>
                <w:sz w:val="22"/>
                <w:szCs w:val="22"/>
              </w:rPr>
              <w:t>%</w:t>
            </w:r>
          </w:p>
        </w:tc>
      </w:tr>
    </w:tbl>
    <w:p w14:paraId="6A08AF0B">
      <w:pPr>
        <w:spacing w:line="560" w:lineRule="exact"/>
        <w:ind w:firstLine="640" w:firstLineChars="200"/>
        <w:jc w:val="left"/>
        <w:rPr>
          <w:rFonts w:ascii="Times New Roman" w:hAnsi="Times New Roman"/>
          <w:sz w:val="32"/>
          <w:szCs w:val="32"/>
          <w:highlight w:val="none"/>
        </w:rPr>
      </w:pPr>
      <w:bookmarkStart w:id="417" w:name="_Toc14557"/>
      <w:bookmarkStart w:id="418" w:name="_Toc22730"/>
      <w:bookmarkStart w:id="419" w:name="_Toc32500"/>
      <w:bookmarkStart w:id="420" w:name="_Toc21540"/>
      <w:bookmarkStart w:id="421" w:name="_Toc31720"/>
      <w:bookmarkStart w:id="422" w:name="_Toc17068"/>
      <w:bookmarkStart w:id="423" w:name="_Toc21761"/>
      <w:bookmarkStart w:id="424" w:name="_Toc17717"/>
      <w:bookmarkStart w:id="425" w:name="_Toc11432"/>
      <w:bookmarkStart w:id="426" w:name="_Toc20549"/>
      <w:bookmarkStart w:id="427" w:name="_Toc12634"/>
      <w:bookmarkStart w:id="428" w:name="_Toc2673"/>
      <w:bookmarkStart w:id="429" w:name="_Toc29827"/>
      <w:bookmarkStart w:id="430" w:name="_Toc9465"/>
      <w:bookmarkStart w:id="431" w:name="_Toc18426"/>
      <w:bookmarkStart w:id="432" w:name="_Toc19688"/>
      <w:bookmarkStart w:id="433" w:name="_Toc2125"/>
      <w:bookmarkStart w:id="434" w:name="_Toc16091"/>
      <w:r>
        <w:rPr>
          <w:rFonts w:hint="eastAsia" w:ascii="Times New Roman" w:hAnsi="Times New Roman"/>
          <w:sz w:val="32"/>
          <w:szCs w:val="32"/>
          <w:highlight w:val="none"/>
        </w:rPr>
        <w:t>本项目绩效评价结果为“</w:t>
      </w:r>
      <w:r>
        <w:rPr>
          <w:rFonts w:hint="eastAsia" w:ascii="Times New Roman" w:hAnsi="Times New Roman"/>
          <w:sz w:val="32"/>
          <w:szCs w:val="32"/>
          <w:highlight w:val="none"/>
          <w:lang w:val="en-US" w:eastAsia="zh-CN"/>
        </w:rPr>
        <w:t>优</w:t>
      </w:r>
      <w:r>
        <w:rPr>
          <w:rFonts w:hint="eastAsia" w:ascii="Times New Roman" w:hAnsi="Times New Roman"/>
          <w:sz w:val="32"/>
          <w:szCs w:val="32"/>
          <w:highlight w:val="none"/>
        </w:rPr>
        <w:t>”，建议对本项目根据《喀什地区全过程预算绩效管理结果应用暂行办法》的规定，评价等级为“</w:t>
      </w:r>
      <w:r>
        <w:rPr>
          <w:rFonts w:hint="eastAsia" w:ascii="Times New Roman" w:hAnsi="Times New Roman"/>
          <w:sz w:val="32"/>
          <w:szCs w:val="32"/>
          <w:highlight w:val="none"/>
          <w:lang w:val="en-US" w:eastAsia="zh-CN"/>
        </w:rPr>
        <w:t>优</w:t>
      </w:r>
      <w:r>
        <w:rPr>
          <w:rFonts w:hint="eastAsia" w:ascii="Times New Roman" w:hAnsi="Times New Roman"/>
          <w:sz w:val="32"/>
          <w:szCs w:val="32"/>
          <w:highlight w:val="none"/>
        </w:rPr>
        <w:t>”的延续性项目，</w:t>
      </w:r>
      <w:r>
        <w:rPr>
          <w:rFonts w:hint="eastAsia" w:ascii="Times New Roman" w:hAnsi="Times New Roman" w:eastAsia="仿宋_GB2312" w:cs="Times New Roman"/>
          <w:kern w:val="2"/>
          <w:sz w:val="32"/>
          <w:szCs w:val="32"/>
          <w:lang w:val="en-US" w:eastAsia="zh-CN" w:bidi="ar-SA"/>
        </w:rPr>
        <w:t>在下一年度部门预算编制中，可</w:t>
      </w:r>
      <w:r>
        <w:rPr>
          <w:rFonts w:hint="eastAsia" w:ascii="Times New Roman" w:hAnsi="Times New Roman" w:cs="Times New Roman"/>
          <w:kern w:val="2"/>
          <w:sz w:val="32"/>
          <w:szCs w:val="32"/>
          <w:lang w:val="en-US" w:eastAsia="zh-CN" w:bidi="ar-SA"/>
        </w:rPr>
        <w:t>优先</w:t>
      </w:r>
      <w:r>
        <w:rPr>
          <w:rFonts w:hint="eastAsia" w:ascii="Times New Roman" w:hAnsi="Times New Roman" w:eastAsia="仿宋_GB2312" w:cs="Times New Roman"/>
          <w:kern w:val="2"/>
          <w:sz w:val="32"/>
          <w:szCs w:val="32"/>
          <w:lang w:val="en-US" w:eastAsia="zh-CN" w:bidi="ar-SA"/>
        </w:rPr>
        <w:t>予以安排。</w:t>
      </w:r>
    </w:p>
    <w:p w14:paraId="38C77171">
      <w:pPr>
        <w:pStyle w:val="37"/>
        <w:widowControl w:val="0"/>
        <w:spacing w:before="0" w:after="0"/>
        <w:ind w:left="0" w:firstLine="640" w:firstLineChars="200"/>
        <w:rPr>
          <w:rFonts w:ascii="Times New Roman" w:hAnsi="Times New Roman" w:cs="黑体"/>
        </w:rPr>
      </w:pPr>
      <w:bookmarkStart w:id="435" w:name="_Toc4555"/>
      <w:r>
        <w:rPr>
          <w:rFonts w:ascii="Times New Roman" w:hAnsi="Times New Roman" w:cs="黑体"/>
        </w:rPr>
        <w:t>四、绩效评价指标分析</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65B1EDA3">
      <w:pPr>
        <w:pStyle w:val="38"/>
        <w:keepNext w:val="0"/>
        <w:keepLines w:val="0"/>
        <w:ind w:firstLine="643"/>
        <w:rPr>
          <w:rFonts w:hint="default" w:ascii="Times New Roman" w:hAnsi="Times New Roman" w:cs="Times New Roman"/>
          <w:kern w:val="2"/>
        </w:rPr>
      </w:pPr>
      <w:bookmarkStart w:id="436" w:name="_Toc10044"/>
      <w:bookmarkStart w:id="437" w:name="_Toc19320"/>
      <w:bookmarkStart w:id="438" w:name="_Toc11508"/>
      <w:bookmarkStart w:id="439" w:name="_Toc2787"/>
      <w:bookmarkStart w:id="440" w:name="_Toc12666"/>
      <w:bookmarkStart w:id="441" w:name="_Toc26010"/>
      <w:bookmarkStart w:id="442" w:name="_Toc22642"/>
      <w:bookmarkStart w:id="443" w:name="_Toc2708"/>
      <w:bookmarkStart w:id="444" w:name="_Toc23934"/>
      <w:bookmarkStart w:id="445" w:name="_Toc21609"/>
      <w:bookmarkStart w:id="446" w:name="_Toc29198"/>
      <w:bookmarkStart w:id="447" w:name="_Toc1705"/>
      <w:bookmarkStart w:id="448" w:name="_Toc22216"/>
      <w:bookmarkStart w:id="449" w:name="_Toc4300"/>
      <w:bookmarkStart w:id="450" w:name="_Toc4039"/>
      <w:bookmarkStart w:id="451" w:name="_Toc5673"/>
      <w:bookmarkStart w:id="452" w:name="_Toc20680"/>
      <w:bookmarkStart w:id="453" w:name="_Toc26422"/>
      <w:bookmarkStart w:id="454" w:name="_Toc16764"/>
      <w:bookmarkStart w:id="455" w:name="_Toc14209"/>
      <w:bookmarkStart w:id="456" w:name="_Toc12775"/>
      <w:bookmarkStart w:id="457" w:name="_Toc31244"/>
      <w:bookmarkStart w:id="458" w:name="_Toc16209"/>
      <w:bookmarkStart w:id="459" w:name="_Toc5341"/>
      <w:bookmarkStart w:id="460" w:name="_Toc4115"/>
      <w:bookmarkStart w:id="461" w:name="_Toc4585"/>
      <w:bookmarkStart w:id="462" w:name="_Toc3622"/>
      <w:bookmarkStart w:id="463" w:name="_Toc31171"/>
      <w:bookmarkStart w:id="464" w:name="_Toc26594"/>
      <w:bookmarkStart w:id="465" w:name="_Toc9176"/>
      <w:bookmarkStart w:id="466" w:name="_Toc30014"/>
      <w:bookmarkStart w:id="467" w:name="_Toc9288"/>
      <w:bookmarkStart w:id="468" w:name="_Toc3169"/>
      <w:bookmarkStart w:id="469" w:name="_Toc13790"/>
      <w:bookmarkStart w:id="470" w:name="_Toc19846"/>
      <w:bookmarkStart w:id="471" w:name="_Toc18155"/>
      <w:bookmarkStart w:id="472" w:name="_Toc21666"/>
      <w:bookmarkStart w:id="473" w:name="_Toc7717"/>
      <w:bookmarkStart w:id="474" w:name="_Toc8467"/>
      <w:bookmarkStart w:id="475" w:name="_Toc23962"/>
      <w:bookmarkStart w:id="476" w:name="_Toc22261"/>
      <w:bookmarkStart w:id="477" w:name="_Toc5626"/>
      <w:bookmarkStart w:id="478" w:name="_Toc23635"/>
      <w:bookmarkStart w:id="479" w:name="_Toc20420"/>
      <w:r>
        <w:rPr>
          <w:rFonts w:hint="default" w:ascii="Times New Roman" w:hAnsi="Times New Roman" w:cs="Times New Roman"/>
        </w:rPr>
        <w:t>（一）项目决策情况（分值</w:t>
      </w:r>
      <w:r>
        <w:rPr>
          <w:rFonts w:hint="eastAsia" w:ascii="Times New Roman" w:hAnsi="Times New Roman" w:cs="Times New Roman"/>
          <w:lang w:val="en-US" w:eastAsia="zh-CN"/>
        </w:rPr>
        <w:t>15</w:t>
      </w:r>
      <w:r>
        <w:rPr>
          <w:rFonts w:hint="default" w:ascii="Times New Roman" w:hAnsi="Times New Roman" w:cs="Times New Roman"/>
        </w:rPr>
        <w:t>分</w:t>
      </w:r>
      <w:r>
        <w:rPr>
          <w:rFonts w:hint="default" w:ascii="Times New Roman" w:hAnsi="Times New Roman" w:cs="Times New Roman"/>
          <w:highlight w:val="none"/>
        </w:rPr>
        <w:t>，得分</w:t>
      </w:r>
      <w:r>
        <w:rPr>
          <w:rFonts w:hint="eastAsia" w:ascii="Times New Roman" w:hAnsi="Times New Roman" w:cs="Times New Roman"/>
          <w:highlight w:val="none"/>
          <w:lang w:val="en-US" w:eastAsia="zh-CN"/>
        </w:rPr>
        <w:t>15</w:t>
      </w:r>
      <w:r>
        <w:rPr>
          <w:rFonts w:hint="default" w:ascii="Times New Roman" w:hAnsi="Times New Roman" w:cs="Times New Roman"/>
          <w:highlight w:val="none"/>
        </w:rPr>
        <w:t>分）</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Start w:id="480" w:name="_Toc22920"/>
    </w:p>
    <w:p w14:paraId="1F715F1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1.项目立项（分值5分，得分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bookmarkEnd w:id="480"/>
    </w:p>
    <w:p w14:paraId="5C821E51">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（1）立项依据充分性（分值</w:t>
      </w:r>
      <w:r>
        <w:rPr>
          <w:rFonts w:hint="eastAsia" w:ascii="Times New Roman" w:hAnsi="Times New Roman"/>
          <w:b/>
          <w:bCs/>
          <w:sz w:val="32"/>
          <w:szCs w:val="32"/>
          <w:lang w:val="en-US" w:eastAsia="zh-CN"/>
        </w:rPr>
        <w:t>3</w:t>
      </w:r>
      <w:r>
        <w:rPr>
          <w:rFonts w:hint="eastAsia" w:ascii="Times New Roman" w:hAnsi="Times New Roman"/>
          <w:b/>
          <w:bCs/>
          <w:sz w:val="32"/>
          <w:szCs w:val="32"/>
        </w:rPr>
        <w:t>分，得分</w:t>
      </w:r>
      <w:r>
        <w:rPr>
          <w:rFonts w:hint="eastAsia" w:ascii="Times New Roman" w:hAnsi="Times New Roman"/>
          <w:b/>
          <w:bCs/>
          <w:sz w:val="32"/>
          <w:szCs w:val="32"/>
          <w:lang w:val="en-US" w:eastAsia="zh-CN"/>
        </w:rPr>
        <w:t>3</w:t>
      </w:r>
      <w:r>
        <w:rPr>
          <w:rFonts w:hint="eastAsia" w:ascii="Times New Roman" w:hAnsi="Times New Roman"/>
          <w:b/>
          <w:bCs/>
          <w:sz w:val="32"/>
          <w:szCs w:val="32"/>
        </w:rPr>
        <w:t>分）</w:t>
      </w:r>
    </w:p>
    <w:p w14:paraId="2B374FE5">
      <w:pPr>
        <w:spacing w:line="57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本项目依据</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喀什市文化体育广播电视和旅游局局务会议纪要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喀什市文化体育广播电视和旅游局2025年第15次党组会议纪要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等</w:t>
      </w:r>
      <w:r>
        <w:rPr>
          <w:rFonts w:hint="eastAsia" w:ascii="Times New Roman" w:hAnsi="Times New Roman" w:cs="Times New Roman"/>
          <w:sz w:val="32"/>
          <w:szCs w:val="32"/>
          <w:lang w:val="en-US" w:eastAsia="zh-CN"/>
        </w:rPr>
        <w:t>相关要求设立，符合国家法律法规、符合喀什市文化体育广播电视和旅游局的发展规划。</w:t>
      </w:r>
    </w:p>
    <w:p w14:paraId="4B7A0397">
      <w:pPr>
        <w:spacing w:line="57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该项目立项与</w:t>
      </w:r>
      <w:r>
        <w:rPr>
          <w:rFonts w:hint="eastAsia" w:ascii="Times New Roman" w:hAnsi="Times New Roman" w:cs="Times New Roman"/>
          <w:color w:val="auto"/>
          <w:sz w:val="32"/>
          <w:szCs w:val="32"/>
          <w:highlight w:val="none"/>
          <w:lang w:val="en-US" w:eastAsia="zh-CN"/>
        </w:rPr>
        <w:t>关于印发</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喀什市文化体育广播电视和旅游局职能配置、内设机构和人员编制规定</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的通知</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喀市党办字</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2019</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31</w:t>
      </w:r>
      <w:r>
        <w:rPr>
          <w:rFonts w:hint="eastAsia" w:ascii="Times New Roman" w:hAnsi="Times New Roman" w:eastAsia="仿宋_GB2312" w:cs="Times New Roman"/>
          <w:color w:val="auto"/>
          <w:sz w:val="32"/>
          <w:szCs w:val="32"/>
          <w:highlight w:val="none"/>
          <w:lang w:val="en-US" w:eastAsia="zh-CN"/>
        </w:rPr>
        <w:t>号）“第三条 主要职责是</w:t>
      </w:r>
      <w:r>
        <w:rPr>
          <w:rFonts w:hint="eastAsia" w:ascii="Times New Roman" w:hAnsi="Times New Roman" w:cs="Times New Roman"/>
          <w:color w:val="auto"/>
          <w:sz w:val="32"/>
          <w:szCs w:val="32"/>
          <w:highlight w:val="none"/>
          <w:lang w:val="en-US" w:eastAsia="zh-CN"/>
        </w:rPr>
        <w:t>：（二）研究制定和组织实施全市文化、体育、广播电视、旅游业发展规划并组织实施。指导和实施全市文化体育、广播电视、旅游业体制改革</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三）负责全市公共文化服务体系建设。指导公共文化体育事业发展，指导歌舞团（杂技团）、文物保护管理所（博物馆）、图书馆、文化馆（美术馆）、乡镇街道、村（社区）文化站（室）、农家书屋等公共文化体育服务，指导和管理全市广播电视、旅游事业发展，组织实施和协调指导重大社会文化体育活动。</w:t>
      </w:r>
      <w:r>
        <w:rPr>
          <w:rFonts w:hint="eastAsia" w:ascii="Times New Roman" w:hAnsi="Times New Roman" w:eastAsia="仿宋_GB2312" w:cs="Times New Roman"/>
          <w:color w:val="auto"/>
          <w:sz w:val="32"/>
          <w:szCs w:val="32"/>
          <w:highlight w:val="none"/>
          <w:lang w:val="en-US" w:eastAsia="zh-CN"/>
        </w:rPr>
        <w:t>”部门职责范围相符，属于部门履职所需，本项不扣分。</w:t>
      </w:r>
    </w:p>
    <w:p w14:paraId="61704975">
      <w:pPr>
        <w:spacing w:line="570" w:lineRule="exact"/>
        <w:ind w:firstLine="640" w:firstLineChars="200"/>
        <w:rPr>
          <w:rFonts w:hint="eastAsia"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经查看，财政预算一体化大平台和决算数据显示，无相关部门同类项目或部门内部相关项目重复事项。</w:t>
      </w:r>
    </w:p>
    <w:p w14:paraId="35EE5012">
      <w:pPr>
        <w:spacing w:line="57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综上，该项目立项依据充分，根据评分标准，该指标不扣分，得3分。</w:t>
      </w:r>
    </w:p>
    <w:p w14:paraId="1552AA16">
      <w:pPr>
        <w:spacing w:line="560" w:lineRule="exact"/>
        <w:ind w:firstLine="643" w:firstLineChars="200"/>
        <w:jc w:val="left"/>
        <w:rPr>
          <w:rFonts w:ascii="Times New Roman" w:hAnsi="Times New Roman"/>
          <w:b/>
          <w:bCs/>
          <w:sz w:val="32"/>
          <w:szCs w:val="32"/>
          <w:highlight w:val="none"/>
        </w:rPr>
      </w:pPr>
      <w:r>
        <w:rPr>
          <w:rFonts w:hint="eastAsia" w:ascii="Times New Roman" w:hAnsi="Times New Roman"/>
          <w:b/>
          <w:bCs/>
          <w:sz w:val="32"/>
          <w:szCs w:val="32"/>
          <w:highlight w:val="none"/>
        </w:rPr>
        <w:t>（2）立项程序规范性（分值</w:t>
      </w:r>
      <w:r>
        <w:rPr>
          <w:rFonts w:hint="eastAsia" w:ascii="Times New Roman" w:hAnsi="Times New Roman"/>
          <w:b/>
          <w:bCs/>
          <w:sz w:val="32"/>
          <w:szCs w:val="32"/>
          <w:highlight w:val="none"/>
          <w:lang w:val="en-US" w:eastAsia="zh-CN"/>
        </w:rPr>
        <w:t>2</w:t>
      </w:r>
      <w:r>
        <w:rPr>
          <w:rFonts w:hint="eastAsia" w:ascii="Times New Roman" w:hAnsi="Times New Roman"/>
          <w:b/>
          <w:bCs/>
          <w:sz w:val="32"/>
          <w:szCs w:val="32"/>
          <w:highlight w:val="none"/>
        </w:rPr>
        <w:t>分，得分</w:t>
      </w:r>
      <w:r>
        <w:rPr>
          <w:rFonts w:hint="eastAsia" w:ascii="Times New Roman" w:hAnsi="Times New Roman"/>
          <w:b/>
          <w:bCs/>
          <w:sz w:val="32"/>
          <w:szCs w:val="32"/>
          <w:highlight w:val="none"/>
          <w:lang w:val="en-US" w:eastAsia="zh-CN"/>
        </w:rPr>
        <w:t>2</w:t>
      </w:r>
      <w:r>
        <w:rPr>
          <w:rFonts w:hint="eastAsia" w:ascii="Times New Roman" w:hAnsi="Times New Roman"/>
          <w:b/>
          <w:bCs/>
          <w:sz w:val="32"/>
          <w:szCs w:val="32"/>
          <w:highlight w:val="none"/>
        </w:rPr>
        <w:t>分）</w:t>
      </w:r>
    </w:p>
    <w:p w14:paraId="341162A2">
      <w:pPr>
        <w:spacing w:line="560" w:lineRule="exact"/>
        <w:ind w:firstLine="640" w:firstLineChars="200"/>
        <w:rPr>
          <w:rFonts w:hint="eastAsia" w:ascii="Times New Roman" w:hAnsi="Times New Roman" w:cs="仿宋_GB2312"/>
          <w:b/>
          <w:bCs/>
          <w:sz w:val="32"/>
          <w:szCs w:val="32"/>
          <w:highlight w:val="none"/>
        </w:rPr>
      </w:pPr>
      <w:r>
        <w:rPr>
          <w:rFonts w:hint="eastAsia" w:ascii="Times New Roman" w:hAnsi="Times New Roman"/>
          <w:sz w:val="32"/>
          <w:szCs w:val="32"/>
          <w:highlight w:val="none"/>
          <w:lang w:val="en-US" w:eastAsia="zh-CN"/>
        </w:rPr>
        <w:t>该项目立项阶段取得《喀什市文化体育广播电视和旅游局局务会议纪要》《喀什市文化体育广播电视和旅游局2025年第15次党组会议纪要》等文件，立项决策环节程序完备，审批流程合规。本项目为2025年部门预算项目，资金性质为一般公共预算资金，指标文号喀地财预〔2025〕15号，经费预算经喀什市财政局批复后执行，立项程序规范。根据评分标准，该指标不扣分，得2分</w:t>
      </w:r>
      <w:r>
        <w:rPr>
          <w:rFonts w:hint="eastAsia" w:ascii="Times New Roman" w:hAnsi="Times New Roman"/>
          <w:sz w:val="32"/>
          <w:szCs w:val="32"/>
          <w:highlight w:val="none"/>
        </w:rPr>
        <w:t>。</w:t>
      </w:r>
    </w:p>
    <w:p w14:paraId="38AA4E55">
      <w:pPr>
        <w:pStyle w:val="36"/>
        <w:ind w:firstLine="643"/>
        <w:rPr>
          <w:rFonts w:ascii="Times New Roman" w:hAnsi="Times New Roman" w:eastAsia="方正仿宋_GBK"/>
          <w:b/>
          <w:bCs/>
        </w:rPr>
      </w:pPr>
      <w:r>
        <w:rPr>
          <w:rFonts w:ascii="Times New Roman" w:hAnsi="Times New Roman"/>
          <w:b/>
          <w:bCs/>
        </w:rPr>
        <w:t>综上，项目立项得</w:t>
      </w:r>
      <w:r>
        <w:rPr>
          <w:rFonts w:hint="eastAsia" w:ascii="Times New Roman" w:hAnsi="Times New Roman"/>
          <w:b/>
          <w:bCs/>
          <w:lang w:val="en-US" w:eastAsia="zh-CN"/>
        </w:rPr>
        <w:t>5</w:t>
      </w:r>
      <w:r>
        <w:rPr>
          <w:rFonts w:ascii="Times New Roman" w:hAnsi="Times New Roman"/>
          <w:b/>
          <w:bCs/>
        </w:rPr>
        <w:t>分。</w:t>
      </w:r>
    </w:p>
    <w:p w14:paraId="2E139617">
      <w:pPr>
        <w:spacing w:line="560" w:lineRule="exact"/>
        <w:ind w:firstLine="643" w:firstLineChars="200"/>
        <w:jc w:val="left"/>
        <w:rPr>
          <w:rFonts w:ascii="Times New Roman" w:hAnsi="Times New Roman"/>
          <w:b/>
          <w:bCs/>
          <w:sz w:val="32"/>
          <w:szCs w:val="32"/>
        </w:rPr>
      </w:pPr>
      <w:bookmarkStart w:id="481" w:name="_Toc10952"/>
      <w:r>
        <w:rPr>
          <w:rFonts w:hint="eastAsia" w:ascii="Times New Roman" w:hAnsi="Times New Roman"/>
          <w:b/>
          <w:bCs/>
          <w:sz w:val="32"/>
          <w:szCs w:val="32"/>
        </w:rPr>
        <w:t>2.绩效目标（分值5分，得分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bookmarkEnd w:id="481"/>
    </w:p>
    <w:p w14:paraId="2D14EA0D">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（1）绩效目标合理性（分值2分，得分2分）</w:t>
      </w:r>
    </w:p>
    <w:p w14:paraId="794CBECD">
      <w:pPr>
        <w:spacing w:line="560" w:lineRule="exact"/>
        <w:ind w:firstLine="640" w:firstLineChars="200"/>
        <w:rPr>
          <w:rFonts w:ascii="Times New Roman" w:hAnsi="Times New Roman"/>
          <w:sz w:val="32"/>
          <w:szCs w:val="32"/>
        </w:rPr>
      </w:pPr>
      <w:r>
        <w:rPr>
          <w:rFonts w:hint="eastAsia" w:ascii="Times New Roman" w:hAnsi="Times New Roman"/>
          <w:sz w:val="32"/>
          <w:szCs w:val="32"/>
          <w:lang w:eastAsia="zh-CN"/>
        </w:rPr>
        <w:t>依据</w:t>
      </w:r>
      <w:r>
        <w:rPr>
          <w:rFonts w:hint="eastAsia" w:ascii="Times New Roman" w:hAnsi="Times New Roman"/>
          <w:sz w:val="32"/>
          <w:szCs w:val="32"/>
        </w:rPr>
        <w:t>《</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支出绩效目标表》，该项目有绩效目标表，并制定了实施方案，明确了总体思路及目标</w:t>
      </w:r>
      <w:r>
        <w:rPr>
          <w:rFonts w:hint="eastAsia" w:ascii="Times New Roman" w:hAnsi="Times New Roman"/>
          <w:sz w:val="32"/>
          <w:szCs w:val="32"/>
          <w:lang w:eastAsia="zh-CN"/>
        </w:rPr>
        <w:t>，</w:t>
      </w:r>
      <w:r>
        <w:rPr>
          <w:rFonts w:hint="eastAsia" w:ascii="Times New Roman" w:hAnsi="Times New Roman"/>
          <w:sz w:val="32"/>
          <w:szCs w:val="32"/>
        </w:rPr>
        <w:t>对任务进行了详细分解，对目标进行了细化，有明确的产出效益，截至2025年12月31日，与预算确定的项目投资额</w:t>
      </w:r>
      <w:r>
        <w:rPr>
          <w:rFonts w:hint="eastAsia" w:ascii="Times New Roman" w:hAnsi="Times New Roman"/>
          <w:sz w:val="32"/>
          <w:szCs w:val="32"/>
          <w:lang w:val="en-US" w:eastAsia="zh-CN"/>
        </w:rPr>
        <w:t>49.40万元</w:t>
      </w:r>
      <w:r>
        <w:rPr>
          <w:rFonts w:hint="eastAsia" w:ascii="Times New Roman" w:hAnsi="Times New Roman"/>
          <w:sz w:val="32"/>
          <w:szCs w:val="32"/>
        </w:rPr>
        <w:t>相匹配</w:t>
      </w:r>
      <w:r>
        <w:rPr>
          <w:rFonts w:hint="eastAsia" w:ascii="Times New Roman" w:hAnsi="Times New Roman"/>
          <w:sz w:val="32"/>
          <w:szCs w:val="32"/>
          <w:lang w:eastAsia="zh-CN"/>
        </w:rPr>
        <w:t>。</w:t>
      </w:r>
      <w:r>
        <w:rPr>
          <w:rFonts w:hint="eastAsia" w:ascii="Times New Roman" w:hAnsi="Times New Roman"/>
          <w:sz w:val="32"/>
          <w:szCs w:val="32"/>
        </w:rPr>
        <w:t>根据评分标准，该指标不扣分，得2分。</w:t>
      </w:r>
    </w:p>
    <w:p w14:paraId="7245BB9C">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（2）绩效指标明确性（分值3分，得分</w:t>
      </w:r>
      <w:r>
        <w:rPr>
          <w:rFonts w:hint="eastAsia" w:ascii="Times New Roman" w:hAnsi="Times New Roman"/>
          <w:b/>
          <w:bCs/>
          <w:sz w:val="32"/>
          <w:szCs w:val="32"/>
          <w:lang w:val="en-US" w:eastAsia="zh-CN"/>
        </w:rPr>
        <w:t>3</w:t>
      </w:r>
      <w:r>
        <w:rPr>
          <w:rFonts w:hint="eastAsia" w:ascii="Times New Roman" w:hAnsi="Times New Roman"/>
          <w:b/>
          <w:bCs/>
          <w:sz w:val="32"/>
          <w:szCs w:val="32"/>
        </w:rPr>
        <w:t>分）</w:t>
      </w:r>
    </w:p>
    <w:p w14:paraId="7780574A">
      <w:pPr>
        <w:spacing w:line="560" w:lineRule="exact"/>
        <w:ind w:firstLine="640" w:firstLineChars="200"/>
        <w:rPr>
          <w:rFonts w:ascii="Times New Roman" w:hAnsi="Times New Roman"/>
          <w:sz w:val="32"/>
          <w:szCs w:val="32"/>
        </w:rPr>
      </w:pPr>
      <w:r>
        <w:rPr>
          <w:rFonts w:hint="eastAsia" w:ascii="Times New Roman" w:hAnsi="Times New Roman"/>
          <w:sz w:val="32"/>
          <w:szCs w:val="32"/>
        </w:rPr>
        <w:t>根据</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提供的《</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目标表</w:t>
      </w:r>
      <w:r>
        <w:rPr>
          <w:rFonts w:hint="eastAsia" w:ascii="Times New Roman" w:hAnsi="Times New Roman"/>
          <w:sz w:val="32"/>
          <w:szCs w:val="32"/>
          <w:lang w:eastAsia="zh-CN"/>
        </w:rPr>
        <w:t>》</w:t>
      </w:r>
      <w:r>
        <w:rPr>
          <w:rFonts w:hint="eastAsia" w:ascii="Times New Roman" w:hAnsi="Times New Roman"/>
          <w:sz w:val="32"/>
          <w:szCs w:val="32"/>
        </w:rPr>
        <w:t>，该项目实施单位已将项目绩效目标细化分解为具体的绩效指标，具体分解内容如下：一级指标4个，二级指标6个，三级指标</w:t>
      </w:r>
      <w:r>
        <w:rPr>
          <w:rFonts w:hint="eastAsia" w:ascii="Times New Roman" w:hAnsi="Times New Roman"/>
          <w:sz w:val="32"/>
          <w:szCs w:val="32"/>
          <w:lang w:val="en-US" w:eastAsia="zh-CN"/>
        </w:rPr>
        <w:t>13</w:t>
      </w:r>
      <w:r>
        <w:rPr>
          <w:rFonts w:hint="eastAsia" w:ascii="Times New Roman" w:hAnsi="Times New Roman"/>
          <w:sz w:val="32"/>
          <w:szCs w:val="32"/>
        </w:rPr>
        <w:t>个。该项目共设置三级指标</w:t>
      </w:r>
      <w:r>
        <w:rPr>
          <w:rFonts w:hint="eastAsia" w:ascii="Times New Roman" w:hAnsi="Times New Roman"/>
          <w:sz w:val="32"/>
          <w:szCs w:val="32"/>
          <w:lang w:val="en-US" w:eastAsia="zh-CN"/>
        </w:rPr>
        <w:t>13</w:t>
      </w:r>
      <w:r>
        <w:rPr>
          <w:rFonts w:hint="eastAsia" w:ascii="Times New Roman" w:hAnsi="Times New Roman"/>
          <w:sz w:val="32"/>
          <w:szCs w:val="32"/>
        </w:rPr>
        <w:t>个，其中：定量指标：</w:t>
      </w:r>
      <w:r>
        <w:rPr>
          <w:rFonts w:hint="eastAsia" w:ascii="Times New Roman" w:hAnsi="Times New Roman"/>
          <w:sz w:val="32"/>
          <w:szCs w:val="32"/>
          <w:lang w:val="en-US" w:eastAsia="zh-CN"/>
        </w:rPr>
        <w:t>11</w:t>
      </w:r>
      <w:r>
        <w:rPr>
          <w:rFonts w:hint="eastAsia" w:ascii="Times New Roman" w:hAnsi="Times New Roman"/>
          <w:sz w:val="32"/>
          <w:szCs w:val="32"/>
        </w:rPr>
        <w:t>个，定性指标2个，三级指标量化比率为</w:t>
      </w:r>
      <w:r>
        <w:rPr>
          <w:rFonts w:hint="eastAsia" w:ascii="Times New Roman" w:hAnsi="Times New Roman"/>
          <w:sz w:val="32"/>
          <w:szCs w:val="32"/>
          <w:lang w:val="en-US" w:eastAsia="zh-CN"/>
        </w:rPr>
        <w:t>84.62</w:t>
      </w:r>
      <w:r>
        <w:rPr>
          <w:rFonts w:hint="eastAsia"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rPr>
        <w:t>三级指标设置具有明确性、可衡量性、可实现性；项目绩效目标与项目年度任务数相对应，与批复资金量相匹配。根据评分标准，该指标不扣分，得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5F582560">
      <w:pPr>
        <w:pStyle w:val="36"/>
        <w:ind w:firstLine="643"/>
        <w:jc w:val="both"/>
        <w:rPr>
          <w:rFonts w:ascii="Times New Roman" w:hAnsi="Times New Roman"/>
          <w:b/>
          <w:bCs/>
        </w:rPr>
      </w:pPr>
      <w:r>
        <w:rPr>
          <w:rFonts w:ascii="Times New Roman" w:hAnsi="Times New Roman"/>
          <w:b/>
          <w:bCs/>
        </w:rPr>
        <w:t>综上，绩效目标得</w:t>
      </w:r>
      <w:r>
        <w:rPr>
          <w:rFonts w:hint="eastAsia" w:ascii="Times New Roman" w:hAnsi="Times New Roman"/>
          <w:b/>
          <w:bCs/>
          <w:lang w:val="en-US" w:eastAsia="zh-CN"/>
        </w:rPr>
        <w:t>5</w:t>
      </w:r>
      <w:r>
        <w:rPr>
          <w:rFonts w:ascii="Times New Roman" w:hAnsi="Times New Roman"/>
          <w:b/>
          <w:bCs/>
        </w:rPr>
        <w:t>分。</w:t>
      </w:r>
    </w:p>
    <w:p w14:paraId="136733F4">
      <w:pPr>
        <w:spacing w:line="560" w:lineRule="exact"/>
        <w:ind w:firstLine="643" w:firstLineChars="200"/>
        <w:jc w:val="left"/>
        <w:rPr>
          <w:rFonts w:ascii="Times New Roman" w:hAnsi="Times New Roman"/>
          <w:b/>
          <w:bCs/>
          <w:sz w:val="32"/>
          <w:szCs w:val="32"/>
        </w:rPr>
      </w:pPr>
      <w:bookmarkStart w:id="482" w:name="_Toc19405"/>
      <w:bookmarkStart w:id="483" w:name="_Toc19793"/>
      <w:bookmarkStart w:id="484" w:name="_Toc14414"/>
      <w:r>
        <w:rPr>
          <w:rFonts w:hint="eastAsia" w:ascii="Times New Roman" w:hAnsi="Times New Roman"/>
          <w:b/>
          <w:bCs/>
          <w:sz w:val="32"/>
          <w:szCs w:val="32"/>
          <w:lang w:eastAsia="zh-CN"/>
        </w:rPr>
        <w:t>3.</w:t>
      </w:r>
      <w:r>
        <w:rPr>
          <w:rFonts w:hint="eastAsia" w:ascii="Times New Roman" w:hAnsi="Times New Roman"/>
          <w:b/>
          <w:bCs/>
          <w:sz w:val="32"/>
          <w:szCs w:val="32"/>
        </w:rPr>
        <w:t>资金投入（分值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bookmarkEnd w:id="482"/>
    </w:p>
    <w:p w14:paraId="0AA2580F">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（1）预算编制科学性（分值</w:t>
      </w:r>
      <w:r>
        <w:rPr>
          <w:rFonts w:hint="eastAsia" w:ascii="Times New Roman" w:hAnsi="Times New Roman"/>
          <w:b/>
          <w:bCs/>
          <w:sz w:val="32"/>
          <w:szCs w:val="32"/>
          <w:lang w:val="en-US" w:eastAsia="zh-CN"/>
        </w:rPr>
        <w:t>2</w:t>
      </w:r>
      <w:r>
        <w:rPr>
          <w:rFonts w:hint="eastAsia" w:ascii="Times New Roman" w:hAnsi="Times New Roman"/>
          <w:b/>
          <w:bCs/>
          <w:sz w:val="32"/>
          <w:szCs w:val="32"/>
        </w:rPr>
        <w:t>分，得分</w:t>
      </w:r>
      <w:r>
        <w:rPr>
          <w:rFonts w:hint="eastAsia" w:ascii="Times New Roman" w:hAnsi="Times New Roman"/>
          <w:b/>
          <w:bCs/>
          <w:sz w:val="32"/>
          <w:szCs w:val="32"/>
          <w:lang w:val="en-US" w:eastAsia="zh-CN"/>
        </w:rPr>
        <w:t>2</w:t>
      </w:r>
      <w:r>
        <w:rPr>
          <w:rFonts w:hint="eastAsia" w:ascii="Times New Roman" w:hAnsi="Times New Roman"/>
          <w:b/>
          <w:bCs/>
          <w:sz w:val="32"/>
          <w:szCs w:val="32"/>
        </w:rPr>
        <w:t>分）</w:t>
      </w:r>
    </w:p>
    <w:p w14:paraId="7CF7F65D">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预算资金49.40万元，依据《喀什市文化体育广播电视和旅游局局务会议纪要》《喀什市文化体育广播电视和旅游局2025年第15次党组会议纪要》等文件编制，经喀什市财政局批复后执行。项目预算内容明确分解为五个明细科目：演出切割灯租赁费0.77万元、演出摇头灯租赁费20.57万元、演出设备租赁费24.99万元、演出送餐保障资金0.58万元、演出广告宣传资料费2.49万元，预算内容与项目实际支出相匹配，资金额度测算依据充分，预算确定的项目投资额与工作任务相匹配。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06360834">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（2）资金分配合理性（分值</w:t>
      </w:r>
      <w:r>
        <w:rPr>
          <w:rFonts w:hint="eastAsia" w:ascii="Times New Roman" w:hAnsi="Times New Roman"/>
          <w:b/>
          <w:bCs/>
          <w:sz w:val="32"/>
          <w:szCs w:val="32"/>
          <w:lang w:val="en-US" w:eastAsia="zh-CN"/>
        </w:rPr>
        <w:t>3</w:t>
      </w:r>
      <w:r>
        <w:rPr>
          <w:rFonts w:hint="eastAsia" w:ascii="Times New Roman" w:hAnsi="Times New Roman"/>
          <w:b/>
          <w:bCs/>
          <w:sz w:val="32"/>
          <w:szCs w:val="32"/>
        </w:rPr>
        <w:t>分，得分</w:t>
      </w:r>
      <w:r>
        <w:rPr>
          <w:rFonts w:hint="eastAsia" w:ascii="Times New Roman" w:hAnsi="Times New Roman"/>
          <w:b/>
          <w:bCs/>
          <w:sz w:val="32"/>
          <w:szCs w:val="32"/>
          <w:lang w:val="en-US" w:eastAsia="zh-CN"/>
        </w:rPr>
        <w:t>3</w:t>
      </w:r>
      <w:r>
        <w:rPr>
          <w:rFonts w:hint="eastAsia" w:ascii="Times New Roman" w:hAnsi="Times New Roman"/>
          <w:b/>
          <w:bCs/>
          <w:sz w:val="32"/>
          <w:szCs w:val="32"/>
        </w:rPr>
        <w:t>分）</w:t>
      </w:r>
    </w:p>
    <w:p w14:paraId="48001177">
      <w:pPr>
        <w:spacing w:line="560" w:lineRule="exact"/>
        <w:ind w:firstLine="640" w:firstLineChars="200"/>
        <w:rPr>
          <w:rFonts w:ascii="Times New Roman" w:hAnsi="Times New Roman"/>
          <w:sz w:val="32"/>
          <w:szCs w:val="32"/>
        </w:rPr>
      </w:pPr>
      <w:r>
        <w:rPr>
          <w:rFonts w:hint="eastAsia" w:ascii="Times New Roman" w:hAnsi="Times New Roman"/>
          <w:sz w:val="32"/>
          <w:szCs w:val="32"/>
        </w:rPr>
        <w:t>依据</w:t>
      </w:r>
      <w:r>
        <w:rPr>
          <w:rFonts w:hint="eastAsia" w:ascii="Times New Roman" w:hAnsi="Times New Roman"/>
          <w:sz w:val="32"/>
          <w:szCs w:val="32"/>
          <w:highlight w:val="none"/>
          <w:lang w:eastAsia="zh-CN"/>
        </w:rPr>
        <w:t>《</w:t>
      </w:r>
      <w:r>
        <w:rPr>
          <w:rFonts w:hint="eastAsia" w:ascii="Times New Roman" w:hAnsi="Times New Roman"/>
          <w:sz w:val="32"/>
          <w:szCs w:val="32"/>
          <w:highlight w:val="none"/>
          <w:lang w:val="en-US" w:eastAsia="zh-CN"/>
        </w:rPr>
        <w:t>喀什市文化体育广播电视和旅游局局务会议纪要</w:t>
      </w:r>
      <w:r>
        <w:rPr>
          <w:rFonts w:hint="eastAsia" w:ascii="Times New Roman" w:hAnsi="Times New Roman"/>
          <w:sz w:val="32"/>
          <w:szCs w:val="32"/>
          <w:highlight w:val="none"/>
          <w:lang w:eastAsia="zh-CN"/>
        </w:rPr>
        <w:t>》《</w:t>
      </w:r>
      <w:r>
        <w:rPr>
          <w:rFonts w:hint="eastAsia" w:ascii="Times New Roman" w:hAnsi="Times New Roman"/>
          <w:sz w:val="32"/>
          <w:szCs w:val="32"/>
          <w:highlight w:val="none"/>
          <w:lang w:val="en-US" w:eastAsia="zh-CN"/>
        </w:rPr>
        <w:t>喀什市文化体育广播电视和旅游局2025年第15次党组会议纪要》等</w:t>
      </w:r>
      <w:r>
        <w:rPr>
          <w:rFonts w:hint="eastAsia" w:ascii="Times New Roman" w:hAnsi="Times New Roman"/>
          <w:sz w:val="32"/>
          <w:szCs w:val="32"/>
        </w:rPr>
        <w:t>文件分配资金，主要用于</w:t>
      </w:r>
      <w:r>
        <w:rPr>
          <w:rFonts w:hint="eastAsia" w:ascii="Times New Roman" w:hAnsi="Times New Roman" w:cs="Times New Roman"/>
          <w:sz w:val="32"/>
          <w:szCs w:val="32"/>
        </w:rPr>
        <w:t>租赁专业灯光音响设备、修复舞台看台及开展广告宣传，保障2025年《新疆是个好地方》大型演出活动的顺利举办。</w:t>
      </w:r>
      <w:r>
        <w:rPr>
          <w:rFonts w:hint="eastAsia" w:ascii="Times New Roman" w:hAnsi="Times New Roman"/>
          <w:sz w:val="32"/>
          <w:szCs w:val="32"/>
        </w:rPr>
        <w:t>所需资金量在预算范围内，资金额度分配合理。根据评分标准，该指标不扣分，得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258DCF35">
      <w:pPr>
        <w:spacing w:line="560" w:lineRule="exact"/>
        <w:ind w:firstLine="643" w:firstLineChars="200"/>
        <w:rPr>
          <w:rFonts w:ascii="Times New Roman" w:hAnsi="Times New Roman"/>
          <w:b/>
          <w:bCs/>
          <w:sz w:val="32"/>
          <w:szCs w:val="32"/>
        </w:rPr>
      </w:pPr>
      <w:r>
        <w:rPr>
          <w:rFonts w:hint="eastAsia" w:ascii="Times New Roman" w:hAnsi="Times New Roman"/>
          <w:b/>
          <w:bCs/>
          <w:sz w:val="32"/>
          <w:szCs w:val="32"/>
        </w:rPr>
        <w:t>综上，资金投入得</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464B9024">
      <w:pPr>
        <w:spacing w:line="560" w:lineRule="exact"/>
        <w:ind w:firstLine="643" w:firstLineChars="200"/>
        <w:rPr>
          <w:rFonts w:ascii="Times New Roman" w:hAnsi="Times New Roman"/>
          <w:highlight w:val="none"/>
        </w:rPr>
      </w:pPr>
      <w:r>
        <w:rPr>
          <w:rFonts w:hint="eastAsia" w:ascii="Times New Roman" w:hAnsi="Times New Roman"/>
          <w:b/>
          <w:bCs/>
          <w:kern w:val="0"/>
          <w:sz w:val="32"/>
          <w:szCs w:val="32"/>
          <w:highlight w:val="none"/>
          <w:lang w:bidi="en-US"/>
        </w:rPr>
        <w:t>综上所述，决策情况得</w:t>
      </w:r>
      <w:r>
        <w:rPr>
          <w:rFonts w:hint="eastAsia" w:ascii="Times New Roman" w:hAnsi="Times New Roman"/>
          <w:b/>
          <w:bCs/>
          <w:kern w:val="0"/>
          <w:sz w:val="32"/>
          <w:szCs w:val="32"/>
          <w:highlight w:val="none"/>
          <w:lang w:val="en-US" w:eastAsia="zh-CN" w:bidi="en-US"/>
        </w:rPr>
        <w:t>15</w:t>
      </w:r>
      <w:r>
        <w:rPr>
          <w:rFonts w:hint="eastAsia" w:ascii="Times New Roman" w:hAnsi="Times New Roman"/>
          <w:b/>
          <w:bCs/>
          <w:kern w:val="0"/>
          <w:sz w:val="32"/>
          <w:szCs w:val="32"/>
          <w:highlight w:val="none"/>
          <w:lang w:bidi="en-US"/>
        </w:rPr>
        <w:t>分。</w:t>
      </w:r>
    </w:p>
    <w:p w14:paraId="57493895">
      <w:pPr>
        <w:pStyle w:val="38"/>
        <w:ind w:firstLine="643"/>
        <w:rPr>
          <w:rFonts w:ascii="Times New Roman" w:hAnsi="Times New Roman"/>
        </w:rPr>
      </w:pPr>
      <w:bookmarkStart w:id="485" w:name="_Toc32230"/>
      <w:bookmarkStart w:id="486" w:name="_Toc7086"/>
      <w:bookmarkStart w:id="487" w:name="_Toc8335"/>
      <w:bookmarkStart w:id="488" w:name="_Toc25658"/>
      <w:bookmarkStart w:id="489" w:name="_Toc10549"/>
      <w:bookmarkStart w:id="490" w:name="_Toc23287"/>
      <w:bookmarkStart w:id="491" w:name="_Toc23594"/>
      <w:bookmarkStart w:id="492" w:name="_Toc18286"/>
      <w:bookmarkStart w:id="493" w:name="_Toc9939"/>
      <w:bookmarkStart w:id="494" w:name="_Toc28449"/>
      <w:bookmarkStart w:id="495" w:name="_Toc10104"/>
      <w:bookmarkStart w:id="496" w:name="_Toc30618"/>
      <w:bookmarkStart w:id="497" w:name="_Toc2132"/>
      <w:bookmarkStart w:id="498" w:name="_Toc31169"/>
      <w:bookmarkStart w:id="499" w:name="_Toc17919"/>
      <w:bookmarkStart w:id="500" w:name="_Toc21110"/>
      <w:bookmarkStart w:id="501" w:name="_Toc4433"/>
      <w:bookmarkStart w:id="502" w:name="_Toc12641"/>
      <w:bookmarkStart w:id="503" w:name="_Toc11815"/>
      <w:bookmarkStart w:id="504" w:name="_Toc5000"/>
      <w:bookmarkStart w:id="505" w:name="_Toc3479"/>
      <w:bookmarkStart w:id="506" w:name="_Toc3900"/>
      <w:bookmarkStart w:id="507" w:name="_Toc12642"/>
      <w:bookmarkStart w:id="508" w:name="_Toc20739"/>
      <w:bookmarkStart w:id="509" w:name="_Toc28274"/>
      <w:bookmarkStart w:id="510" w:name="_Toc23158"/>
      <w:bookmarkStart w:id="511" w:name="_Toc4203"/>
      <w:bookmarkStart w:id="512" w:name="_Toc3887"/>
      <w:bookmarkStart w:id="513" w:name="_Toc26581"/>
      <w:bookmarkStart w:id="514" w:name="_Toc27607"/>
      <w:bookmarkStart w:id="515" w:name="_Toc26514"/>
      <w:bookmarkStart w:id="516" w:name="_Toc19809"/>
      <w:bookmarkStart w:id="517" w:name="_Toc23799"/>
      <w:bookmarkStart w:id="518" w:name="_Toc11113"/>
      <w:bookmarkStart w:id="519" w:name="_Toc5879"/>
      <w:bookmarkStart w:id="520" w:name="_Toc11755"/>
      <w:bookmarkStart w:id="521" w:name="_Toc18336"/>
      <w:bookmarkStart w:id="522" w:name="_Toc13189"/>
      <w:bookmarkStart w:id="523" w:name="_Toc6839"/>
      <w:bookmarkStart w:id="524" w:name="_Toc21273"/>
      <w:bookmarkStart w:id="525" w:name="_Toc2521"/>
      <w:bookmarkStart w:id="526" w:name="_Toc25146"/>
      <w:r>
        <w:rPr>
          <w:rFonts w:ascii="Times New Roman" w:hAnsi="Times New Roman"/>
        </w:rPr>
        <w:t>（二）项目过程情况（分值</w:t>
      </w:r>
      <w:r>
        <w:rPr>
          <w:rFonts w:hint="eastAsia" w:ascii="Times New Roman" w:hAnsi="Times New Roman" w:eastAsia="仿宋_GB2312" w:cs="Times New Roman"/>
          <w:kern w:val="2"/>
          <w:lang w:val="en-US" w:eastAsia="zh-CN"/>
        </w:rPr>
        <w:t>40</w:t>
      </w:r>
      <w:r>
        <w:rPr>
          <w:rFonts w:ascii="Times New Roman" w:hAnsi="Times New Roman"/>
          <w:kern w:val="2"/>
        </w:rPr>
        <w:t>分，得分</w:t>
      </w:r>
      <w:r>
        <w:rPr>
          <w:rFonts w:hint="eastAsia" w:ascii="Times New Roman" w:hAnsi="Times New Roman"/>
          <w:kern w:val="2"/>
          <w:lang w:val="en-US" w:eastAsia="zh-CN"/>
        </w:rPr>
        <w:t>32</w:t>
      </w:r>
      <w:r>
        <w:rPr>
          <w:rFonts w:ascii="Times New Roman" w:hAnsi="Times New Roman"/>
        </w:rPr>
        <w:t>分）</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591CEEE">
      <w:pPr>
        <w:spacing w:line="560" w:lineRule="exact"/>
        <w:ind w:firstLine="643" w:firstLineChars="200"/>
        <w:jc w:val="left"/>
        <w:rPr>
          <w:rFonts w:ascii="Times New Roman" w:hAnsi="Times New Roman"/>
          <w:b/>
          <w:bCs/>
          <w:sz w:val="32"/>
          <w:szCs w:val="32"/>
        </w:rPr>
      </w:pPr>
      <w:bookmarkStart w:id="527" w:name="_Toc8184"/>
      <w:bookmarkStart w:id="528" w:name="_Hlk36381209"/>
      <w:r>
        <w:rPr>
          <w:rFonts w:hint="eastAsia" w:ascii="Times New Roman" w:hAnsi="Times New Roman"/>
          <w:b/>
          <w:bCs/>
          <w:sz w:val="32"/>
          <w:szCs w:val="32"/>
        </w:rPr>
        <w:t>1.资金管理（分值</w:t>
      </w:r>
      <w:r>
        <w:rPr>
          <w:rFonts w:hint="eastAsia" w:ascii="Times New Roman" w:hAnsi="Times New Roman"/>
          <w:b/>
          <w:bCs/>
          <w:sz w:val="32"/>
          <w:szCs w:val="32"/>
          <w:lang w:val="en-US" w:eastAsia="zh-CN"/>
        </w:rPr>
        <w:t>20</w:t>
      </w:r>
      <w:r>
        <w:rPr>
          <w:rFonts w:hint="eastAsia" w:ascii="Times New Roman" w:hAnsi="Times New Roman"/>
          <w:b/>
          <w:bCs/>
          <w:sz w:val="32"/>
          <w:szCs w:val="32"/>
        </w:rPr>
        <w:t>分，得分</w:t>
      </w:r>
      <w:r>
        <w:rPr>
          <w:rFonts w:hint="eastAsia" w:ascii="Times New Roman" w:hAnsi="Times New Roman"/>
          <w:b/>
          <w:bCs/>
          <w:sz w:val="32"/>
          <w:szCs w:val="32"/>
          <w:lang w:val="en-US" w:eastAsia="zh-CN"/>
        </w:rPr>
        <w:t>15</w:t>
      </w:r>
      <w:r>
        <w:rPr>
          <w:rFonts w:hint="eastAsia" w:ascii="Times New Roman" w:hAnsi="Times New Roman"/>
          <w:b/>
          <w:bCs/>
          <w:sz w:val="32"/>
          <w:szCs w:val="32"/>
        </w:rPr>
        <w:t>分）</w:t>
      </w:r>
      <w:bookmarkEnd w:id="527"/>
    </w:p>
    <w:p w14:paraId="03CA5F6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（1）资金到位率（分值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0625FB4B">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本项目预算资金</w:t>
      </w:r>
      <w:r>
        <w:rPr>
          <w:rFonts w:hint="eastAsia" w:ascii="Times New Roman" w:hAnsi="Times New Roman"/>
          <w:sz w:val="32"/>
          <w:szCs w:val="32"/>
          <w:lang w:val="en-US" w:eastAsia="zh-CN"/>
        </w:rPr>
        <w:t>49.40万元</w:t>
      </w:r>
      <w:r>
        <w:rPr>
          <w:rFonts w:hint="eastAsia" w:ascii="Times New Roman" w:hAnsi="Times New Roman"/>
          <w:sz w:val="32"/>
          <w:szCs w:val="32"/>
        </w:rPr>
        <w:t>，截至2025年12月31日，到位</w:t>
      </w:r>
      <w:r>
        <w:rPr>
          <w:rFonts w:hint="eastAsia" w:ascii="Times New Roman" w:hAnsi="Times New Roman"/>
          <w:sz w:val="32"/>
          <w:szCs w:val="32"/>
          <w:lang w:val="en-US" w:eastAsia="zh-CN"/>
        </w:rPr>
        <w:t>49.40万元</w:t>
      </w:r>
      <w:r>
        <w:rPr>
          <w:rFonts w:hint="eastAsia" w:ascii="Times New Roman" w:hAnsi="Times New Roman"/>
          <w:sz w:val="32"/>
          <w:szCs w:val="32"/>
        </w:rPr>
        <w:t>，资金到位率=（实际到位资金/预算资金）×100%=（</w:t>
      </w:r>
      <w:r>
        <w:rPr>
          <w:rFonts w:hint="eastAsia" w:ascii="Times New Roman" w:hAnsi="Times New Roman"/>
          <w:sz w:val="32"/>
          <w:szCs w:val="32"/>
          <w:lang w:val="en-US" w:eastAsia="zh-CN"/>
        </w:rPr>
        <w:t>49.40</w:t>
      </w:r>
      <w:r>
        <w:rPr>
          <w:rFonts w:hint="eastAsia" w:ascii="Times New Roman" w:hAnsi="Times New Roman"/>
          <w:sz w:val="32"/>
          <w:szCs w:val="32"/>
        </w:rPr>
        <w:t>/</w:t>
      </w:r>
      <w:r>
        <w:rPr>
          <w:rFonts w:hint="eastAsia" w:ascii="Times New Roman" w:hAnsi="Times New Roman"/>
          <w:sz w:val="32"/>
          <w:szCs w:val="32"/>
          <w:lang w:val="en-US" w:eastAsia="zh-CN"/>
        </w:rPr>
        <w:t>49.40</w:t>
      </w:r>
      <w:r>
        <w:rPr>
          <w:rFonts w:hint="eastAsia" w:ascii="Times New Roman" w:hAnsi="Times New Roman"/>
          <w:sz w:val="32"/>
          <w:szCs w:val="32"/>
        </w:rPr>
        <w:t>）×100%=100%。根据评分标准，该指标不扣分，得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44541F1E">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（2）预算执行率（分值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1CD8AB27">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本项目实际到位资金为</w:t>
      </w:r>
      <w:r>
        <w:rPr>
          <w:rFonts w:hint="eastAsia" w:ascii="Times New Roman" w:hAnsi="Times New Roman"/>
          <w:sz w:val="32"/>
          <w:szCs w:val="32"/>
          <w:lang w:val="en-US" w:eastAsia="zh-CN"/>
        </w:rPr>
        <w:t>49.40万元</w:t>
      </w:r>
      <w:r>
        <w:rPr>
          <w:rFonts w:hint="eastAsia" w:ascii="Times New Roman" w:hAnsi="Times New Roman"/>
          <w:sz w:val="32"/>
          <w:szCs w:val="32"/>
        </w:rPr>
        <w:t>，实际支出金额为</w:t>
      </w:r>
      <w:r>
        <w:rPr>
          <w:rFonts w:hint="eastAsia" w:ascii="Times New Roman" w:hAnsi="Times New Roman"/>
          <w:sz w:val="32"/>
          <w:szCs w:val="32"/>
          <w:lang w:val="en-US" w:eastAsia="zh-CN"/>
        </w:rPr>
        <w:t>49.40万元</w:t>
      </w:r>
      <w:r>
        <w:rPr>
          <w:rFonts w:hint="eastAsia" w:ascii="Times New Roman" w:hAnsi="Times New Roman"/>
          <w:sz w:val="32"/>
          <w:szCs w:val="32"/>
        </w:rPr>
        <w:t>，预算执行率=（实际支出资金/实际到位资金）×100%=（</w:t>
      </w:r>
      <w:r>
        <w:rPr>
          <w:rFonts w:hint="eastAsia" w:ascii="Times New Roman" w:hAnsi="Times New Roman"/>
          <w:sz w:val="32"/>
          <w:szCs w:val="32"/>
          <w:lang w:val="en-US" w:eastAsia="zh-CN"/>
        </w:rPr>
        <w:t>49.40万元</w:t>
      </w:r>
      <w:r>
        <w:rPr>
          <w:rFonts w:hint="eastAsia" w:ascii="Times New Roman" w:hAnsi="Times New Roman"/>
          <w:sz w:val="32"/>
          <w:szCs w:val="32"/>
        </w:rPr>
        <w:t>/</w:t>
      </w:r>
      <w:r>
        <w:rPr>
          <w:rFonts w:hint="eastAsia" w:ascii="Times New Roman" w:hAnsi="Times New Roman"/>
          <w:sz w:val="32"/>
          <w:szCs w:val="32"/>
          <w:lang w:val="en-US" w:eastAsia="zh-CN"/>
        </w:rPr>
        <w:t>49.40万元</w:t>
      </w:r>
      <w:r>
        <w:rPr>
          <w:rFonts w:hint="eastAsia" w:ascii="Times New Roman" w:hAnsi="Times New Roman"/>
          <w:sz w:val="32"/>
          <w:szCs w:val="32"/>
        </w:rPr>
        <w:t>）×100%=100%，依据关于印发《自治区项目支出绩效目标设置指引》的通知（新财预〔2022〕42号）及关于印发《中央部门项目支出核心绩效目标和指标设置及取值指引（试行）》的通知</w:t>
      </w:r>
      <w:r>
        <w:rPr>
          <w:rFonts w:hint="eastAsia" w:ascii="Times New Roman" w:hAnsi="Times New Roman"/>
          <w:sz w:val="32"/>
          <w:szCs w:val="32"/>
          <w:lang w:eastAsia="zh-CN"/>
        </w:rPr>
        <w:t>（</w:t>
      </w:r>
      <w:r>
        <w:rPr>
          <w:rFonts w:hint="eastAsia" w:ascii="Times New Roman" w:hAnsi="Times New Roman"/>
          <w:sz w:val="32"/>
          <w:szCs w:val="32"/>
        </w:rPr>
        <w:t>财预〔2021〕101号</w:t>
      </w:r>
      <w:r>
        <w:rPr>
          <w:rFonts w:hint="eastAsia" w:ascii="Times New Roman" w:hAnsi="Times New Roman"/>
          <w:sz w:val="32"/>
          <w:szCs w:val="32"/>
          <w:lang w:eastAsia="zh-CN"/>
        </w:rPr>
        <w:t>）</w:t>
      </w:r>
      <w:r>
        <w:rPr>
          <w:rFonts w:hint="eastAsia" w:ascii="Times New Roman" w:hAnsi="Times New Roman"/>
          <w:sz w:val="32"/>
          <w:szCs w:val="32"/>
        </w:rPr>
        <w:t>，该项目已完成，且执行数控制在年度预算规模之内的，根据评分标准，该指标不扣分，得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27B8E6E8">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（3）资金使用合规性（分值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32A215DB">
      <w:pPr>
        <w:spacing w:line="560" w:lineRule="exact"/>
        <w:ind w:firstLine="640" w:firstLineChars="200"/>
        <w:rPr>
          <w:rFonts w:ascii="Times New Roman" w:hAnsi="Times New Roman"/>
          <w:sz w:val="32"/>
          <w:szCs w:val="32"/>
        </w:rPr>
      </w:pPr>
      <w:r>
        <w:rPr>
          <w:rFonts w:hint="eastAsia" w:ascii="Times New Roman" w:hAnsi="Times New Roman"/>
          <w:sz w:val="32"/>
          <w:szCs w:val="32"/>
        </w:rPr>
        <w:t>本项目资金有</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喀什市文化体育广播电视和旅游局局务会议纪要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喀什市文化体育广播电视和旅游局2025年第15次党组会议纪要》《关于申请支付新疆是个好地方演出灯光、投影音响、设备运输、演出保障等相关费用的请示</w:t>
      </w:r>
      <w:r>
        <w:rPr>
          <w:rFonts w:hint="eastAsia" w:ascii="Times New Roman" w:hAnsi="Times New Roman"/>
          <w:sz w:val="32"/>
          <w:szCs w:val="32"/>
        </w:rPr>
        <w:t>》作为相关依据</w:t>
      </w:r>
      <w:r>
        <w:rPr>
          <w:rFonts w:hint="eastAsia" w:ascii="Times New Roman" w:hAnsi="Times New Roman"/>
          <w:sz w:val="32"/>
          <w:szCs w:val="32"/>
          <w:lang w:eastAsia="zh-CN"/>
        </w:rPr>
        <w:t>，资金</w:t>
      </w:r>
      <w:r>
        <w:rPr>
          <w:rFonts w:hint="eastAsia" w:ascii="Times New Roman" w:hAnsi="Times New Roman"/>
          <w:sz w:val="32"/>
          <w:szCs w:val="32"/>
        </w:rPr>
        <w:t>拨付审批手续齐全。本次检查，未发现违规使用情况，本项目资金全部用于支付</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，符合预算批复规定用途，符合《</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财务管理制度》《</w:t>
      </w:r>
      <w:r>
        <w:rPr>
          <w:rFonts w:hint="eastAsia" w:ascii="Times New Roman" w:hAnsi="Times New Roman"/>
          <w:sz w:val="32"/>
          <w:szCs w:val="32"/>
          <w:lang w:val="en-US" w:eastAsia="zh-CN"/>
        </w:rPr>
        <w:t>喀什市文化体育广播电视和旅游局收入支出管理内部控制制度</w:t>
      </w:r>
      <w:r>
        <w:rPr>
          <w:rFonts w:hint="eastAsia" w:ascii="Times New Roman" w:hAnsi="Times New Roman"/>
          <w:sz w:val="32"/>
          <w:szCs w:val="32"/>
        </w:rPr>
        <w:t>》</w:t>
      </w:r>
      <w:r>
        <w:rPr>
          <w:rFonts w:hint="eastAsia" w:ascii="Times New Roman" w:hAnsi="Times New Roman"/>
          <w:sz w:val="32"/>
          <w:szCs w:val="32"/>
          <w:lang w:eastAsia="zh-CN"/>
        </w:rPr>
        <w:t>，不</w:t>
      </w:r>
      <w:r>
        <w:rPr>
          <w:rFonts w:hint="eastAsia" w:ascii="Times New Roman" w:hAnsi="Times New Roman"/>
          <w:sz w:val="32"/>
          <w:szCs w:val="32"/>
        </w:rPr>
        <w:t>存在截留、挤占、挪用、虚列支出等情况。根据评分标准，该指标不扣分，得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5752E4E3">
      <w:pPr>
        <w:spacing w:line="560" w:lineRule="exact"/>
        <w:ind w:firstLine="643" w:firstLineChars="200"/>
        <w:rPr>
          <w:rFonts w:ascii="Times New Roman" w:hAnsi="Times New Roman"/>
          <w:sz w:val="32"/>
          <w:szCs w:val="32"/>
        </w:rPr>
      </w:pPr>
      <w:r>
        <w:rPr>
          <w:rFonts w:hint="eastAsia" w:ascii="Times New Roman" w:hAnsi="Times New Roman"/>
          <w:b/>
          <w:bCs/>
          <w:sz w:val="32"/>
          <w:szCs w:val="32"/>
        </w:rPr>
        <w:t>（4）资金支付规范性（分值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0</w:t>
      </w:r>
      <w:r>
        <w:rPr>
          <w:rFonts w:hint="eastAsia" w:ascii="Times New Roman" w:hAnsi="Times New Roman"/>
          <w:b/>
          <w:bCs/>
          <w:sz w:val="32"/>
          <w:szCs w:val="32"/>
        </w:rPr>
        <w:t>分）</w:t>
      </w:r>
    </w:p>
    <w:p w14:paraId="303A90A6">
      <w:pPr>
        <w:tabs>
          <w:tab w:val="left" w:pos="6600"/>
        </w:tabs>
        <w:spacing w:line="560" w:lineRule="exact"/>
        <w:ind w:firstLine="640" w:firstLineChars="200"/>
        <w:rPr>
          <w:rFonts w:ascii="Times New Roman" w:hAnsi="Times New Roman"/>
          <w:sz w:val="32"/>
          <w:szCs w:val="32"/>
        </w:rPr>
      </w:pPr>
      <w:r>
        <w:rPr>
          <w:rFonts w:hint="eastAsia" w:ascii="Times New Roman" w:hAnsi="Times New Roman"/>
          <w:sz w:val="32"/>
          <w:szCs w:val="32"/>
        </w:rPr>
        <w:t>本项目在资金支付规范性方面</w:t>
      </w:r>
      <w:r>
        <w:rPr>
          <w:rFonts w:hint="eastAsia" w:ascii="Times New Roman" w:hAnsi="Times New Roman"/>
          <w:sz w:val="32"/>
          <w:szCs w:val="32"/>
          <w:lang w:eastAsia="zh-CN"/>
        </w:rPr>
        <w:t>，经</w:t>
      </w:r>
      <w:r>
        <w:rPr>
          <w:rFonts w:hint="eastAsia" w:ascii="Times New Roman" w:hAnsi="Times New Roman"/>
          <w:sz w:val="32"/>
          <w:szCs w:val="32"/>
        </w:rPr>
        <w:t>现场检查</w:t>
      </w:r>
      <w:r>
        <w:rPr>
          <w:rFonts w:hint="eastAsia" w:ascii="Times New Roman" w:hAnsi="Times New Roman"/>
          <w:sz w:val="32"/>
          <w:szCs w:val="32"/>
          <w:lang w:eastAsia="zh-CN"/>
        </w:rPr>
        <w:t>，与</w:t>
      </w:r>
      <w:r>
        <w:rPr>
          <w:rFonts w:hint="eastAsia" w:ascii="Times New Roman" w:hAnsi="Times New Roman"/>
          <w:sz w:val="32"/>
          <w:szCs w:val="32"/>
          <w:lang w:val="en-US" w:eastAsia="zh-CN"/>
        </w:rPr>
        <w:t>新疆蕴洋文旅投资有限公司签订的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与新疆风行文化传播有限公司签订的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与新疆丝路兄弟文化发展有限公司签订的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hint="eastAsia" w:ascii="Times New Roman" w:hAnsi="Times New Roman"/>
          <w:sz w:val="32"/>
          <w:szCs w:val="32"/>
          <w:lang w:val="en-US" w:eastAsia="zh-CN"/>
        </w:rPr>
        <w:t>关于申请支付新疆是个好地方演出灯光、投影音响、设备运输、演出保障等相关费用的请示》“</w:t>
      </w:r>
      <w:r>
        <w:rPr>
          <w:rFonts w:hint="eastAsia" w:ascii="Times New Roman" w:hAnsi="Times New Roman"/>
          <w:sz w:val="32"/>
          <w:szCs w:val="32"/>
        </w:rPr>
        <w:t>电子发票（普通发票）”</w:t>
      </w:r>
      <w:r>
        <w:rPr>
          <w:rFonts w:hint="eastAsia" w:ascii="Times New Roman" w:hAnsi="Times New Roman"/>
          <w:sz w:val="32"/>
          <w:szCs w:val="32"/>
          <w:lang w:val="en-US" w:eastAsia="zh-CN"/>
        </w:rPr>
        <w:t>及</w:t>
      </w:r>
      <w:r>
        <w:rPr>
          <w:rFonts w:hint="eastAsia" w:ascii="Times New Roman" w:hAnsi="Times New Roman"/>
          <w:sz w:val="32"/>
          <w:szCs w:val="32"/>
        </w:rPr>
        <w:t>“国库集中支付凭证”，该单位资金支付未按合同约定的资金</w:t>
      </w:r>
      <w:r>
        <w:rPr>
          <w:rFonts w:hint="eastAsia" w:ascii="Times New Roman" w:hAnsi="Times New Roman"/>
          <w:sz w:val="32"/>
          <w:szCs w:val="32"/>
          <w:lang w:eastAsia="zh-CN"/>
        </w:rPr>
        <w:t>付款</w:t>
      </w:r>
      <w:r>
        <w:rPr>
          <w:rFonts w:hint="eastAsia" w:ascii="Times New Roman" w:hAnsi="Times New Roman"/>
          <w:sz w:val="32"/>
          <w:szCs w:val="32"/>
        </w:rPr>
        <w:t>方式执行，“项目合同约定：</w:t>
      </w:r>
      <w:r>
        <w:rPr>
          <w:rFonts w:hint="eastAsia" w:ascii="Times New Roman" w:hAnsi="Times New Roman"/>
          <w:sz w:val="32"/>
          <w:szCs w:val="32"/>
          <w:lang w:val="en-US" w:eastAsia="zh-CN"/>
        </w:rPr>
        <w:t>项目结束后七日内支付50%，甲方向乙方付款……元</w:t>
      </w:r>
      <w:r>
        <w:rPr>
          <w:rFonts w:hint="eastAsia" w:ascii="Times New Roman" w:hAnsi="Times New Roman"/>
          <w:sz w:val="32"/>
          <w:szCs w:val="32"/>
        </w:rPr>
        <w:t>”，</w:t>
      </w:r>
      <w:r>
        <w:rPr>
          <w:rFonts w:hint="eastAsia" w:ascii="Times New Roman" w:hAnsi="Times New Roman"/>
          <w:sz w:val="32"/>
          <w:szCs w:val="32"/>
          <w:lang w:val="en-US" w:eastAsia="zh-CN"/>
        </w:rPr>
        <w:t>“项目服务期为97天（包含搭建、调试、彩排、演出），自2025年4月26日起至2025年7月31日止，演出时间为2025年5月1日。”</w:t>
      </w:r>
      <w:r>
        <w:rPr>
          <w:rFonts w:hint="eastAsia" w:ascii="Times New Roman" w:hAnsi="Times New Roman"/>
          <w:sz w:val="32"/>
          <w:szCs w:val="32"/>
        </w:rPr>
        <w:t>但该单位在</w:t>
      </w:r>
      <w:r>
        <w:rPr>
          <w:rFonts w:hint="eastAsia" w:ascii="Times New Roman" w:hAnsi="Times New Roman"/>
          <w:sz w:val="32"/>
          <w:szCs w:val="32"/>
          <w:lang w:val="en-US" w:eastAsia="zh-CN"/>
        </w:rPr>
        <w:t>2025年8月25日</w:t>
      </w:r>
      <w:r>
        <w:rPr>
          <w:rFonts w:hint="eastAsia" w:ascii="Times New Roman" w:hAnsi="Times New Roman"/>
          <w:sz w:val="32"/>
          <w:szCs w:val="32"/>
        </w:rPr>
        <w:t>才支付</w:t>
      </w:r>
      <w:r>
        <w:rPr>
          <w:rFonts w:hint="eastAsia" w:ascii="Times New Roman" w:hAnsi="Times New Roman"/>
          <w:sz w:val="32"/>
          <w:szCs w:val="32"/>
          <w:lang w:val="en-US" w:eastAsia="zh-CN"/>
        </w:rPr>
        <w:t>项目</w:t>
      </w:r>
      <w:r>
        <w:rPr>
          <w:rFonts w:hint="eastAsia" w:ascii="Times New Roman" w:hAnsi="Times New Roman"/>
          <w:sz w:val="32"/>
          <w:szCs w:val="32"/>
        </w:rPr>
        <w:t>款。根据评分标准，该指标扣</w:t>
      </w:r>
      <w:r>
        <w:rPr>
          <w:rFonts w:hint="eastAsia" w:ascii="Times New Roman" w:hAnsi="Times New Roman"/>
          <w:sz w:val="32"/>
          <w:szCs w:val="32"/>
          <w:lang w:val="en-US" w:eastAsia="zh-CN"/>
        </w:rPr>
        <w:t>5</w:t>
      </w:r>
      <w:r>
        <w:rPr>
          <w:rFonts w:hint="eastAsia" w:ascii="Times New Roman" w:hAnsi="Times New Roman"/>
          <w:sz w:val="32"/>
          <w:szCs w:val="32"/>
        </w:rPr>
        <w:t>分，得0分。</w:t>
      </w:r>
    </w:p>
    <w:p w14:paraId="74F1C1D3">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综上，资金管理得分</w:t>
      </w:r>
      <w:r>
        <w:rPr>
          <w:rFonts w:hint="eastAsia" w:ascii="Times New Roman" w:hAnsi="Times New Roman"/>
          <w:b/>
          <w:bCs/>
          <w:sz w:val="32"/>
          <w:szCs w:val="32"/>
          <w:lang w:val="en-US" w:eastAsia="zh-CN"/>
        </w:rPr>
        <w:t>15</w:t>
      </w:r>
      <w:r>
        <w:rPr>
          <w:rFonts w:hint="eastAsia" w:ascii="Times New Roman" w:hAnsi="Times New Roman"/>
          <w:b/>
          <w:bCs/>
          <w:sz w:val="32"/>
          <w:szCs w:val="32"/>
        </w:rPr>
        <w:t>分。</w:t>
      </w:r>
    </w:p>
    <w:p w14:paraId="05745670">
      <w:pPr>
        <w:spacing w:line="560" w:lineRule="exact"/>
        <w:ind w:firstLine="643" w:firstLineChars="200"/>
        <w:jc w:val="left"/>
        <w:rPr>
          <w:rFonts w:ascii="Times New Roman" w:hAnsi="Times New Roman"/>
          <w:b/>
          <w:bCs/>
          <w:sz w:val="32"/>
          <w:szCs w:val="32"/>
        </w:rPr>
      </w:pPr>
      <w:bookmarkStart w:id="529" w:name="_Toc14888"/>
      <w:r>
        <w:rPr>
          <w:rFonts w:hint="eastAsia" w:ascii="Times New Roman" w:hAnsi="Times New Roman"/>
          <w:b/>
          <w:bCs/>
          <w:sz w:val="32"/>
          <w:szCs w:val="32"/>
        </w:rPr>
        <w:t>2.组织实施（分值</w:t>
      </w:r>
      <w:r>
        <w:rPr>
          <w:rFonts w:hint="eastAsia" w:ascii="Times New Roman" w:hAnsi="Times New Roman"/>
          <w:b/>
          <w:bCs/>
          <w:sz w:val="32"/>
          <w:szCs w:val="32"/>
          <w:lang w:val="en-US" w:eastAsia="zh-CN"/>
        </w:rPr>
        <w:t>20</w:t>
      </w:r>
      <w:r>
        <w:rPr>
          <w:rFonts w:hint="eastAsia" w:ascii="Times New Roman" w:hAnsi="Times New Roman"/>
          <w:b/>
          <w:bCs/>
          <w:sz w:val="32"/>
          <w:szCs w:val="32"/>
        </w:rPr>
        <w:t>分，得</w:t>
      </w:r>
      <w:r>
        <w:rPr>
          <w:rFonts w:hint="eastAsia" w:ascii="Times New Roman" w:hAnsi="Times New Roman"/>
          <w:b/>
          <w:bCs/>
          <w:sz w:val="32"/>
          <w:szCs w:val="32"/>
          <w:lang w:val="en-US" w:eastAsia="zh-CN"/>
        </w:rPr>
        <w:t>17</w:t>
      </w:r>
      <w:r>
        <w:rPr>
          <w:rFonts w:hint="eastAsia" w:ascii="Times New Roman" w:hAnsi="Times New Roman"/>
          <w:b/>
          <w:bCs/>
          <w:sz w:val="32"/>
          <w:szCs w:val="32"/>
        </w:rPr>
        <w:t>分）</w:t>
      </w:r>
      <w:bookmarkEnd w:id="529"/>
    </w:p>
    <w:p w14:paraId="4524DDA4">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（1）管理制度健全性（分值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63AA5EC1">
      <w:pPr>
        <w:spacing w:line="560" w:lineRule="exact"/>
        <w:ind w:firstLine="640" w:firstLineChars="200"/>
        <w:rPr>
          <w:rFonts w:ascii="Times New Roman" w:hAnsi="Times New Roman"/>
          <w:sz w:val="32"/>
          <w:szCs w:val="32"/>
        </w:rPr>
      </w:pPr>
      <w:r>
        <w:rPr>
          <w:rFonts w:hint="eastAsia" w:ascii="Times New Roman" w:hAnsi="Times New Roman"/>
          <w:sz w:val="32"/>
          <w:szCs w:val="32"/>
        </w:rPr>
        <w:t>喀什市</w:t>
      </w:r>
      <w:r>
        <w:rPr>
          <w:rFonts w:hint="eastAsia" w:ascii="Times New Roman" w:hAnsi="Times New Roman"/>
          <w:sz w:val="32"/>
          <w:szCs w:val="32"/>
          <w:lang w:val="en-US" w:eastAsia="zh-CN"/>
        </w:rPr>
        <w:t>文化体育广播电视和旅游局</w:t>
      </w:r>
      <w:r>
        <w:rPr>
          <w:rFonts w:hint="eastAsia" w:ascii="Times New Roman" w:hAnsi="Times New Roman"/>
          <w:sz w:val="32"/>
          <w:szCs w:val="32"/>
        </w:rPr>
        <w:t>依据</w:t>
      </w:r>
      <w:r>
        <w:rPr>
          <w:rFonts w:hint="eastAsia" w:ascii="Times New Roman" w:hAnsi="Times New Roman" w:cs="Times New Roman"/>
          <w:color w:val="auto"/>
          <w:sz w:val="32"/>
          <w:szCs w:val="32"/>
          <w:highlight w:val="none"/>
          <w:lang w:val="en-US" w:eastAsia="zh-CN"/>
        </w:rPr>
        <w:t>关于印发</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喀什市文化体育广播电视和旅游局职能配置、内设机构和人员编制规定</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的通知</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喀市党办字</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2019</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31</w:t>
      </w:r>
      <w:r>
        <w:rPr>
          <w:rFonts w:hint="eastAsia" w:ascii="Times New Roman" w:hAnsi="Times New Roman" w:eastAsia="仿宋_GB2312" w:cs="Times New Roman"/>
          <w:color w:val="auto"/>
          <w:sz w:val="32"/>
          <w:szCs w:val="32"/>
          <w:highlight w:val="none"/>
          <w:lang w:val="en-US" w:eastAsia="zh-CN"/>
        </w:rPr>
        <w:t>号）</w:t>
      </w:r>
      <w:r>
        <w:rPr>
          <w:rFonts w:hint="eastAsia" w:ascii="Times New Roman" w:hAnsi="Times New Roman"/>
          <w:sz w:val="32"/>
          <w:szCs w:val="32"/>
        </w:rPr>
        <w:t>开展业务，并严格按照</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喀什市文化体育广播电视和旅游局局务会议纪要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喀什市文化体育广播电视和旅游局2025年第15次党组会议纪要》《关于申请支付新疆是个好地方演出灯光、投影音响、设备运输、演出保障等相关费用的请示</w:t>
      </w:r>
      <w:r>
        <w:rPr>
          <w:rFonts w:hint="eastAsia" w:ascii="Times New Roman" w:hAnsi="Times New Roman"/>
          <w:sz w:val="32"/>
          <w:szCs w:val="32"/>
        </w:rPr>
        <w:t>》《</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财务管理制度》《</w:t>
      </w:r>
      <w:r>
        <w:rPr>
          <w:rFonts w:hint="eastAsia" w:ascii="Times New Roman" w:hAnsi="Times New Roman"/>
          <w:sz w:val="32"/>
          <w:szCs w:val="32"/>
          <w:lang w:val="en-US" w:eastAsia="zh-CN"/>
        </w:rPr>
        <w:t>喀什市文化体育广播电视和旅游局收入支出管理内部控制制度</w:t>
      </w:r>
      <w:r>
        <w:rPr>
          <w:rFonts w:hint="eastAsia" w:ascii="Times New Roman" w:hAnsi="Times New Roman"/>
          <w:sz w:val="32"/>
          <w:szCs w:val="32"/>
        </w:rPr>
        <w:t>》对财政专项资金进行严格管理，已制定或具有相应的财务和业务管理制度，财务和业务管理制度合法、合规、完整。根据评分标准，该指标不扣分，得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69C629E6">
      <w:p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（2）制度执行有效性（分值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26AC74A0">
      <w:pPr>
        <w:spacing w:line="570" w:lineRule="exact"/>
        <w:ind w:firstLine="640" w:firstLineChars="200"/>
        <w:rPr>
          <w:rFonts w:ascii="Times New Roman" w:hAnsi="Times New Roman"/>
          <w:sz w:val="32"/>
          <w:szCs w:val="32"/>
        </w:rPr>
      </w:pPr>
      <w:r>
        <w:rPr>
          <w:rFonts w:hint="eastAsia" w:ascii="Times New Roman" w:hAnsi="Times New Roman"/>
          <w:sz w:val="32"/>
          <w:szCs w:val="32"/>
        </w:rPr>
        <w:t>依据</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喀什市文化体育广播电视和旅游局局务会议纪要</w:t>
      </w:r>
      <w:r>
        <w:rPr>
          <w:rFonts w:hint="eastAsia" w:ascii="Times New Roman" w:hAnsi="Times New Roman"/>
          <w:sz w:val="32"/>
          <w:szCs w:val="32"/>
          <w:lang w:eastAsia="zh-CN"/>
        </w:rPr>
        <w:t>》《</w:t>
      </w:r>
      <w:r>
        <w:rPr>
          <w:rFonts w:hint="eastAsia" w:ascii="Times New Roman" w:hAnsi="Times New Roman"/>
          <w:sz w:val="32"/>
          <w:szCs w:val="32"/>
          <w:lang w:val="en-US" w:eastAsia="zh-CN"/>
        </w:rPr>
        <w:t>喀什市文化体育广播电视和旅游局2025年第15次党组会议纪要》《关于申请支付新疆是个好地方演出灯光、投影音响、设备运输、演出保障等相关费用的请示</w:t>
      </w:r>
      <w:r>
        <w:rPr>
          <w:rFonts w:hint="eastAsia" w:ascii="Times New Roman" w:hAnsi="Times New Roman"/>
          <w:sz w:val="32"/>
          <w:szCs w:val="32"/>
        </w:rPr>
        <w:t>》《</w:t>
      </w:r>
      <w:r>
        <w:rPr>
          <w:rFonts w:hint="eastAsia" w:ascii="Times New Roman" w:hAnsi="Times New Roman"/>
          <w:sz w:val="32"/>
          <w:szCs w:val="32"/>
          <w:lang w:val="en-US" w:eastAsia="zh-CN"/>
        </w:rPr>
        <w:t>喀什市文化体育广播电视和旅游局</w:t>
      </w:r>
      <w:r>
        <w:rPr>
          <w:rFonts w:hint="eastAsia" w:ascii="Times New Roman" w:hAnsi="Times New Roman"/>
          <w:sz w:val="32"/>
          <w:szCs w:val="32"/>
        </w:rPr>
        <w:t>财务管理制度》《</w:t>
      </w:r>
      <w:r>
        <w:rPr>
          <w:rFonts w:hint="eastAsia" w:ascii="Times New Roman" w:hAnsi="Times New Roman"/>
          <w:sz w:val="32"/>
          <w:szCs w:val="32"/>
          <w:lang w:val="en-US" w:eastAsia="zh-CN"/>
        </w:rPr>
        <w:t>喀什市文化体育广播电视和旅游局收入支出管理内部控制制度</w:t>
      </w:r>
      <w:r>
        <w:rPr>
          <w:rFonts w:hint="eastAsia" w:ascii="Times New Roman" w:hAnsi="Times New Roman"/>
          <w:sz w:val="32"/>
          <w:szCs w:val="32"/>
        </w:rPr>
        <w:t>》，对资金的使用合法合规性进行监督，年底对资金使用效果进行自评。</w:t>
      </w:r>
      <w:r>
        <w:rPr>
          <w:rFonts w:hint="eastAsia" w:ascii="Times New Roman" w:hAnsi="Times New Roman" w:eastAsia="仿宋_GB2312"/>
          <w:sz w:val="32"/>
          <w:szCs w:val="32"/>
          <w:highlight w:val="none"/>
        </w:rPr>
        <w:t>项目的实施遵守相关法律法规和相关管理规定，根据评分标准，该指标不扣分，得</w:t>
      </w:r>
      <w:r>
        <w:rPr>
          <w:rFonts w:hint="eastAsia" w:ascii="Times New Roman" w:hAnsi="Times New Roman"/>
          <w:sz w:val="32"/>
          <w:szCs w:val="32"/>
          <w:highlight w:val="none"/>
          <w:lang w:val="en-US" w:eastAsia="zh-CN"/>
        </w:rPr>
        <w:t>5</w:t>
      </w:r>
      <w:r>
        <w:rPr>
          <w:rFonts w:hint="eastAsia" w:ascii="Times New Roman" w:hAnsi="Times New Roman" w:eastAsia="仿宋_GB2312"/>
          <w:sz w:val="32"/>
          <w:szCs w:val="32"/>
          <w:highlight w:val="none"/>
        </w:rPr>
        <w:t>分。</w:t>
      </w:r>
    </w:p>
    <w:p w14:paraId="658F30CC">
      <w:pPr>
        <w:numPr>
          <w:ilvl w:val="0"/>
          <w:numId w:val="2"/>
        </w:num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合同管理规范性（分值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5</w:t>
      </w:r>
      <w:r>
        <w:rPr>
          <w:rFonts w:hint="eastAsia" w:ascii="Times New Roman" w:hAnsi="Times New Roman"/>
          <w:b/>
          <w:bCs/>
          <w:sz w:val="32"/>
          <w:szCs w:val="32"/>
        </w:rPr>
        <w:t>分）</w:t>
      </w:r>
    </w:p>
    <w:p w14:paraId="005A8AF7">
      <w:pPr>
        <w:spacing w:line="560" w:lineRule="exact"/>
        <w:ind w:firstLine="640" w:firstLineChars="200"/>
        <w:rPr>
          <w:rFonts w:ascii="Times New Roman" w:hAnsi="Times New Roman"/>
          <w:sz w:val="32"/>
          <w:szCs w:val="32"/>
        </w:rPr>
      </w:pPr>
      <w:r>
        <w:rPr>
          <w:rFonts w:hint="eastAsia" w:ascii="Times New Roman" w:hAnsi="Times New Roman"/>
          <w:sz w:val="32"/>
          <w:szCs w:val="32"/>
        </w:rPr>
        <w:t>经现场检查该项目涉及合同，喀什市文化体育广播电视和旅游局与新疆蕴洋文旅投资有限公司、新疆风行文化传播有限公司、新疆丝路兄弟文化发展有限公司均已签订书面合同，合同内容完整，明确了付款条件、验收标准、服务期限等要素，符合《中华人民共和国政府采购法实施条例》指导性目录等有关规定，合同管理规范。根据评分标准，该指标不扣分，得5分。</w:t>
      </w:r>
    </w:p>
    <w:p w14:paraId="17CD0978">
      <w:pPr>
        <w:numPr>
          <w:ilvl w:val="0"/>
          <w:numId w:val="2"/>
        </w:numPr>
        <w:spacing w:line="560" w:lineRule="exact"/>
        <w:ind w:firstLine="643" w:firstLineChars="200"/>
        <w:jc w:val="left"/>
        <w:rPr>
          <w:rFonts w:ascii="Times New Roman" w:hAnsi="Times New Roman"/>
          <w:b/>
          <w:bCs/>
          <w:sz w:val="32"/>
          <w:szCs w:val="32"/>
        </w:rPr>
      </w:pPr>
      <w:r>
        <w:rPr>
          <w:rFonts w:hint="eastAsia" w:ascii="Times New Roman" w:hAnsi="Times New Roman"/>
          <w:b/>
          <w:bCs/>
          <w:sz w:val="32"/>
          <w:szCs w:val="32"/>
        </w:rPr>
        <w:t>项目履约验收规范性（分值</w:t>
      </w:r>
      <w:r>
        <w:rPr>
          <w:rFonts w:hint="eastAsia" w:ascii="Times New Roman" w:hAnsi="Times New Roman"/>
          <w:b/>
          <w:bCs/>
          <w:sz w:val="32"/>
          <w:szCs w:val="32"/>
          <w:lang w:val="en-US" w:eastAsia="zh-CN"/>
        </w:rPr>
        <w:t>5</w:t>
      </w:r>
      <w:r>
        <w:rPr>
          <w:rFonts w:hint="eastAsia" w:ascii="Times New Roman" w:hAnsi="Times New Roman"/>
          <w:b/>
          <w:bCs/>
          <w:sz w:val="32"/>
          <w:szCs w:val="32"/>
        </w:rPr>
        <w:t>分，得分</w:t>
      </w:r>
      <w:r>
        <w:rPr>
          <w:rFonts w:hint="eastAsia" w:ascii="Times New Roman" w:hAnsi="Times New Roman"/>
          <w:b/>
          <w:bCs/>
          <w:sz w:val="32"/>
          <w:szCs w:val="32"/>
          <w:lang w:val="en-US" w:eastAsia="zh-CN"/>
        </w:rPr>
        <w:t>2</w:t>
      </w:r>
      <w:r>
        <w:rPr>
          <w:rFonts w:hint="eastAsia" w:ascii="Times New Roman" w:hAnsi="Times New Roman"/>
          <w:b/>
          <w:bCs/>
          <w:sz w:val="32"/>
          <w:szCs w:val="32"/>
        </w:rPr>
        <w:t>分）</w:t>
      </w:r>
    </w:p>
    <w:p w14:paraId="5EF18445">
      <w:pPr>
        <w:spacing w:line="560" w:lineRule="exact"/>
        <w:ind w:firstLine="640" w:firstLineChars="200"/>
        <w:rPr>
          <w:rFonts w:ascii="Times New Roman" w:hAnsi="Times New Roman"/>
          <w:sz w:val="32"/>
          <w:szCs w:val="32"/>
        </w:rPr>
      </w:pPr>
      <w:r>
        <w:rPr>
          <w:rFonts w:ascii="Times New Roman" w:hAnsi="Times New Roman"/>
          <w:sz w:val="32"/>
          <w:szCs w:val="32"/>
        </w:rPr>
        <w:t>该项目已按照《中华人民共和国政府采购法实施条例》组织验收，通过检查单位提供的</w:t>
      </w:r>
      <w:r>
        <w:rPr>
          <w:rFonts w:hint="eastAsia" w:ascii="Times New Roman" w:hAnsi="Times New Roman"/>
          <w:sz w:val="32"/>
          <w:szCs w:val="32"/>
          <w:lang w:val="en-US" w:eastAsia="zh-CN"/>
        </w:rPr>
        <w:t>与新疆风行文化传播有限公司签订的《新疆是个好地方演出设备租赁合同》《验收单》，</w:t>
      </w:r>
      <w:r>
        <w:rPr>
          <w:rFonts w:hint="eastAsia" w:ascii="Times New Roman" w:hAnsi="Times New Roman" w:eastAsia="仿宋_GB2312" w:cs="Times New Roman"/>
          <w:color w:val="auto"/>
          <w:sz w:val="32"/>
          <w:szCs w:val="32"/>
          <w:highlight w:val="none"/>
          <w:lang w:val="en-US" w:eastAsia="zh-CN"/>
        </w:rPr>
        <w:t>根据财政部《关于进一步加强政府采购需求和履约验收管理的指导意见》（财库</w:t>
      </w:r>
      <w:r>
        <w:rPr>
          <w:rFonts w:hint="default" w:ascii="Times New Roman" w:hAnsi="Times New Roman" w:eastAsia="仿宋_GB2312" w:cs="Times New Roman"/>
          <w:color w:val="auto"/>
          <w:sz w:val="32"/>
          <w:szCs w:val="32"/>
          <w:highlight w:val="none"/>
        </w:rPr>
        <w:t>〔20</w:t>
      </w:r>
      <w:r>
        <w:rPr>
          <w:rFonts w:hint="eastAsia" w:ascii="Times New Roman" w:hAnsi="Times New Roman"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205</w:t>
      </w:r>
      <w:r>
        <w:rPr>
          <w:rFonts w:hint="eastAsia" w:ascii="Times New Roman" w:hAnsi="Times New Roman" w:cs="Times New Roman"/>
          <w:color w:val="auto"/>
          <w:sz w:val="32"/>
          <w:szCs w:val="32"/>
          <w:highlight w:val="none"/>
          <w:lang w:val="en-US" w:eastAsia="zh-CN"/>
        </w:rPr>
        <w:t>号</w:t>
      </w:r>
      <w:r>
        <w:rPr>
          <w:rFonts w:hint="eastAsia" w:ascii="Times New Roman" w:hAnsi="Times New Roman" w:eastAsia="仿宋_GB2312" w:cs="Times New Roman"/>
          <w:color w:val="auto"/>
          <w:sz w:val="32"/>
          <w:szCs w:val="32"/>
          <w:highlight w:val="none"/>
          <w:lang w:val="en-US" w:eastAsia="zh-CN"/>
        </w:rPr>
        <w:t>）：“（八）严格按照采购合同开展履约验收。采购人或者采购代理机构应当成立验收小组，按照采购合同的约定对供应商履约情况进行验收。验收时，应当按照采购合同的约定对每一项技术、服务、安全标准的履约情况进行确认。验收结束后，应当出具验收书，列明各项标准的验收情况及项目总体评价，由验收双方共同签署。”查看验收单，</w:t>
      </w:r>
      <w:r>
        <w:rPr>
          <w:rFonts w:hint="eastAsia" w:ascii="Times New Roman" w:hAnsi="Times New Roman" w:cs="Times New Roman"/>
          <w:color w:val="auto"/>
          <w:sz w:val="32"/>
          <w:szCs w:val="32"/>
          <w:highlight w:val="none"/>
          <w:lang w:val="en-US" w:eastAsia="zh-CN"/>
        </w:rPr>
        <w:t>无实际验收时间、无验收小组成员手写签字、无验收结论、</w:t>
      </w:r>
      <w:r>
        <w:rPr>
          <w:rFonts w:hint="eastAsia" w:ascii="Times New Roman" w:hAnsi="Times New Roman" w:eastAsia="仿宋_GB2312" w:cs="Times New Roman"/>
          <w:color w:val="auto"/>
          <w:sz w:val="32"/>
          <w:szCs w:val="32"/>
          <w:highlight w:val="none"/>
          <w:lang w:val="en-US" w:eastAsia="zh-CN"/>
        </w:rPr>
        <w:t>未按照合同的约定对每一项技术、服务、安全标准的履约情况进行确认，以及列明各项标准，项目履约验收不规范，</w:t>
      </w:r>
      <w:r>
        <w:rPr>
          <w:rFonts w:hint="default" w:ascii="Times New Roman" w:hAnsi="Times New Roman" w:eastAsia="仿宋_GB2312" w:cs="Times New Roman"/>
          <w:color w:val="auto"/>
          <w:sz w:val="32"/>
          <w:szCs w:val="32"/>
          <w:highlight w:val="none"/>
        </w:rPr>
        <w:t>根据评分标准，该指标扣</w:t>
      </w:r>
      <w:r>
        <w:rPr>
          <w:rFonts w:hint="eastAsia" w:ascii="Times New Roman" w:hAnsi="Times New Roman"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分，得</w:t>
      </w:r>
      <w:r>
        <w:rPr>
          <w:rFonts w:hint="eastAsia" w:ascii="Times New Roman" w:hAnsi="Times New Roman"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分。</w:t>
      </w:r>
    </w:p>
    <w:bookmarkEnd w:id="528"/>
    <w:p w14:paraId="589C837F">
      <w:pPr>
        <w:spacing w:line="560" w:lineRule="exact"/>
        <w:ind w:firstLine="643" w:firstLineChars="200"/>
        <w:jc w:val="left"/>
        <w:rPr>
          <w:rFonts w:ascii="Times New Roman" w:hAnsi="Times New Roman"/>
          <w:b/>
          <w:bCs/>
          <w:sz w:val="32"/>
          <w:szCs w:val="32"/>
        </w:rPr>
      </w:pPr>
      <w:bookmarkStart w:id="530" w:name="_Toc18104"/>
      <w:bookmarkStart w:id="531" w:name="_Toc29769"/>
      <w:bookmarkStart w:id="532" w:name="_Toc5331"/>
      <w:bookmarkStart w:id="533" w:name="_Toc19394"/>
      <w:bookmarkStart w:id="534" w:name="_Toc17037"/>
      <w:bookmarkStart w:id="535" w:name="_Toc15238"/>
      <w:bookmarkStart w:id="536" w:name="_Toc1400"/>
      <w:bookmarkStart w:id="537" w:name="_Toc12640"/>
      <w:bookmarkStart w:id="538" w:name="_Toc4826"/>
      <w:bookmarkStart w:id="539" w:name="_Toc10225"/>
      <w:bookmarkStart w:id="540" w:name="_Toc26777"/>
      <w:bookmarkStart w:id="541" w:name="_Toc7812"/>
      <w:bookmarkStart w:id="542" w:name="_Toc22843"/>
      <w:bookmarkStart w:id="543" w:name="_Toc17588"/>
      <w:bookmarkStart w:id="544" w:name="_Toc2364"/>
      <w:bookmarkStart w:id="545" w:name="_Toc1314"/>
      <w:bookmarkStart w:id="546" w:name="_Toc31518"/>
      <w:bookmarkStart w:id="547" w:name="_Toc3444"/>
      <w:bookmarkStart w:id="548" w:name="_Toc30881"/>
      <w:bookmarkStart w:id="549" w:name="_Toc8840"/>
      <w:bookmarkStart w:id="550" w:name="_Toc30331"/>
      <w:bookmarkStart w:id="551" w:name="_Toc27600"/>
      <w:bookmarkStart w:id="552" w:name="_Toc15402"/>
      <w:bookmarkStart w:id="553" w:name="_Toc1756"/>
      <w:bookmarkStart w:id="554" w:name="_Toc17620"/>
      <w:bookmarkStart w:id="555" w:name="_Toc32665"/>
      <w:bookmarkStart w:id="556" w:name="_Toc7911"/>
      <w:bookmarkStart w:id="557" w:name="_Toc21105"/>
      <w:bookmarkStart w:id="558" w:name="_Toc21146"/>
      <w:bookmarkStart w:id="559" w:name="_Toc24266"/>
      <w:bookmarkStart w:id="560" w:name="_Toc1050"/>
      <w:bookmarkStart w:id="561" w:name="_Toc17580"/>
      <w:bookmarkStart w:id="562" w:name="_Toc21779"/>
      <w:bookmarkStart w:id="563" w:name="_Toc774"/>
      <w:bookmarkStart w:id="564" w:name="_Toc17200"/>
      <w:bookmarkStart w:id="565" w:name="_Toc11737"/>
      <w:bookmarkStart w:id="566" w:name="_Toc20248"/>
      <w:bookmarkStart w:id="567" w:name="_Toc27580"/>
      <w:bookmarkStart w:id="568" w:name="_Toc22587"/>
      <w:bookmarkStart w:id="569" w:name="_Toc9775"/>
      <w:bookmarkStart w:id="570" w:name="_Toc4269"/>
      <w:bookmarkStart w:id="571" w:name="_Toc5303"/>
      <w:bookmarkStart w:id="572" w:name="_Toc16775"/>
      <w:r>
        <w:rPr>
          <w:rFonts w:hint="eastAsia" w:ascii="Times New Roman" w:hAnsi="Times New Roman"/>
          <w:b/>
          <w:bCs/>
          <w:sz w:val="32"/>
          <w:szCs w:val="32"/>
        </w:rPr>
        <w:t>综上，组织实施得分</w:t>
      </w:r>
      <w:r>
        <w:rPr>
          <w:rFonts w:hint="eastAsia" w:ascii="Times New Roman" w:hAnsi="Times New Roman"/>
          <w:b/>
          <w:bCs/>
          <w:sz w:val="32"/>
          <w:szCs w:val="32"/>
          <w:lang w:val="en-US" w:eastAsia="zh-CN"/>
        </w:rPr>
        <w:t>17</w:t>
      </w:r>
      <w:r>
        <w:rPr>
          <w:rFonts w:hint="eastAsia" w:ascii="Times New Roman" w:hAnsi="Times New Roman"/>
          <w:b/>
          <w:bCs/>
          <w:sz w:val="32"/>
          <w:szCs w:val="32"/>
        </w:rPr>
        <w:t>分。</w:t>
      </w:r>
    </w:p>
    <w:p w14:paraId="4C5734A4">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综上所述，过程情况得</w:t>
      </w:r>
      <w:r>
        <w:rPr>
          <w:rFonts w:hint="eastAsia" w:ascii="Times New Roman" w:hAnsi="Times New Roman"/>
          <w:b/>
          <w:bCs/>
          <w:kern w:val="0"/>
          <w:sz w:val="32"/>
          <w:szCs w:val="32"/>
          <w:lang w:val="en-US" w:eastAsia="zh-CN" w:bidi="en-US"/>
        </w:rPr>
        <w:t>32</w:t>
      </w:r>
      <w:r>
        <w:rPr>
          <w:rFonts w:hint="eastAsia" w:ascii="Times New Roman" w:hAnsi="Times New Roman"/>
          <w:b/>
          <w:bCs/>
          <w:kern w:val="0"/>
          <w:sz w:val="32"/>
          <w:szCs w:val="32"/>
          <w:lang w:bidi="en-US"/>
        </w:rPr>
        <w:t>分。</w:t>
      </w:r>
    </w:p>
    <w:p w14:paraId="136E469B">
      <w:pPr>
        <w:pStyle w:val="38"/>
        <w:ind w:firstLine="643"/>
        <w:rPr>
          <w:rFonts w:ascii="Times New Roman" w:hAnsi="Times New Roman"/>
        </w:rPr>
      </w:pPr>
      <w:bookmarkStart w:id="573" w:name="_Toc7184"/>
      <w:r>
        <w:rPr>
          <w:rFonts w:ascii="Times New Roman" w:hAnsi="Times New Roman"/>
        </w:rPr>
        <w:t>（三）项目产出情况（分值</w:t>
      </w:r>
      <w:r>
        <w:rPr>
          <w:rFonts w:hint="eastAsia" w:ascii="Times New Roman" w:hAnsi="Times New Roman" w:cs="Times New Roman"/>
          <w:lang w:val="en-US" w:eastAsia="zh-CN"/>
        </w:rPr>
        <w:t>3</w:t>
      </w:r>
      <w:r>
        <w:rPr>
          <w:rFonts w:hint="default" w:ascii="Times New Roman" w:hAnsi="Times New Roman" w:cs="Times New Roman"/>
        </w:rPr>
        <w:t>0</w:t>
      </w:r>
      <w:r>
        <w:rPr>
          <w:rFonts w:ascii="Times New Roman" w:hAnsi="Times New Roman"/>
        </w:rPr>
        <w:t>分，得分</w:t>
      </w:r>
      <w:r>
        <w:rPr>
          <w:rFonts w:hint="eastAsia" w:ascii="Times New Roman" w:hAnsi="Times New Roman" w:cs="Times New Roman"/>
          <w:lang w:val="en-US" w:eastAsia="zh-CN"/>
        </w:rPr>
        <w:t>3</w:t>
      </w:r>
      <w:r>
        <w:rPr>
          <w:rFonts w:ascii="Times New Roman" w:hAnsi="Times New Roman" w:cs="Times New Roman"/>
        </w:rPr>
        <w:t>0</w:t>
      </w:r>
      <w:r>
        <w:rPr>
          <w:rFonts w:ascii="Times New Roman" w:hAnsi="Times New Roman"/>
        </w:rPr>
        <w:t>分）</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23999851">
      <w:pPr>
        <w:spacing w:line="560" w:lineRule="exact"/>
        <w:ind w:firstLine="643" w:firstLineChars="200"/>
        <w:jc w:val="left"/>
        <w:rPr>
          <w:rFonts w:ascii="Times New Roman" w:hAnsi="Times New Roman" w:eastAsia="方正仿宋_GBK" w:cs="仿宋"/>
          <w:b/>
          <w:bCs/>
          <w:kern w:val="0"/>
          <w:sz w:val="32"/>
          <w:szCs w:val="32"/>
          <w:lang w:bidi="en-US"/>
        </w:rPr>
      </w:pPr>
      <w:bookmarkStart w:id="574" w:name="_Toc10877"/>
      <w:bookmarkStart w:id="575" w:name="_Toc18483"/>
      <w:r>
        <w:rPr>
          <w:rFonts w:ascii="Times New Roman" w:hAnsi="Times New Roman" w:eastAsia="方正仿宋_GBK"/>
          <w:b/>
          <w:bCs/>
          <w:kern w:val="0"/>
          <w:sz w:val="32"/>
          <w:szCs w:val="32"/>
          <w:lang w:bidi="en-US"/>
        </w:rPr>
        <w:t>1</w:t>
      </w:r>
      <w:r>
        <w:rPr>
          <w:rFonts w:hint="eastAsia" w:ascii="Times New Roman" w:hAnsi="Times New Roman" w:eastAsia="方正仿宋_GBK" w:cs="仿宋"/>
          <w:b/>
          <w:bCs/>
          <w:kern w:val="0"/>
          <w:sz w:val="32"/>
          <w:szCs w:val="32"/>
          <w:lang w:bidi="en-US"/>
        </w:rPr>
        <w:t>.</w:t>
      </w:r>
      <w:r>
        <w:rPr>
          <w:rFonts w:hint="eastAsia" w:ascii="Times New Roman" w:hAnsi="Times New Roman" w:cs="仿宋_GB2312"/>
          <w:b/>
          <w:bCs/>
          <w:kern w:val="0"/>
          <w:sz w:val="32"/>
          <w:szCs w:val="32"/>
          <w:lang w:bidi="en-US"/>
        </w:rPr>
        <w:t>产出数量（分</w:t>
      </w:r>
      <w:r>
        <w:rPr>
          <w:rFonts w:hint="eastAsia" w:ascii="Times New Roman" w:hAnsi="Times New Roman"/>
          <w:b/>
          <w:bCs/>
          <w:sz w:val="32"/>
          <w:szCs w:val="32"/>
        </w:rPr>
        <w:t>值10分，得分10</w:t>
      </w:r>
      <w:r>
        <w:rPr>
          <w:rFonts w:hint="eastAsia" w:ascii="Times New Roman" w:hAnsi="Times New Roman" w:cs="仿宋_GB2312"/>
          <w:b/>
          <w:bCs/>
          <w:kern w:val="0"/>
          <w:sz w:val="32"/>
          <w:szCs w:val="32"/>
          <w:lang w:bidi="en-US"/>
        </w:rPr>
        <w:t>分）</w:t>
      </w:r>
      <w:bookmarkEnd w:id="574"/>
      <w:bookmarkEnd w:id="575"/>
    </w:p>
    <w:p w14:paraId="1D116AA6">
      <w:pPr>
        <w:pStyle w:val="36"/>
        <w:ind w:firstLine="643"/>
        <w:rPr>
          <w:rFonts w:hint="eastAsia" w:ascii="Times New Roman" w:hAnsi="Times New Roman" w:cs="仿宋_GB2312"/>
          <w:b/>
          <w:bCs/>
        </w:rPr>
      </w:pPr>
      <w:r>
        <w:rPr>
          <w:rFonts w:hint="eastAsia" w:ascii="Times New Roman" w:hAnsi="Times New Roman"/>
          <w:b/>
          <w:bCs/>
        </w:rPr>
        <w:t>（1）演出广告宣传场次</w:t>
      </w:r>
      <w:r>
        <w:rPr>
          <w:rFonts w:hint="eastAsia" w:ascii="Times New Roman" w:hAnsi="Times New Roman" w:cs="仿宋_GB2312"/>
          <w:b/>
          <w:bCs/>
        </w:rPr>
        <w:t>大于等</w:t>
      </w:r>
      <w:r>
        <w:rPr>
          <w:rFonts w:hint="eastAsia" w:ascii="Times New Roman" w:hAnsi="Times New Roman"/>
          <w:b/>
          <w:bCs/>
          <w:kern w:val="2"/>
          <w:lang w:bidi="ar-SA"/>
        </w:rPr>
        <w:t>于</w:t>
      </w:r>
      <w:r>
        <w:rPr>
          <w:rFonts w:hint="eastAsia" w:ascii="Times New Roman" w:hAnsi="Times New Roman"/>
          <w:b/>
          <w:bCs/>
          <w:kern w:val="2"/>
          <w:lang w:val="en-US" w:eastAsia="zh-CN" w:bidi="ar-SA"/>
        </w:rPr>
        <w:t>1场次</w:t>
      </w:r>
      <w:r>
        <w:rPr>
          <w:rFonts w:hint="eastAsia" w:ascii="Times New Roman" w:hAnsi="Times New Roman"/>
          <w:b/>
          <w:bCs/>
          <w:kern w:val="2"/>
          <w:lang w:bidi="ar-SA"/>
        </w:rPr>
        <w:t>（</w:t>
      </w:r>
      <w:r>
        <w:rPr>
          <w:rFonts w:hint="eastAsia" w:ascii="Times New Roman" w:hAnsi="Times New Roman" w:cs="仿宋_GB2312"/>
          <w:b/>
          <w:bCs/>
        </w:rPr>
        <w:t>分值</w:t>
      </w:r>
      <w:r>
        <w:rPr>
          <w:rFonts w:hint="eastAsia" w:ascii="Times New Roman" w:hAnsi="Times New Roman"/>
          <w:b/>
          <w:bCs/>
          <w:lang w:val="en-US" w:eastAsia="zh-CN"/>
        </w:rPr>
        <w:t>3</w:t>
      </w:r>
      <w:r>
        <w:rPr>
          <w:rFonts w:hint="eastAsia" w:ascii="Times New Roman" w:hAnsi="Times New Roman" w:cs="仿宋_GB2312"/>
          <w:b/>
          <w:bCs/>
        </w:rPr>
        <w:t>分，得分</w:t>
      </w:r>
      <w:r>
        <w:rPr>
          <w:rFonts w:hint="eastAsia" w:ascii="Times New Roman" w:hAnsi="Times New Roman"/>
          <w:b/>
          <w:bCs/>
          <w:lang w:val="en-US" w:eastAsia="zh-CN"/>
        </w:rPr>
        <w:t>3</w:t>
      </w:r>
      <w:r>
        <w:rPr>
          <w:rFonts w:hint="eastAsia" w:ascii="Times New Roman" w:hAnsi="Times New Roman" w:cs="仿宋_GB2312"/>
          <w:b/>
          <w:bCs/>
        </w:rPr>
        <w:t>分）</w:t>
      </w:r>
    </w:p>
    <w:p w14:paraId="0B130B03">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w:t>
      </w:r>
      <w:r>
        <w:rPr>
          <w:rFonts w:hint="eastAsia" w:ascii="Times New Roman" w:hAnsi="Times New Roman"/>
          <w:sz w:val="32"/>
          <w:szCs w:val="32"/>
          <w:lang w:val="en-US" w:eastAsia="zh-CN"/>
        </w:rPr>
        <w:t>与喀什市牧森图文广告部签订的</w:t>
      </w:r>
      <w:r>
        <w:rPr>
          <w:rFonts w:hint="eastAsia" w:ascii="Times New Roman" w:hAnsi="Times New Roman"/>
          <w:sz w:val="32"/>
          <w:szCs w:val="32"/>
        </w:rPr>
        <w:t>《</w:t>
      </w:r>
      <w:r>
        <w:rPr>
          <w:rFonts w:hint="eastAsia" w:ascii="Times New Roman" w:hAnsi="Times New Roman"/>
          <w:sz w:val="32"/>
          <w:szCs w:val="32"/>
          <w:lang w:val="en-US" w:eastAsia="zh-CN"/>
        </w:rPr>
        <w:t>广告制作合同</w:t>
      </w:r>
      <w:r>
        <w:rPr>
          <w:rFonts w:hint="eastAsia"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rPr>
        <w:t>以及通过现场访谈，</w:t>
      </w:r>
      <w:r>
        <w:rPr>
          <w:rFonts w:hint="eastAsia" w:ascii="Times New Roman" w:hAnsi="Times New Roman"/>
          <w:sz w:val="32"/>
          <w:szCs w:val="32"/>
          <w:lang w:val="en-US" w:eastAsia="zh-CN"/>
        </w:rPr>
        <w:t>喀什市文化体育广播电视和旅游局进行了1场演出广告宣传</w:t>
      </w:r>
      <w:r>
        <w:rPr>
          <w:rFonts w:hint="eastAsia" w:ascii="Times New Roman" w:hAnsi="Times New Roman"/>
          <w:sz w:val="32"/>
          <w:szCs w:val="32"/>
        </w:rPr>
        <w:t>，该指标完成率达到100%。根据评分标准，该指标不扣分，得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3E9C399B">
      <w:pPr>
        <w:pStyle w:val="36"/>
        <w:ind w:firstLine="643"/>
        <w:rPr>
          <w:rFonts w:ascii="Times New Roman" w:hAnsi="Times New Roman"/>
        </w:rPr>
      </w:pPr>
      <w:r>
        <w:rPr>
          <w:rFonts w:hint="eastAsia" w:ascii="Times New Roman" w:hAnsi="Times New Roman"/>
          <w:b/>
          <w:bCs/>
        </w:rPr>
        <w:t>（2）</w:t>
      </w:r>
      <w:r>
        <w:rPr>
          <w:rFonts w:hint="eastAsia" w:ascii="Times New Roman" w:hAnsi="Times New Roman" w:cs="仿宋_GB2312"/>
          <w:b/>
          <w:bCs/>
        </w:rPr>
        <w:t>租赁灯光设备数量大于等</w:t>
      </w:r>
      <w:r>
        <w:rPr>
          <w:rFonts w:hint="eastAsia" w:ascii="Times New Roman" w:hAnsi="Times New Roman"/>
          <w:b/>
          <w:bCs/>
          <w:kern w:val="2"/>
          <w:lang w:bidi="ar-SA"/>
        </w:rPr>
        <w:t>于</w:t>
      </w:r>
      <w:r>
        <w:rPr>
          <w:rFonts w:hint="eastAsia" w:ascii="Times New Roman" w:hAnsi="Times New Roman"/>
          <w:b/>
          <w:bCs/>
          <w:kern w:val="2"/>
          <w:lang w:val="en-US" w:eastAsia="zh-CN" w:bidi="ar-SA"/>
        </w:rPr>
        <w:t>2批次</w:t>
      </w:r>
      <w:r>
        <w:rPr>
          <w:rFonts w:hint="eastAsia" w:ascii="Times New Roman" w:hAnsi="Times New Roman"/>
          <w:b/>
          <w:bCs/>
          <w:kern w:val="2"/>
          <w:lang w:bidi="ar-SA"/>
        </w:rPr>
        <w:t>（</w:t>
      </w:r>
      <w:r>
        <w:rPr>
          <w:rFonts w:hint="eastAsia" w:ascii="Times New Roman" w:hAnsi="Times New Roman" w:cs="仿宋_GB2312"/>
          <w:b/>
          <w:bCs/>
        </w:rPr>
        <w:t>分值</w:t>
      </w:r>
      <w:r>
        <w:rPr>
          <w:rFonts w:hint="eastAsia" w:ascii="Times New Roman" w:hAnsi="Times New Roman"/>
          <w:b/>
          <w:bCs/>
          <w:lang w:val="en-US" w:eastAsia="zh-CN"/>
        </w:rPr>
        <w:t>3</w:t>
      </w:r>
      <w:r>
        <w:rPr>
          <w:rFonts w:hint="eastAsia" w:ascii="Times New Roman" w:hAnsi="Times New Roman" w:cs="仿宋_GB2312"/>
          <w:b/>
          <w:bCs/>
        </w:rPr>
        <w:t>分，得分</w:t>
      </w:r>
      <w:r>
        <w:rPr>
          <w:rFonts w:hint="eastAsia" w:ascii="Times New Roman" w:hAnsi="Times New Roman"/>
          <w:b/>
          <w:bCs/>
          <w:lang w:val="en-US" w:eastAsia="zh-CN"/>
        </w:rPr>
        <w:t>3</w:t>
      </w:r>
      <w:r>
        <w:rPr>
          <w:rFonts w:hint="eastAsia" w:ascii="Times New Roman" w:hAnsi="Times New Roman" w:cs="仿宋_GB2312"/>
          <w:b/>
          <w:bCs/>
        </w:rPr>
        <w:t>分）</w:t>
      </w:r>
    </w:p>
    <w:p w14:paraId="3CE7C397">
      <w:pPr>
        <w:spacing w:line="570" w:lineRule="exact"/>
        <w:ind w:firstLine="640" w:firstLineChars="200"/>
        <w:rPr>
          <w:rFonts w:hint="eastAsia" w:ascii="Times New Roman" w:hAnsi="Times New Roman"/>
          <w:sz w:val="32"/>
          <w:szCs w:val="32"/>
        </w:rPr>
      </w:pPr>
      <w:r>
        <w:rPr>
          <w:rFonts w:hint="eastAsia" w:ascii="Times New Roman" w:hAnsi="Times New Roman"/>
          <w:sz w:val="32"/>
          <w:szCs w:val="32"/>
        </w:rPr>
        <w:t>经查阅</w:t>
      </w:r>
      <w:r>
        <w:rPr>
          <w:rFonts w:hint="eastAsia" w:ascii="Times New Roman" w:hAnsi="Times New Roman"/>
          <w:sz w:val="32"/>
          <w:szCs w:val="32"/>
          <w:lang w:val="en-US" w:eastAsia="zh-CN"/>
        </w:rPr>
        <w:t>与新疆风行文化传播有限公司签订的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与新疆蕴洋文旅投资有限公司签订的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rPr>
        <w:t>以及通过现场访谈，</w:t>
      </w:r>
      <w:r>
        <w:rPr>
          <w:rFonts w:hint="eastAsia" w:ascii="Times New Roman" w:hAnsi="Times New Roman"/>
          <w:sz w:val="32"/>
          <w:szCs w:val="32"/>
          <w:lang w:val="en-US" w:eastAsia="zh-CN"/>
        </w:rPr>
        <w:t>喀什市文化体育广播电视和旅游局租赁灯光设备</w:t>
      </w:r>
      <w:r>
        <w:rPr>
          <w:rFonts w:hint="eastAsia" w:ascii="Times New Roman" w:hAnsi="Times New Roman"/>
          <w:sz w:val="32"/>
          <w:szCs w:val="32"/>
        </w:rPr>
        <w:t>数量为</w:t>
      </w:r>
      <w:r>
        <w:rPr>
          <w:rFonts w:hint="eastAsia" w:ascii="Times New Roman" w:hAnsi="Times New Roman"/>
          <w:sz w:val="32"/>
          <w:szCs w:val="32"/>
          <w:lang w:val="en-US" w:eastAsia="zh-CN"/>
        </w:rPr>
        <w:t>2批次。</w:t>
      </w:r>
      <w:r>
        <w:rPr>
          <w:rFonts w:hint="eastAsia" w:ascii="Times New Roman" w:hAnsi="Times New Roman"/>
          <w:sz w:val="32"/>
          <w:szCs w:val="32"/>
        </w:rPr>
        <w:t>该指标完成率达到100%。根据评分标准，该指标不扣分，得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58E02434">
      <w:pPr>
        <w:pStyle w:val="36"/>
        <w:ind w:firstLine="643"/>
        <w:rPr>
          <w:rFonts w:ascii="Times New Roman" w:hAnsi="Times New Roman"/>
        </w:rPr>
      </w:pPr>
      <w:r>
        <w:rPr>
          <w:rFonts w:hint="eastAsia" w:ascii="Times New Roman" w:hAnsi="Times New Roman"/>
          <w:b/>
          <w:bCs/>
        </w:rPr>
        <w:t>（</w:t>
      </w:r>
      <w:r>
        <w:rPr>
          <w:rFonts w:hint="eastAsia" w:ascii="Times New Roman" w:hAnsi="Times New Roman"/>
          <w:b/>
          <w:bCs/>
          <w:lang w:val="en-US" w:eastAsia="zh-CN"/>
        </w:rPr>
        <w:t>3</w:t>
      </w:r>
      <w:r>
        <w:rPr>
          <w:rFonts w:hint="eastAsia" w:ascii="Times New Roman" w:hAnsi="Times New Roman"/>
          <w:b/>
          <w:bCs/>
        </w:rPr>
        <w:t>）</w:t>
      </w:r>
      <w:r>
        <w:rPr>
          <w:rFonts w:hint="eastAsia" w:ascii="Times New Roman" w:hAnsi="Times New Roman" w:cs="仿宋_GB2312"/>
          <w:b/>
          <w:bCs/>
        </w:rPr>
        <w:t>演出租赁设备数量大于等</w:t>
      </w:r>
      <w:r>
        <w:rPr>
          <w:rFonts w:hint="eastAsia" w:ascii="Times New Roman" w:hAnsi="Times New Roman"/>
          <w:b/>
          <w:bCs/>
          <w:kern w:val="2"/>
          <w:lang w:bidi="ar-SA"/>
        </w:rPr>
        <w:t>于</w:t>
      </w:r>
      <w:r>
        <w:rPr>
          <w:rFonts w:hint="eastAsia" w:ascii="Times New Roman" w:hAnsi="Times New Roman"/>
          <w:b/>
          <w:bCs/>
          <w:kern w:val="2"/>
          <w:lang w:val="en-US" w:eastAsia="zh-CN" w:bidi="ar-SA"/>
        </w:rPr>
        <w:t>1批次</w:t>
      </w:r>
      <w:r>
        <w:rPr>
          <w:rFonts w:hint="eastAsia" w:ascii="Times New Roman" w:hAnsi="Times New Roman"/>
          <w:b/>
          <w:bCs/>
          <w:kern w:val="2"/>
          <w:lang w:bidi="ar-SA"/>
        </w:rPr>
        <w:t>（</w:t>
      </w:r>
      <w:r>
        <w:rPr>
          <w:rFonts w:hint="eastAsia" w:ascii="Times New Roman" w:hAnsi="Times New Roman" w:cs="仿宋_GB2312"/>
          <w:b/>
          <w:bCs/>
        </w:rPr>
        <w:t>分值</w:t>
      </w:r>
      <w:r>
        <w:rPr>
          <w:rFonts w:hint="eastAsia" w:ascii="Times New Roman" w:hAnsi="Times New Roman"/>
          <w:b/>
          <w:bCs/>
          <w:lang w:val="en-US" w:eastAsia="zh-CN"/>
        </w:rPr>
        <w:t>4</w:t>
      </w:r>
      <w:r>
        <w:rPr>
          <w:rFonts w:hint="eastAsia" w:ascii="Times New Roman" w:hAnsi="Times New Roman" w:cs="仿宋_GB2312"/>
          <w:b/>
          <w:bCs/>
        </w:rPr>
        <w:t>分，得分</w:t>
      </w:r>
      <w:r>
        <w:rPr>
          <w:rFonts w:hint="eastAsia" w:ascii="Times New Roman" w:hAnsi="Times New Roman"/>
          <w:b/>
          <w:bCs/>
          <w:lang w:val="en-US" w:eastAsia="zh-CN"/>
        </w:rPr>
        <w:t>4</w:t>
      </w:r>
      <w:r>
        <w:rPr>
          <w:rFonts w:hint="eastAsia" w:ascii="Times New Roman" w:hAnsi="Times New Roman" w:cs="仿宋_GB2312"/>
          <w:b/>
          <w:bCs/>
        </w:rPr>
        <w:t>分）</w:t>
      </w:r>
    </w:p>
    <w:p w14:paraId="48C6902E">
      <w:pPr>
        <w:spacing w:line="570" w:lineRule="exact"/>
        <w:ind w:firstLine="640" w:firstLineChars="200"/>
        <w:rPr>
          <w:rFonts w:ascii="Times New Roman" w:hAnsi="Times New Roman"/>
        </w:rPr>
      </w:pPr>
      <w:r>
        <w:rPr>
          <w:rFonts w:hint="eastAsia" w:ascii="Times New Roman" w:hAnsi="Times New Roman"/>
          <w:sz w:val="32"/>
          <w:szCs w:val="32"/>
        </w:rPr>
        <w:t>经查阅</w:t>
      </w:r>
      <w:r>
        <w:rPr>
          <w:rFonts w:hint="eastAsia" w:ascii="Times New Roman" w:hAnsi="Times New Roman"/>
          <w:sz w:val="32"/>
          <w:szCs w:val="32"/>
          <w:lang w:val="en-US" w:eastAsia="zh-CN"/>
        </w:rPr>
        <w:t>与新疆丝路兄弟文化发展有限公司签订的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rPr>
        <w:t>以及通过现场访谈，</w:t>
      </w:r>
      <w:r>
        <w:rPr>
          <w:rFonts w:hint="eastAsia" w:ascii="Times New Roman" w:hAnsi="Times New Roman"/>
          <w:sz w:val="32"/>
          <w:szCs w:val="32"/>
          <w:lang w:val="en-US" w:eastAsia="zh-CN"/>
        </w:rPr>
        <w:t>喀什市文化体育广播电视和旅游局演出租赁设备</w:t>
      </w:r>
      <w:r>
        <w:rPr>
          <w:rFonts w:hint="eastAsia" w:ascii="Times New Roman" w:hAnsi="Times New Roman"/>
          <w:sz w:val="32"/>
          <w:szCs w:val="32"/>
        </w:rPr>
        <w:t>数量为</w:t>
      </w:r>
      <w:r>
        <w:rPr>
          <w:rFonts w:hint="eastAsia" w:ascii="Times New Roman" w:hAnsi="Times New Roman"/>
          <w:sz w:val="32"/>
          <w:szCs w:val="32"/>
          <w:lang w:eastAsia="zh-CN"/>
        </w:rPr>
        <w:t>1批次</w:t>
      </w:r>
      <w:r>
        <w:rPr>
          <w:rFonts w:hint="eastAsia" w:ascii="Times New Roman" w:hAnsi="Times New Roman"/>
          <w:sz w:val="32"/>
          <w:szCs w:val="32"/>
        </w:rPr>
        <w:t>，该指标完成率达到100%。根据评分标准，该指标不扣分，得</w:t>
      </w:r>
      <w:r>
        <w:rPr>
          <w:rFonts w:hint="eastAsia" w:ascii="Times New Roman" w:hAnsi="Times New Roman"/>
          <w:sz w:val="32"/>
          <w:szCs w:val="32"/>
          <w:lang w:val="en-US" w:eastAsia="zh-CN"/>
        </w:rPr>
        <w:t>4</w:t>
      </w:r>
      <w:r>
        <w:rPr>
          <w:rFonts w:hint="eastAsia" w:ascii="Times New Roman" w:hAnsi="Times New Roman"/>
          <w:sz w:val="32"/>
          <w:szCs w:val="32"/>
        </w:rPr>
        <w:t>分。</w:t>
      </w:r>
    </w:p>
    <w:p w14:paraId="568D7AB3">
      <w:pPr>
        <w:spacing w:line="560" w:lineRule="exact"/>
        <w:ind w:firstLine="643" w:firstLineChars="200"/>
        <w:rPr>
          <w:rFonts w:ascii="Times New Roman" w:hAnsi="Times New Roman"/>
          <w:b/>
          <w:bCs/>
          <w:kern w:val="0"/>
          <w:sz w:val="32"/>
          <w:szCs w:val="32"/>
          <w:lang w:bidi="en-US"/>
        </w:rPr>
      </w:pPr>
      <w:bookmarkStart w:id="576" w:name="_Toc7991"/>
      <w:bookmarkStart w:id="577" w:name="_Toc9298"/>
      <w:r>
        <w:rPr>
          <w:rFonts w:hint="eastAsia" w:ascii="Times New Roman" w:hAnsi="Times New Roman"/>
          <w:b/>
          <w:bCs/>
          <w:kern w:val="0"/>
          <w:sz w:val="32"/>
          <w:szCs w:val="32"/>
          <w:lang w:bidi="en-US"/>
        </w:rPr>
        <w:t>综上，产出数量指标得10分。</w:t>
      </w:r>
    </w:p>
    <w:p w14:paraId="204B887E">
      <w:pPr>
        <w:spacing w:line="560" w:lineRule="exact"/>
        <w:ind w:firstLine="643" w:firstLineChars="200"/>
        <w:jc w:val="left"/>
        <w:rPr>
          <w:rFonts w:ascii="Times New Roman" w:hAnsi="Times New Roman"/>
          <w:b/>
          <w:bCs/>
          <w:kern w:val="0"/>
          <w:sz w:val="32"/>
          <w:szCs w:val="32"/>
          <w:lang w:bidi="en-US"/>
        </w:rPr>
      </w:pPr>
      <w:r>
        <w:rPr>
          <w:rFonts w:ascii="Times New Roman" w:hAnsi="Times New Roman"/>
          <w:b/>
          <w:bCs/>
          <w:kern w:val="0"/>
          <w:sz w:val="32"/>
          <w:szCs w:val="32"/>
          <w:lang w:bidi="en-US"/>
        </w:rPr>
        <w:t>2.产出质量（分值</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w:t>
      </w:r>
      <w:bookmarkEnd w:id="576"/>
      <w:bookmarkEnd w:id="577"/>
    </w:p>
    <w:p w14:paraId="68F495F4">
      <w:pPr>
        <w:pStyle w:val="36"/>
        <w:ind w:firstLine="643"/>
        <w:rPr>
          <w:rFonts w:ascii="Times New Roman" w:hAnsi="Times New Roman"/>
          <w:b/>
          <w:bCs/>
        </w:rPr>
      </w:pPr>
      <w:r>
        <w:rPr>
          <w:rFonts w:hint="eastAsia" w:ascii="Times New Roman" w:hAnsi="Times New Roman" w:cs="仿宋_GB2312"/>
          <w:b/>
          <w:bCs/>
          <w:lang w:val="en-US" w:eastAsia="zh-CN"/>
        </w:rPr>
        <w:t>设备</w:t>
      </w:r>
      <w:r>
        <w:rPr>
          <w:rFonts w:ascii="Times New Roman" w:hAnsi="Times New Roman"/>
          <w:b/>
          <w:bCs/>
        </w:rPr>
        <w:t>验收合格率</w:t>
      </w:r>
      <w:r>
        <w:rPr>
          <w:rFonts w:hint="eastAsia" w:ascii="Times New Roman" w:hAnsi="Times New Roman"/>
          <w:b/>
          <w:bCs/>
        </w:rPr>
        <w:t>等于</w:t>
      </w:r>
      <w:r>
        <w:rPr>
          <w:rFonts w:ascii="Times New Roman" w:hAnsi="Times New Roman"/>
          <w:b/>
          <w:bCs/>
        </w:rPr>
        <w:t>100%（分值</w:t>
      </w:r>
      <w:r>
        <w:rPr>
          <w:rFonts w:hint="eastAsia" w:ascii="Times New Roman" w:hAnsi="Times New Roman"/>
          <w:b/>
          <w:bCs/>
        </w:rPr>
        <w:t>5</w:t>
      </w:r>
      <w:r>
        <w:rPr>
          <w:rFonts w:ascii="Times New Roman" w:hAnsi="Times New Roman"/>
          <w:b/>
          <w:bCs/>
        </w:rPr>
        <w:t>分，得分</w:t>
      </w:r>
      <w:r>
        <w:rPr>
          <w:rFonts w:hint="eastAsia" w:ascii="Times New Roman" w:hAnsi="Times New Roman"/>
          <w:b/>
          <w:bCs/>
        </w:rPr>
        <w:t>5</w:t>
      </w:r>
      <w:r>
        <w:rPr>
          <w:rFonts w:ascii="Times New Roman" w:hAnsi="Times New Roman"/>
          <w:b/>
          <w:bCs/>
        </w:rPr>
        <w:t>分）</w:t>
      </w:r>
    </w:p>
    <w:p w14:paraId="34448AB4">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w:t>
      </w:r>
      <w:r>
        <w:rPr>
          <w:rFonts w:hint="eastAsia" w:ascii="Times New Roman" w:hAnsi="Times New Roman"/>
          <w:sz w:val="32"/>
          <w:szCs w:val="32"/>
          <w:lang w:val="en-US" w:eastAsia="zh-CN"/>
        </w:rPr>
        <w:t>与新疆风行文化传播有限公司签订的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与新疆蕴洋文旅投资有限公司签订的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与新疆丝路兄弟文化发展有限公司签订的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rPr>
        <w:t>，</w:t>
      </w:r>
      <w:r>
        <w:rPr>
          <w:rFonts w:hint="default" w:ascii="Times New Roman" w:hAnsi="Times New Roman" w:eastAsia="仿宋_GB2312" w:cs="Times New Roman"/>
          <w:color w:val="auto"/>
          <w:sz w:val="32"/>
          <w:szCs w:val="32"/>
          <w:highlight w:val="none"/>
        </w:rPr>
        <w:t>均已通过验收，设备验收合格率等于100%，根据评分标准，该指标不扣分，得</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分。</w:t>
      </w:r>
    </w:p>
    <w:p w14:paraId="08BE1653">
      <w:pPr>
        <w:spacing w:line="560" w:lineRule="exact"/>
        <w:ind w:firstLine="643" w:firstLineChars="200"/>
        <w:rPr>
          <w:rFonts w:ascii="Times New Roman" w:hAnsi="Times New Roman"/>
          <w:sz w:val="32"/>
          <w:szCs w:val="32"/>
        </w:rPr>
      </w:pPr>
      <w:r>
        <w:rPr>
          <w:rFonts w:hint="eastAsia" w:ascii="Times New Roman" w:hAnsi="Times New Roman"/>
          <w:b/>
          <w:bCs/>
          <w:kern w:val="0"/>
          <w:sz w:val="32"/>
          <w:szCs w:val="32"/>
          <w:lang w:bidi="en-US"/>
        </w:rPr>
        <w:t>综上，产出质量指标得</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27872E45">
      <w:pPr>
        <w:spacing w:line="560" w:lineRule="exact"/>
        <w:ind w:firstLine="643" w:firstLineChars="200"/>
        <w:jc w:val="left"/>
        <w:rPr>
          <w:rFonts w:ascii="Times New Roman" w:hAnsi="Times New Roman"/>
          <w:b/>
          <w:bCs/>
          <w:kern w:val="0"/>
          <w:sz w:val="32"/>
          <w:szCs w:val="32"/>
          <w:lang w:bidi="en-US"/>
        </w:rPr>
      </w:pPr>
      <w:bookmarkStart w:id="578" w:name="_Toc11298"/>
      <w:r>
        <w:rPr>
          <w:rFonts w:ascii="Times New Roman" w:hAnsi="Times New Roman"/>
          <w:b/>
          <w:bCs/>
          <w:kern w:val="0"/>
          <w:sz w:val="32"/>
          <w:szCs w:val="32"/>
          <w:lang w:bidi="en-US"/>
        </w:rPr>
        <w:t>3.产出时效（分值</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w:t>
      </w:r>
      <w:bookmarkEnd w:id="578"/>
    </w:p>
    <w:p w14:paraId="41631EB1">
      <w:pPr>
        <w:pStyle w:val="36"/>
        <w:ind w:firstLine="643"/>
        <w:rPr>
          <w:rFonts w:ascii="Times New Roman" w:hAnsi="Times New Roman"/>
          <w:b/>
          <w:bCs/>
        </w:rPr>
      </w:pPr>
      <w:bookmarkStart w:id="579" w:name="_Toc2600"/>
      <w:r>
        <w:rPr>
          <w:rFonts w:hint="eastAsia" w:ascii="Times New Roman" w:hAnsi="Times New Roman"/>
          <w:b/>
          <w:bCs/>
        </w:rPr>
        <w:t>设备租赁及时率</w:t>
      </w:r>
      <w:r>
        <w:rPr>
          <w:rFonts w:hint="eastAsia" w:ascii="Times New Roman" w:hAnsi="Times New Roman"/>
          <w:b/>
          <w:bCs/>
          <w:lang w:val="en-US" w:eastAsia="zh-CN"/>
        </w:rPr>
        <w:t>等于100%</w:t>
      </w:r>
      <w:r>
        <w:rPr>
          <w:rFonts w:ascii="Times New Roman" w:hAnsi="Times New Roman"/>
          <w:b/>
          <w:bCs/>
        </w:rPr>
        <w:t>（分值</w:t>
      </w:r>
      <w:r>
        <w:rPr>
          <w:rFonts w:hint="eastAsia" w:ascii="Times New Roman" w:hAnsi="Times New Roman"/>
          <w:b/>
          <w:bCs/>
          <w:lang w:val="en-US" w:eastAsia="zh-CN"/>
        </w:rPr>
        <w:t>5</w:t>
      </w:r>
      <w:r>
        <w:rPr>
          <w:rFonts w:ascii="Times New Roman" w:hAnsi="Times New Roman"/>
          <w:b/>
          <w:bCs/>
        </w:rPr>
        <w:t>分，得分</w:t>
      </w:r>
      <w:r>
        <w:rPr>
          <w:rFonts w:hint="eastAsia" w:ascii="Times New Roman" w:hAnsi="Times New Roman"/>
          <w:b/>
          <w:bCs/>
          <w:lang w:val="en-US" w:eastAsia="zh-CN"/>
        </w:rPr>
        <w:t>5</w:t>
      </w:r>
      <w:r>
        <w:rPr>
          <w:rFonts w:ascii="Times New Roman" w:hAnsi="Times New Roman"/>
          <w:b/>
          <w:bCs/>
        </w:rPr>
        <w:t>分）</w:t>
      </w:r>
    </w:p>
    <w:p w14:paraId="100C25AF">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w:t>
      </w:r>
      <w:r>
        <w:rPr>
          <w:rFonts w:hint="eastAsia" w:ascii="Times New Roman" w:hAnsi="Times New Roman"/>
          <w:sz w:val="32"/>
          <w:szCs w:val="32"/>
          <w:lang w:val="en-US" w:eastAsia="zh-CN"/>
        </w:rPr>
        <w:t>与新疆风行文化传播有限公司签订的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与新疆蕴洋文旅投资有限公司签订的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与新疆丝路兄弟文化发展有限公司签订的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rPr>
        <w:t>，</w:t>
      </w:r>
      <w:r>
        <w:rPr>
          <w:rFonts w:hint="default" w:ascii="Times New Roman" w:hAnsi="Times New Roman" w:eastAsia="仿宋_GB2312" w:cs="Times New Roman"/>
          <w:color w:val="auto"/>
          <w:sz w:val="32"/>
          <w:szCs w:val="32"/>
          <w:highlight w:val="none"/>
        </w:rPr>
        <w:t>均已</w:t>
      </w:r>
      <w:r>
        <w:rPr>
          <w:rFonts w:hint="eastAsia" w:ascii="Times New Roman" w:hAnsi="Times New Roman" w:cs="Times New Roman"/>
          <w:color w:val="auto"/>
          <w:sz w:val="32"/>
          <w:szCs w:val="32"/>
          <w:highlight w:val="none"/>
          <w:lang w:val="en-US" w:eastAsia="zh-CN"/>
        </w:rPr>
        <w:t>及时租赁</w:t>
      </w:r>
      <w:r>
        <w:rPr>
          <w:rFonts w:hint="default" w:ascii="Times New Roman" w:hAnsi="Times New Roman" w:eastAsia="仿宋_GB2312" w:cs="Times New Roman"/>
          <w:color w:val="auto"/>
          <w:sz w:val="32"/>
          <w:szCs w:val="32"/>
          <w:highlight w:val="none"/>
        </w:rPr>
        <w:t>，</w:t>
      </w:r>
      <w:r>
        <w:rPr>
          <w:rFonts w:hint="eastAsia" w:ascii="Times New Roman" w:hAnsi="Times New Roman" w:cs="Times New Roman"/>
          <w:color w:val="auto"/>
          <w:sz w:val="32"/>
          <w:szCs w:val="32"/>
          <w:highlight w:val="none"/>
          <w:lang w:val="en-US" w:eastAsia="zh-CN"/>
        </w:rPr>
        <w:t>设备租赁及时率</w:t>
      </w:r>
      <w:r>
        <w:rPr>
          <w:rFonts w:hint="default" w:ascii="Times New Roman" w:hAnsi="Times New Roman" w:eastAsia="仿宋_GB2312" w:cs="Times New Roman"/>
          <w:color w:val="auto"/>
          <w:sz w:val="32"/>
          <w:szCs w:val="32"/>
          <w:highlight w:val="none"/>
        </w:rPr>
        <w:t>等于100%，根据评分标准，该指标不扣分，得</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分。</w:t>
      </w:r>
    </w:p>
    <w:p w14:paraId="7ABE6EC6">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综上，产出时效指标得</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27373A31">
      <w:pPr>
        <w:spacing w:line="560" w:lineRule="exact"/>
        <w:ind w:firstLine="643" w:firstLineChars="200"/>
        <w:jc w:val="left"/>
        <w:rPr>
          <w:rFonts w:ascii="Times New Roman" w:hAnsi="Times New Roman"/>
          <w:b/>
          <w:bCs/>
          <w:kern w:val="0"/>
          <w:sz w:val="32"/>
          <w:szCs w:val="32"/>
          <w:lang w:bidi="en-US"/>
        </w:rPr>
      </w:pPr>
      <w:r>
        <w:rPr>
          <w:rFonts w:ascii="Times New Roman" w:hAnsi="Times New Roman"/>
          <w:b/>
          <w:bCs/>
          <w:kern w:val="0"/>
          <w:sz w:val="32"/>
          <w:szCs w:val="32"/>
          <w:lang w:bidi="en-US"/>
        </w:rPr>
        <w:t>4.产出成本（分值10分，得分</w:t>
      </w:r>
      <w:r>
        <w:rPr>
          <w:rFonts w:hint="eastAsia" w:ascii="Times New Roman" w:hAnsi="Times New Roman"/>
          <w:b/>
          <w:bCs/>
          <w:kern w:val="0"/>
          <w:sz w:val="32"/>
          <w:szCs w:val="32"/>
          <w:lang w:bidi="en-US"/>
        </w:rPr>
        <w:t>10</w:t>
      </w:r>
      <w:r>
        <w:rPr>
          <w:rFonts w:ascii="Times New Roman" w:hAnsi="Times New Roman"/>
          <w:b/>
          <w:bCs/>
          <w:kern w:val="0"/>
          <w:sz w:val="32"/>
          <w:szCs w:val="32"/>
          <w:lang w:bidi="en-US"/>
        </w:rPr>
        <w:t>分）</w:t>
      </w:r>
      <w:bookmarkEnd w:id="579"/>
    </w:p>
    <w:p w14:paraId="2B015DE7">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（1）演出切割灯租赁费支出小于等于</w:t>
      </w:r>
      <w:r>
        <w:rPr>
          <w:rFonts w:hint="eastAsia" w:ascii="Times New Roman" w:hAnsi="Times New Roman"/>
          <w:b/>
          <w:bCs/>
          <w:kern w:val="0"/>
          <w:sz w:val="32"/>
          <w:szCs w:val="32"/>
          <w:lang w:val="en-US" w:eastAsia="zh-CN" w:bidi="en-US"/>
        </w:rPr>
        <w:t>0.77</w:t>
      </w:r>
      <w:r>
        <w:rPr>
          <w:rFonts w:hint="eastAsia" w:ascii="Times New Roman" w:hAnsi="Times New Roman"/>
          <w:b/>
          <w:bCs/>
          <w:kern w:val="0"/>
          <w:sz w:val="32"/>
          <w:szCs w:val="32"/>
          <w:lang w:bidi="en-US"/>
        </w:rPr>
        <w:t>万元（分值</w:t>
      </w:r>
      <w:r>
        <w:rPr>
          <w:rFonts w:hint="eastAsia" w:ascii="Times New Roman" w:hAnsi="Times New Roman"/>
          <w:b/>
          <w:bCs/>
          <w:kern w:val="0"/>
          <w:sz w:val="32"/>
          <w:szCs w:val="32"/>
          <w:lang w:val="en-US" w:eastAsia="zh-CN" w:bidi="en-US"/>
        </w:rPr>
        <w:t>1</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1</w:t>
      </w:r>
      <w:r>
        <w:rPr>
          <w:rFonts w:hint="eastAsia" w:ascii="Times New Roman" w:hAnsi="Times New Roman"/>
          <w:b/>
          <w:bCs/>
          <w:kern w:val="0"/>
          <w:sz w:val="32"/>
          <w:szCs w:val="32"/>
          <w:lang w:bidi="en-US"/>
        </w:rPr>
        <w:t>分）</w:t>
      </w:r>
    </w:p>
    <w:p w14:paraId="54AB7E23">
      <w:pPr>
        <w:spacing w:line="570" w:lineRule="exact"/>
        <w:ind w:firstLine="640" w:firstLineChars="200"/>
        <w:rPr>
          <w:rFonts w:ascii="Times New Roman" w:hAnsi="Times New Roman"/>
          <w:sz w:val="32"/>
          <w:szCs w:val="32"/>
        </w:rPr>
      </w:pPr>
      <w:r>
        <w:rPr>
          <w:rFonts w:hint="eastAsia" w:ascii="Times New Roman" w:hAnsi="Times New Roman"/>
          <w:sz w:val="32"/>
          <w:szCs w:val="32"/>
        </w:rPr>
        <w:t>经查阅“国库集中支付凭证”“记账凭证”“电子发票（普通发票）”、</w:t>
      </w:r>
      <w:r>
        <w:rPr>
          <w:rFonts w:hint="eastAsia" w:ascii="Times New Roman" w:hAnsi="Times New Roman"/>
          <w:sz w:val="32"/>
          <w:szCs w:val="32"/>
          <w:lang w:val="en-US" w:eastAsia="zh-CN"/>
        </w:rPr>
        <w:t>与新疆蕴洋文旅投资有限公司签订的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val="en-US" w:eastAsia="zh-CN"/>
        </w:rPr>
        <w:t>演出切割灯租赁费为0.77</w:t>
      </w:r>
      <w:r>
        <w:rPr>
          <w:rFonts w:hint="eastAsia" w:ascii="Times New Roman" w:hAnsi="Times New Roman"/>
          <w:sz w:val="32"/>
          <w:szCs w:val="32"/>
        </w:rPr>
        <w:t>万元，已全部支付完毕，指标完成率为100%，根据评分标准，该指标不扣分，得</w:t>
      </w:r>
      <w:r>
        <w:rPr>
          <w:rFonts w:hint="eastAsia" w:ascii="Times New Roman" w:hAnsi="Times New Roman"/>
          <w:sz w:val="32"/>
          <w:szCs w:val="32"/>
          <w:lang w:val="en-US" w:eastAsia="zh-CN"/>
        </w:rPr>
        <w:t>1</w:t>
      </w:r>
      <w:r>
        <w:rPr>
          <w:rFonts w:hint="eastAsia" w:ascii="Times New Roman" w:hAnsi="Times New Roman"/>
          <w:sz w:val="32"/>
          <w:szCs w:val="32"/>
        </w:rPr>
        <w:t>分。</w:t>
      </w:r>
    </w:p>
    <w:p w14:paraId="541F9539">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）演出摇头灯租赁费支出小于等于</w:t>
      </w:r>
      <w:r>
        <w:rPr>
          <w:rFonts w:hint="eastAsia" w:ascii="Times New Roman" w:hAnsi="Times New Roman"/>
          <w:b/>
          <w:bCs/>
          <w:kern w:val="0"/>
          <w:sz w:val="32"/>
          <w:szCs w:val="32"/>
          <w:lang w:val="en-US" w:eastAsia="zh-CN" w:bidi="en-US"/>
        </w:rPr>
        <w:t>20.57万元</w:t>
      </w:r>
      <w:r>
        <w:rPr>
          <w:rFonts w:hint="eastAsia" w:ascii="Times New Roman" w:hAnsi="Times New Roman"/>
          <w:b/>
          <w:bCs/>
          <w:kern w:val="0"/>
          <w:sz w:val="32"/>
          <w:szCs w:val="32"/>
          <w:lang w:bidi="en-US"/>
        </w:rPr>
        <w:t>（分值</w:t>
      </w:r>
      <w:r>
        <w:rPr>
          <w:rFonts w:hint="eastAsia" w:ascii="Times New Roman" w:hAnsi="Times New Roman"/>
          <w:b/>
          <w:bCs/>
          <w:kern w:val="0"/>
          <w:sz w:val="32"/>
          <w:szCs w:val="32"/>
          <w:lang w:val="en-US" w:eastAsia="zh-CN" w:bidi="en-US"/>
        </w:rPr>
        <w:t>3</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3</w:t>
      </w:r>
      <w:r>
        <w:rPr>
          <w:rFonts w:hint="eastAsia" w:ascii="Times New Roman" w:hAnsi="Times New Roman"/>
          <w:b/>
          <w:bCs/>
          <w:kern w:val="0"/>
          <w:sz w:val="32"/>
          <w:szCs w:val="32"/>
          <w:lang w:bidi="en-US"/>
        </w:rPr>
        <w:t>分）</w:t>
      </w:r>
    </w:p>
    <w:p w14:paraId="040A5BE1">
      <w:pPr>
        <w:spacing w:line="570" w:lineRule="exact"/>
        <w:ind w:firstLine="640" w:firstLineChars="200"/>
        <w:rPr>
          <w:rFonts w:ascii="Times New Roman" w:hAnsi="Times New Roman"/>
        </w:rPr>
      </w:pPr>
      <w:r>
        <w:rPr>
          <w:rFonts w:hint="eastAsia" w:ascii="Times New Roman" w:hAnsi="Times New Roman"/>
          <w:sz w:val="32"/>
          <w:szCs w:val="32"/>
        </w:rPr>
        <w:t>经查阅“国库集中支付凭证”“记账凭证”“电子发票（普通发票）”、</w:t>
      </w:r>
      <w:r>
        <w:rPr>
          <w:rFonts w:hint="eastAsia" w:ascii="Times New Roman" w:hAnsi="Times New Roman"/>
          <w:sz w:val="32"/>
          <w:szCs w:val="32"/>
          <w:lang w:val="en-US" w:eastAsia="zh-CN"/>
        </w:rPr>
        <w:t>与新疆风行文化传播有限公司签订的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val="en-US" w:eastAsia="zh-CN"/>
        </w:rPr>
        <w:t>演出摇头灯租赁费为20.57</w:t>
      </w:r>
      <w:r>
        <w:rPr>
          <w:rFonts w:hint="eastAsia" w:ascii="Times New Roman" w:hAnsi="Times New Roman"/>
          <w:sz w:val="32"/>
          <w:szCs w:val="32"/>
        </w:rPr>
        <w:t>万元，已全部支付完毕，指标完成率为100%，根据评分标准，该指标不扣分，得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4D1DD4DC">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3</w:t>
      </w:r>
      <w:r>
        <w:rPr>
          <w:rFonts w:hint="eastAsia" w:ascii="Times New Roman" w:hAnsi="Times New Roman"/>
          <w:b/>
          <w:bCs/>
          <w:kern w:val="0"/>
          <w:sz w:val="32"/>
          <w:szCs w:val="32"/>
          <w:lang w:bidi="en-US"/>
        </w:rPr>
        <w:t>）演出设备租赁费支出小于等于</w:t>
      </w:r>
      <w:r>
        <w:rPr>
          <w:rFonts w:hint="eastAsia" w:ascii="Times New Roman" w:hAnsi="Times New Roman"/>
          <w:b/>
          <w:bCs/>
          <w:kern w:val="0"/>
          <w:sz w:val="32"/>
          <w:szCs w:val="32"/>
          <w:lang w:val="en-US" w:eastAsia="zh-CN" w:bidi="en-US"/>
        </w:rPr>
        <w:t>24.99万元</w:t>
      </w:r>
      <w:r>
        <w:rPr>
          <w:rFonts w:hint="eastAsia" w:ascii="Times New Roman" w:hAnsi="Times New Roman"/>
          <w:b/>
          <w:bCs/>
          <w:kern w:val="0"/>
          <w:sz w:val="32"/>
          <w:szCs w:val="32"/>
          <w:lang w:bidi="en-US"/>
        </w:rPr>
        <w:t>（分值</w:t>
      </w:r>
      <w:r>
        <w:rPr>
          <w:rFonts w:hint="eastAsia" w:ascii="Times New Roman" w:hAnsi="Times New Roman"/>
          <w:b/>
          <w:bCs/>
          <w:kern w:val="0"/>
          <w:sz w:val="32"/>
          <w:szCs w:val="32"/>
          <w:lang w:val="en-US" w:eastAsia="zh-CN" w:bidi="en-US"/>
        </w:rPr>
        <w:t>3</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3</w:t>
      </w:r>
      <w:r>
        <w:rPr>
          <w:rFonts w:hint="eastAsia" w:ascii="Times New Roman" w:hAnsi="Times New Roman"/>
          <w:b/>
          <w:bCs/>
          <w:kern w:val="0"/>
          <w:sz w:val="32"/>
          <w:szCs w:val="32"/>
          <w:lang w:bidi="en-US"/>
        </w:rPr>
        <w:t>分）</w:t>
      </w:r>
    </w:p>
    <w:p w14:paraId="0506AB03">
      <w:pPr>
        <w:spacing w:line="570" w:lineRule="exact"/>
        <w:ind w:firstLine="640" w:firstLineChars="200"/>
        <w:rPr>
          <w:rFonts w:ascii="Times New Roman" w:hAnsi="Times New Roman"/>
        </w:rPr>
      </w:pPr>
      <w:r>
        <w:rPr>
          <w:rFonts w:hint="eastAsia" w:ascii="Times New Roman" w:hAnsi="Times New Roman"/>
          <w:sz w:val="32"/>
          <w:szCs w:val="32"/>
        </w:rPr>
        <w:t>经查阅“国库集中支付凭证”“记账凭证”“电子发票（普通发票）”、</w:t>
      </w:r>
      <w:r>
        <w:rPr>
          <w:rFonts w:hint="eastAsia" w:ascii="Times New Roman" w:hAnsi="Times New Roman"/>
          <w:sz w:val="32"/>
          <w:szCs w:val="32"/>
          <w:lang w:val="en-US" w:eastAsia="zh-CN"/>
        </w:rPr>
        <w:t>与新疆丝路兄弟文化发展有限公司签订的</w:t>
      </w:r>
      <w:r>
        <w:rPr>
          <w:rFonts w:hint="eastAsia" w:ascii="Times New Roman" w:hAnsi="Times New Roman"/>
          <w:sz w:val="32"/>
          <w:szCs w:val="32"/>
        </w:rPr>
        <w:t>《</w:t>
      </w:r>
      <w:r>
        <w:rPr>
          <w:rFonts w:hint="eastAsia" w:ascii="Times New Roman" w:hAnsi="Times New Roman"/>
          <w:sz w:val="32"/>
          <w:szCs w:val="32"/>
          <w:lang w:val="en-US" w:eastAsia="zh-CN"/>
        </w:rPr>
        <w:t>新疆是个好地方演出设备租赁合同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val="en-US" w:eastAsia="zh-CN"/>
        </w:rPr>
        <w:t>演出设备租赁费为24.99</w:t>
      </w:r>
      <w:r>
        <w:rPr>
          <w:rFonts w:hint="eastAsia" w:ascii="Times New Roman" w:hAnsi="Times New Roman"/>
          <w:sz w:val="32"/>
          <w:szCs w:val="32"/>
        </w:rPr>
        <w:t>万元，已全部支付完毕，指标完成率为100%，根据评分标准，该指标不扣分，得</w:t>
      </w:r>
      <w:r>
        <w:rPr>
          <w:rFonts w:hint="eastAsia" w:ascii="Times New Roman" w:hAnsi="Times New Roman"/>
          <w:sz w:val="32"/>
          <w:szCs w:val="32"/>
          <w:lang w:val="en-US" w:eastAsia="zh-CN"/>
        </w:rPr>
        <w:t>3</w:t>
      </w:r>
      <w:r>
        <w:rPr>
          <w:rFonts w:hint="eastAsia" w:ascii="Times New Roman" w:hAnsi="Times New Roman"/>
          <w:sz w:val="32"/>
          <w:szCs w:val="32"/>
        </w:rPr>
        <w:t>分。</w:t>
      </w:r>
    </w:p>
    <w:p w14:paraId="55775ED7">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4</w:t>
      </w:r>
      <w:r>
        <w:rPr>
          <w:rFonts w:hint="eastAsia" w:ascii="Times New Roman" w:hAnsi="Times New Roman"/>
          <w:b/>
          <w:bCs/>
          <w:kern w:val="0"/>
          <w:sz w:val="32"/>
          <w:szCs w:val="32"/>
          <w:lang w:bidi="en-US"/>
        </w:rPr>
        <w:t>）演出送餐保障</w:t>
      </w:r>
      <w:r>
        <w:rPr>
          <w:rFonts w:hint="eastAsia" w:ascii="Times New Roman" w:hAnsi="Times New Roman"/>
          <w:b/>
          <w:bCs/>
          <w:kern w:val="0"/>
          <w:sz w:val="32"/>
          <w:szCs w:val="32"/>
          <w:lang w:eastAsia="zh-CN" w:bidi="en-US"/>
        </w:rPr>
        <w:t>资金</w:t>
      </w:r>
      <w:r>
        <w:rPr>
          <w:rFonts w:hint="eastAsia" w:ascii="Times New Roman" w:hAnsi="Times New Roman"/>
          <w:b/>
          <w:bCs/>
          <w:kern w:val="0"/>
          <w:sz w:val="32"/>
          <w:szCs w:val="32"/>
          <w:lang w:bidi="en-US"/>
        </w:rPr>
        <w:t>支出小于等于</w:t>
      </w:r>
      <w:r>
        <w:rPr>
          <w:rFonts w:hint="eastAsia" w:ascii="Times New Roman" w:hAnsi="Times New Roman"/>
          <w:b/>
          <w:bCs/>
          <w:kern w:val="0"/>
          <w:sz w:val="32"/>
          <w:szCs w:val="32"/>
          <w:lang w:val="en-US" w:eastAsia="zh-CN" w:bidi="en-US"/>
        </w:rPr>
        <w:t>0.58万元</w:t>
      </w:r>
      <w:r>
        <w:rPr>
          <w:rFonts w:hint="eastAsia" w:ascii="Times New Roman" w:hAnsi="Times New Roman"/>
          <w:b/>
          <w:bCs/>
          <w:kern w:val="0"/>
          <w:sz w:val="32"/>
          <w:szCs w:val="32"/>
          <w:lang w:bidi="en-US"/>
        </w:rPr>
        <w:t>（分值</w:t>
      </w:r>
      <w:r>
        <w:rPr>
          <w:rFonts w:hint="eastAsia" w:ascii="Times New Roman" w:hAnsi="Times New Roman"/>
          <w:b/>
          <w:bCs/>
          <w:kern w:val="0"/>
          <w:sz w:val="32"/>
          <w:szCs w:val="32"/>
          <w:lang w:val="en-US" w:eastAsia="zh-CN" w:bidi="en-US"/>
        </w:rPr>
        <w:t>1</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1</w:t>
      </w:r>
      <w:r>
        <w:rPr>
          <w:rFonts w:hint="eastAsia" w:ascii="Times New Roman" w:hAnsi="Times New Roman"/>
          <w:b/>
          <w:bCs/>
          <w:kern w:val="0"/>
          <w:sz w:val="32"/>
          <w:szCs w:val="32"/>
          <w:lang w:bidi="en-US"/>
        </w:rPr>
        <w:t>分）</w:t>
      </w:r>
    </w:p>
    <w:p w14:paraId="2247F14E">
      <w:pPr>
        <w:spacing w:line="570" w:lineRule="exact"/>
        <w:ind w:firstLine="640" w:firstLineChars="200"/>
        <w:rPr>
          <w:rFonts w:hint="eastAsia" w:ascii="Times New Roman" w:hAnsi="Times New Roman"/>
          <w:sz w:val="32"/>
          <w:szCs w:val="32"/>
        </w:rPr>
      </w:pPr>
      <w:r>
        <w:rPr>
          <w:rFonts w:hint="eastAsia" w:ascii="Times New Roman" w:hAnsi="Times New Roman"/>
          <w:sz w:val="32"/>
          <w:szCs w:val="32"/>
        </w:rPr>
        <w:t>经查阅“国库集中支付凭证”“记账凭证”、</w:t>
      </w:r>
      <w:r>
        <w:rPr>
          <w:rFonts w:hint="eastAsia" w:ascii="Times New Roman" w:hAnsi="Times New Roman"/>
          <w:sz w:val="32"/>
          <w:szCs w:val="32"/>
          <w:lang w:val="en-US" w:eastAsia="zh-CN"/>
        </w:rPr>
        <w:t>与喀什市罗豆花川菜馆签订的</w:t>
      </w:r>
      <w:r>
        <w:rPr>
          <w:rFonts w:hint="eastAsia" w:ascii="Times New Roman" w:hAnsi="Times New Roman"/>
          <w:sz w:val="32"/>
          <w:szCs w:val="32"/>
        </w:rPr>
        <w:t>《</w:t>
      </w:r>
      <w:r>
        <w:rPr>
          <w:rFonts w:hint="eastAsia" w:ascii="Times New Roman" w:hAnsi="Times New Roman"/>
          <w:sz w:val="32"/>
          <w:szCs w:val="32"/>
          <w:lang w:val="en-US" w:eastAsia="zh-CN"/>
        </w:rPr>
        <w:t>送餐合同</w:t>
      </w:r>
      <w:r>
        <w:rPr>
          <w:rFonts w:hint="eastAsia" w:ascii="Times New Roman" w:hAnsi="Times New Roman"/>
          <w:sz w:val="32"/>
          <w:szCs w:val="32"/>
        </w:rPr>
        <w:t>》</w:t>
      </w:r>
      <w:r>
        <w:rPr>
          <w:rFonts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新疆是个好地方</w:t>
      </w:r>
      <w:r>
        <w:rPr>
          <w:rFonts w:hint="eastAsia" w:ascii="Times New Roman" w:hAnsi="Times New Roman"/>
          <w:sz w:val="32"/>
          <w:szCs w:val="32"/>
          <w:lang w:eastAsia="zh-CN"/>
        </w:rPr>
        <w:t>”</w:t>
      </w:r>
      <w:r>
        <w:rPr>
          <w:rFonts w:hint="eastAsia" w:ascii="Times New Roman" w:hAnsi="Times New Roman"/>
          <w:sz w:val="32"/>
          <w:szCs w:val="32"/>
          <w:lang w:val="en-US" w:eastAsia="zh-CN"/>
        </w:rPr>
        <w:t>剧团送餐记录表</w:t>
      </w:r>
      <w:r>
        <w:rPr>
          <w:rFonts w:ascii="Times New Roman" w:hAnsi="Times New Roman"/>
          <w:sz w:val="32"/>
          <w:szCs w:val="32"/>
        </w:rPr>
        <w:t>》</w:t>
      </w:r>
      <w:r>
        <w:rPr>
          <w:rFonts w:hint="eastAsia" w:ascii="Times New Roman" w:hAnsi="Times New Roman"/>
          <w:sz w:val="32"/>
          <w:szCs w:val="32"/>
          <w:lang w:val="en-US" w:eastAsia="zh-CN"/>
        </w:rPr>
        <w:t>演出送餐保障费用为0.58</w:t>
      </w:r>
      <w:r>
        <w:rPr>
          <w:rFonts w:hint="eastAsia" w:ascii="Times New Roman" w:hAnsi="Times New Roman"/>
          <w:sz w:val="32"/>
          <w:szCs w:val="32"/>
        </w:rPr>
        <w:t>万元，已全部支付完毕，指标完成率为100%，根据评分标准，该指标不扣分，得</w:t>
      </w:r>
      <w:r>
        <w:rPr>
          <w:rFonts w:hint="eastAsia" w:ascii="Times New Roman" w:hAnsi="Times New Roman"/>
          <w:sz w:val="32"/>
          <w:szCs w:val="32"/>
          <w:lang w:val="en-US" w:eastAsia="zh-CN"/>
        </w:rPr>
        <w:t>1</w:t>
      </w:r>
      <w:r>
        <w:rPr>
          <w:rFonts w:hint="eastAsia" w:ascii="Times New Roman" w:hAnsi="Times New Roman"/>
          <w:sz w:val="32"/>
          <w:szCs w:val="32"/>
        </w:rPr>
        <w:t>分。</w:t>
      </w:r>
    </w:p>
    <w:p w14:paraId="1E5CF9DB">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）演出广告宣传资料费支出小于等于</w:t>
      </w:r>
      <w:r>
        <w:rPr>
          <w:rFonts w:hint="eastAsia" w:ascii="Times New Roman" w:hAnsi="Times New Roman"/>
          <w:b/>
          <w:bCs/>
          <w:kern w:val="0"/>
          <w:sz w:val="32"/>
          <w:szCs w:val="32"/>
          <w:lang w:val="en-US" w:eastAsia="zh-CN" w:bidi="en-US"/>
        </w:rPr>
        <w:t>2.49万元</w:t>
      </w:r>
      <w:r>
        <w:rPr>
          <w:rFonts w:hint="eastAsia" w:ascii="Times New Roman" w:hAnsi="Times New Roman"/>
          <w:b/>
          <w:bCs/>
          <w:kern w:val="0"/>
          <w:sz w:val="32"/>
          <w:szCs w:val="32"/>
          <w:lang w:bidi="en-US"/>
        </w:rPr>
        <w:t>（分值</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分）</w:t>
      </w:r>
    </w:p>
    <w:p w14:paraId="40069CFC">
      <w:pPr>
        <w:spacing w:line="570" w:lineRule="exact"/>
        <w:ind w:firstLine="640" w:firstLineChars="200"/>
        <w:rPr>
          <w:rFonts w:hint="eastAsia" w:ascii="Times New Roman" w:hAnsi="Times New Roman"/>
          <w:sz w:val="32"/>
          <w:szCs w:val="32"/>
        </w:rPr>
      </w:pPr>
      <w:r>
        <w:rPr>
          <w:rFonts w:hint="eastAsia" w:ascii="Times New Roman" w:hAnsi="Times New Roman"/>
          <w:sz w:val="32"/>
          <w:szCs w:val="32"/>
        </w:rPr>
        <w:t>经查阅“国库集中支付凭证”“记账凭证”</w:t>
      </w:r>
      <w:r>
        <w:rPr>
          <w:rFonts w:hint="eastAsia" w:ascii="Times New Roman" w:hAnsi="Times New Roman"/>
          <w:sz w:val="32"/>
          <w:szCs w:val="32"/>
          <w:lang w:eastAsia="zh-CN"/>
        </w:rPr>
        <w:t>以及</w:t>
      </w:r>
      <w:r>
        <w:rPr>
          <w:rFonts w:hint="eastAsia" w:ascii="Times New Roman" w:hAnsi="Times New Roman"/>
          <w:sz w:val="32"/>
          <w:szCs w:val="32"/>
          <w:lang w:val="en-US" w:eastAsia="zh-CN"/>
        </w:rPr>
        <w:t>与喀什市牧森图文广告部签订的</w:t>
      </w:r>
      <w:r>
        <w:rPr>
          <w:rFonts w:hint="eastAsia" w:ascii="Times New Roman" w:hAnsi="Times New Roman"/>
          <w:sz w:val="32"/>
          <w:szCs w:val="32"/>
        </w:rPr>
        <w:t>《</w:t>
      </w:r>
      <w:r>
        <w:rPr>
          <w:rFonts w:hint="eastAsia" w:ascii="Times New Roman" w:hAnsi="Times New Roman"/>
          <w:sz w:val="32"/>
          <w:szCs w:val="32"/>
          <w:lang w:val="en-US" w:eastAsia="zh-CN"/>
        </w:rPr>
        <w:t>广告制作合同</w:t>
      </w:r>
      <w:r>
        <w:rPr>
          <w:rFonts w:hint="eastAsia" w:ascii="Times New Roman" w:hAnsi="Times New Roman"/>
          <w:sz w:val="32"/>
          <w:szCs w:val="32"/>
        </w:rPr>
        <w:t>》《</w:t>
      </w:r>
      <w:r>
        <w:rPr>
          <w:rFonts w:hint="eastAsia" w:ascii="Times New Roman" w:hAnsi="Times New Roman"/>
          <w:sz w:val="32"/>
          <w:szCs w:val="32"/>
          <w:lang w:val="en-US" w:eastAsia="zh-CN"/>
        </w:rPr>
        <w:t>验收单</w:t>
      </w:r>
      <w:r>
        <w:rPr>
          <w:rFonts w:ascii="Times New Roman" w:hAnsi="Times New Roman"/>
          <w:sz w:val="32"/>
          <w:szCs w:val="32"/>
        </w:rPr>
        <w:t>》</w:t>
      </w:r>
      <w:r>
        <w:rPr>
          <w:rFonts w:hint="eastAsia" w:ascii="Times New Roman" w:hAnsi="Times New Roman"/>
          <w:sz w:val="32"/>
          <w:szCs w:val="32"/>
          <w:lang w:eastAsia="zh-CN"/>
        </w:rPr>
        <w:t>，演出</w:t>
      </w:r>
      <w:r>
        <w:rPr>
          <w:rFonts w:hint="eastAsia" w:ascii="Times New Roman" w:hAnsi="Times New Roman"/>
          <w:sz w:val="32"/>
          <w:szCs w:val="32"/>
          <w:lang w:val="en-US" w:eastAsia="zh-CN"/>
        </w:rPr>
        <w:t>广告宣传资料费用为2.49</w:t>
      </w:r>
      <w:r>
        <w:rPr>
          <w:rFonts w:hint="eastAsia" w:ascii="Times New Roman" w:hAnsi="Times New Roman"/>
          <w:sz w:val="32"/>
          <w:szCs w:val="32"/>
        </w:rPr>
        <w:t>万元，已全部支付完毕，指标完成率为100%，根据评分标准，该指标不扣分，得</w:t>
      </w:r>
      <w:r>
        <w:rPr>
          <w:rFonts w:hint="eastAsia" w:ascii="Times New Roman" w:hAnsi="Times New Roman"/>
          <w:sz w:val="32"/>
          <w:szCs w:val="32"/>
          <w:lang w:val="en-US" w:eastAsia="zh-CN"/>
        </w:rPr>
        <w:t>2</w:t>
      </w:r>
      <w:r>
        <w:rPr>
          <w:rFonts w:hint="eastAsia" w:ascii="Times New Roman" w:hAnsi="Times New Roman"/>
          <w:sz w:val="32"/>
          <w:szCs w:val="32"/>
        </w:rPr>
        <w:t>分。</w:t>
      </w:r>
    </w:p>
    <w:p w14:paraId="2364A65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综上，产出成本指标得10分。</w:t>
      </w:r>
    </w:p>
    <w:p w14:paraId="6413D96A">
      <w:pPr>
        <w:spacing w:line="560" w:lineRule="exact"/>
        <w:ind w:firstLine="643" w:firstLineChars="200"/>
        <w:rPr>
          <w:rFonts w:ascii="Times New Roman" w:hAnsi="Times New Roman"/>
          <w:sz w:val="32"/>
          <w:szCs w:val="32"/>
        </w:rPr>
      </w:pPr>
      <w:r>
        <w:rPr>
          <w:rFonts w:hint="eastAsia" w:ascii="Times New Roman" w:hAnsi="Times New Roman"/>
          <w:b/>
          <w:bCs/>
          <w:kern w:val="0"/>
          <w:sz w:val="32"/>
          <w:szCs w:val="32"/>
          <w:lang w:bidi="en-US"/>
        </w:rPr>
        <w:t>综上所述，产出情况得</w:t>
      </w:r>
      <w:r>
        <w:rPr>
          <w:rFonts w:hint="eastAsia" w:ascii="Times New Roman" w:hAnsi="Times New Roman"/>
          <w:b/>
          <w:bCs/>
          <w:kern w:val="0"/>
          <w:sz w:val="32"/>
          <w:szCs w:val="32"/>
          <w:lang w:val="en-US" w:eastAsia="zh-CN" w:bidi="en-US"/>
        </w:rPr>
        <w:t>30</w:t>
      </w:r>
      <w:r>
        <w:rPr>
          <w:rFonts w:hint="eastAsia" w:ascii="Times New Roman" w:hAnsi="Times New Roman"/>
          <w:b/>
          <w:bCs/>
          <w:kern w:val="0"/>
          <w:sz w:val="32"/>
          <w:szCs w:val="32"/>
          <w:lang w:bidi="en-US"/>
        </w:rPr>
        <w:t>分。</w:t>
      </w:r>
    </w:p>
    <w:p w14:paraId="1B2545E1">
      <w:pPr>
        <w:pStyle w:val="38"/>
        <w:ind w:firstLine="643"/>
        <w:rPr>
          <w:rFonts w:hint="default" w:ascii="Times New Roman" w:hAnsi="Times New Roman" w:eastAsia="方正仿宋_GBK"/>
        </w:rPr>
      </w:pPr>
      <w:bookmarkStart w:id="580" w:name="_Toc26819"/>
      <w:bookmarkStart w:id="581" w:name="_Toc15317"/>
      <w:bookmarkStart w:id="582" w:name="_Toc18385"/>
      <w:bookmarkStart w:id="583" w:name="_Toc29191"/>
      <w:bookmarkStart w:id="584" w:name="_Toc29011"/>
      <w:bookmarkStart w:id="585" w:name="_Toc10896"/>
      <w:bookmarkStart w:id="586" w:name="_Toc5220"/>
      <w:bookmarkStart w:id="587" w:name="_Toc24494"/>
      <w:bookmarkStart w:id="588" w:name="_Toc11342"/>
      <w:bookmarkStart w:id="589" w:name="_Toc7431"/>
      <w:bookmarkStart w:id="590" w:name="_Toc1441"/>
      <w:bookmarkStart w:id="591" w:name="_Toc5959"/>
      <w:bookmarkStart w:id="592" w:name="_Toc20478"/>
      <w:bookmarkStart w:id="593" w:name="_Toc2359"/>
      <w:bookmarkStart w:id="594" w:name="_Toc32544"/>
      <w:bookmarkStart w:id="595" w:name="_Toc1949"/>
      <w:bookmarkStart w:id="596" w:name="_Toc3937"/>
      <w:bookmarkStart w:id="597" w:name="_Toc19934"/>
      <w:bookmarkStart w:id="598" w:name="_Toc5453"/>
      <w:bookmarkStart w:id="599" w:name="_Toc2152"/>
      <w:bookmarkStart w:id="600" w:name="_Toc31544"/>
      <w:bookmarkStart w:id="601" w:name="_Toc11581"/>
      <w:bookmarkStart w:id="602" w:name="_Toc8926"/>
      <w:bookmarkStart w:id="603" w:name="_Toc19124"/>
      <w:bookmarkStart w:id="604" w:name="_Toc7299"/>
      <w:bookmarkStart w:id="605" w:name="_Toc10954"/>
      <w:bookmarkStart w:id="606" w:name="_Toc13932"/>
      <w:bookmarkStart w:id="607" w:name="_Toc29122"/>
      <w:bookmarkStart w:id="608" w:name="_Toc13012"/>
      <w:bookmarkStart w:id="609" w:name="_Toc23095"/>
      <w:bookmarkStart w:id="610" w:name="_Toc32279"/>
      <w:bookmarkStart w:id="611" w:name="_Toc469"/>
      <w:bookmarkStart w:id="612" w:name="_Toc15828"/>
      <w:bookmarkStart w:id="613" w:name="_Toc10349"/>
      <w:bookmarkStart w:id="614" w:name="_Toc14146"/>
      <w:bookmarkStart w:id="615" w:name="_Toc8105"/>
      <w:bookmarkStart w:id="616" w:name="_Toc5371"/>
      <w:bookmarkStart w:id="617" w:name="_Toc4611"/>
      <w:bookmarkStart w:id="618" w:name="_Toc13508"/>
      <w:bookmarkStart w:id="619" w:name="_Toc23556"/>
      <w:bookmarkStart w:id="620" w:name="_Toc25713"/>
      <w:bookmarkStart w:id="621" w:name="_Toc30206"/>
      <w:bookmarkStart w:id="622" w:name="_Toc32357"/>
      <w:bookmarkStart w:id="623" w:name="_Toc910"/>
      <w:bookmarkStart w:id="624" w:name="_Toc336"/>
      <w:bookmarkStart w:id="625" w:name="_Toc9839"/>
      <w:bookmarkStart w:id="626" w:name="_Toc27002"/>
      <w:bookmarkStart w:id="627" w:name="_Toc20375"/>
      <w:bookmarkStart w:id="628" w:name="_Toc8375"/>
      <w:bookmarkStart w:id="629" w:name="_Toc14511"/>
      <w:bookmarkStart w:id="630" w:name="_Toc3982"/>
      <w:bookmarkStart w:id="631" w:name="_Toc31145"/>
      <w:bookmarkStart w:id="632" w:name="_Toc7768"/>
      <w:bookmarkStart w:id="633" w:name="_Toc12131"/>
      <w:bookmarkStart w:id="634" w:name="_Toc30920"/>
      <w:bookmarkStart w:id="635" w:name="_Toc21089"/>
      <w:bookmarkStart w:id="636" w:name="_Toc25160"/>
      <w:bookmarkStart w:id="637" w:name="_Toc1478"/>
      <w:bookmarkStart w:id="638" w:name="_Toc12074"/>
      <w:bookmarkStart w:id="639" w:name="_Toc13248"/>
      <w:bookmarkStart w:id="640" w:name="_Toc2716"/>
      <w:bookmarkStart w:id="641" w:name="_Toc29733"/>
      <w:bookmarkStart w:id="642" w:name="_Toc16548"/>
      <w:bookmarkStart w:id="643" w:name="_Toc13703"/>
      <w:bookmarkStart w:id="644" w:name="_Toc4852"/>
      <w:bookmarkStart w:id="645" w:name="_Toc5110"/>
      <w:bookmarkStart w:id="646" w:name="_Toc13113"/>
      <w:bookmarkStart w:id="647" w:name="_Toc17760"/>
      <w:bookmarkStart w:id="648" w:name="_Toc1857"/>
      <w:bookmarkStart w:id="649" w:name="_Toc11217"/>
      <w:bookmarkStart w:id="650" w:name="_Toc14057"/>
      <w:bookmarkStart w:id="651" w:name="_Toc26355"/>
      <w:bookmarkStart w:id="652" w:name="_Toc25859"/>
      <w:bookmarkStart w:id="653" w:name="_Toc29955"/>
      <w:bookmarkStart w:id="654" w:name="_Toc21245"/>
      <w:bookmarkStart w:id="655" w:name="_Toc4006"/>
      <w:bookmarkStart w:id="656" w:name="_Toc9882"/>
      <w:bookmarkStart w:id="657" w:name="_Toc26401"/>
      <w:bookmarkStart w:id="658" w:name="_Toc5518"/>
      <w:bookmarkStart w:id="659" w:name="_Toc3741"/>
      <w:bookmarkStart w:id="660" w:name="_Toc8710"/>
      <w:bookmarkStart w:id="661" w:name="_Toc20749"/>
      <w:bookmarkStart w:id="662" w:name="_Toc10974"/>
      <w:bookmarkStart w:id="663" w:name="_Toc14212"/>
      <w:bookmarkStart w:id="664" w:name="_Toc15934"/>
      <w:bookmarkStart w:id="665" w:name="_Toc10086"/>
      <w:r>
        <w:rPr>
          <w:rFonts w:hint="default" w:ascii="Times New Roman" w:hAnsi="Times New Roman" w:cs="Times New Roman"/>
        </w:rPr>
        <w:t>（四）项目效益情况（分值</w:t>
      </w:r>
      <w:r>
        <w:rPr>
          <w:rFonts w:hint="eastAsia" w:ascii="Times New Roman" w:hAnsi="Times New Roman" w:cs="Times New Roman"/>
          <w:lang w:val="en-US" w:eastAsia="zh-CN"/>
        </w:rPr>
        <w:t>15</w:t>
      </w:r>
      <w:r>
        <w:rPr>
          <w:rFonts w:hint="default" w:ascii="Times New Roman" w:hAnsi="Times New Roman" w:cs="Times New Roman"/>
        </w:rPr>
        <w:t>分，得分</w:t>
      </w:r>
      <w:r>
        <w:rPr>
          <w:rFonts w:hint="eastAsia" w:ascii="Times New Roman" w:hAnsi="Times New Roman" w:cs="Times New Roman"/>
          <w:lang w:val="en-US" w:eastAsia="zh-CN"/>
        </w:rPr>
        <w:t>15</w:t>
      </w:r>
      <w:r>
        <w:rPr>
          <w:rFonts w:hint="default" w:ascii="Times New Roman" w:hAnsi="Times New Roman" w:cs="Times New Roman"/>
        </w:rPr>
        <w:t>分）</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360CA25C">
      <w:pPr>
        <w:spacing w:line="560" w:lineRule="exact"/>
        <w:ind w:firstLine="643" w:firstLineChars="200"/>
        <w:jc w:val="left"/>
        <w:rPr>
          <w:rFonts w:ascii="Times New Roman" w:hAnsi="Times New Roman"/>
          <w:b/>
          <w:bCs/>
          <w:kern w:val="0"/>
          <w:sz w:val="32"/>
          <w:szCs w:val="32"/>
          <w:lang w:bidi="en-US"/>
        </w:rPr>
      </w:pPr>
      <w:bookmarkStart w:id="666" w:name="_Toc5210"/>
      <w:r>
        <w:rPr>
          <w:rFonts w:ascii="Times New Roman" w:hAnsi="Times New Roman"/>
          <w:b/>
          <w:bCs/>
          <w:kern w:val="0"/>
          <w:sz w:val="32"/>
          <w:szCs w:val="32"/>
          <w:lang w:bidi="en-US"/>
        </w:rPr>
        <w:t>1.社会效益指标（分值</w:t>
      </w:r>
      <w:r>
        <w:rPr>
          <w:rFonts w:hint="eastAsia" w:ascii="Times New Roman" w:hAnsi="Times New Roman"/>
          <w:b/>
          <w:bCs/>
          <w:kern w:val="0"/>
          <w:sz w:val="32"/>
          <w:szCs w:val="32"/>
          <w:lang w:bidi="en-US"/>
        </w:rPr>
        <w:t>1</w:t>
      </w:r>
      <w:r>
        <w:rPr>
          <w:rFonts w:hint="eastAsia" w:ascii="Times New Roman" w:hAnsi="Times New Roman"/>
          <w:b/>
          <w:bCs/>
          <w:kern w:val="0"/>
          <w:sz w:val="32"/>
          <w:szCs w:val="32"/>
          <w:lang w:val="en-US" w:eastAsia="zh-CN" w:bidi="en-US"/>
        </w:rPr>
        <w:t>0</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10</w:t>
      </w:r>
      <w:r>
        <w:rPr>
          <w:rFonts w:ascii="Times New Roman" w:hAnsi="Times New Roman"/>
          <w:b/>
          <w:bCs/>
          <w:kern w:val="0"/>
          <w:sz w:val="32"/>
          <w:szCs w:val="32"/>
          <w:lang w:bidi="en-US"/>
        </w:rPr>
        <w:t>分）</w:t>
      </w:r>
      <w:bookmarkEnd w:id="666"/>
    </w:p>
    <w:p w14:paraId="5A4A6FB4">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（1）提升演出质量和效果（分值</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0CEDF3AA">
      <w:pPr>
        <w:spacing w:line="560" w:lineRule="exact"/>
        <w:ind w:firstLine="640" w:firstLineChars="200"/>
        <w:rPr>
          <w:rFonts w:ascii="Times New Roman" w:hAnsi="Times New Roman"/>
          <w:sz w:val="32"/>
          <w:szCs w:val="32"/>
        </w:rPr>
      </w:pPr>
      <w:r>
        <w:rPr>
          <w:rFonts w:hint="eastAsia" w:ascii="Times New Roman" w:hAnsi="Times New Roman"/>
          <w:sz w:val="32"/>
          <w:szCs w:val="32"/>
        </w:rPr>
        <w:t>根据</w:t>
      </w:r>
      <w:r>
        <w:rPr>
          <w:rFonts w:hint="eastAsia" w:ascii="Times New Roman" w:hAnsi="Times New Roman"/>
          <w:sz w:val="32"/>
          <w:szCs w:val="32"/>
          <w:lang w:eastAsia="zh-CN"/>
        </w:rPr>
        <w:t>《</w:t>
      </w:r>
      <w:r>
        <w:rPr>
          <w:rFonts w:hint="eastAsia" w:ascii="Times New Roman" w:hAnsi="Times New Roman" w:cs="Times New Roman"/>
          <w:color w:val="auto"/>
          <w:sz w:val="32"/>
          <w:szCs w:val="32"/>
          <w:highlight w:val="none"/>
          <w:lang w:val="en-US" w:eastAsia="zh-CN"/>
        </w:rPr>
        <w:t>喀什市文化体育广播电视和旅游局2025</w:t>
      </w:r>
      <w:r>
        <w:rPr>
          <w:rFonts w:hint="default" w:ascii="Times New Roman" w:hAnsi="Times New Roman" w:eastAsia="仿宋_GB2312" w:cs="Times New Roman"/>
          <w:color w:val="auto"/>
          <w:sz w:val="32"/>
          <w:szCs w:val="32"/>
          <w:highlight w:val="none"/>
        </w:rPr>
        <w:t>年度工作总结》</w:t>
      </w:r>
      <w:r>
        <w:rPr>
          <w:rFonts w:hint="eastAsia" w:ascii="Times New Roman" w:hAnsi="Times New Roman" w:cs="Times New Roman"/>
          <w:color w:val="auto"/>
          <w:sz w:val="32"/>
          <w:szCs w:val="32"/>
          <w:highlight w:val="none"/>
          <w:lang w:val="en-US" w:eastAsia="zh-CN"/>
        </w:rPr>
        <w:t>及</w:t>
      </w:r>
      <w:r>
        <w:rPr>
          <w:rFonts w:hint="eastAsia" w:ascii="Times New Roman" w:hAnsi="Times New Roman"/>
          <w:sz w:val="32"/>
          <w:szCs w:val="32"/>
        </w:rPr>
        <w:t>“</w:t>
      </w:r>
      <w:r>
        <w:rPr>
          <w:rFonts w:hint="eastAsia" w:ascii="Times New Roman" w:hAnsi="Times New Roman"/>
          <w:sz w:val="32"/>
          <w:szCs w:val="32"/>
          <w:lang w:val="en-US" w:eastAsia="zh-CN"/>
        </w:rPr>
        <w:t>2025年新疆是个好地方演出保障项目满意度调查问卷汇总表</w:t>
      </w:r>
      <w:r>
        <w:rPr>
          <w:rFonts w:hint="eastAsia" w:ascii="Times New Roman" w:hAnsi="Times New Roman"/>
          <w:sz w:val="32"/>
          <w:szCs w:val="32"/>
          <w:lang w:eastAsia="zh-CN"/>
        </w:rPr>
        <w:t>”中调查</w:t>
      </w:r>
      <w:r>
        <w:rPr>
          <w:rFonts w:hint="default" w:ascii="Times New Roman" w:hAnsi="Times New Roman" w:eastAsia="仿宋_GB2312" w:cs="Times New Roman"/>
          <w:color w:val="auto"/>
          <w:sz w:val="32"/>
          <w:szCs w:val="32"/>
          <w:highlight w:val="none"/>
        </w:rPr>
        <w:t>问卷</w:t>
      </w:r>
      <w:r>
        <w:rPr>
          <w:rFonts w:hint="default" w:ascii="Times New Roman" w:hAnsi="Times New Roman" w:eastAsia="仿宋_GB2312" w:cs="Times New Roman"/>
          <w:color w:val="auto"/>
          <w:sz w:val="32"/>
          <w:szCs w:val="32"/>
          <w:highlight w:val="none"/>
          <w:lang w:eastAsia="zh-CN"/>
        </w:rPr>
        <w:t>第</w:t>
      </w:r>
      <w:r>
        <w:rPr>
          <w:rFonts w:hint="eastAsia" w:ascii="Times New Roman" w:hAnsi="Times New Roman"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题</w:t>
      </w:r>
      <w:r>
        <w:rPr>
          <w:rFonts w:hint="eastAsia" w:ascii="Times New Roman" w:hAnsi="Times New Roman"/>
          <w:sz w:val="32"/>
          <w:szCs w:val="32"/>
          <w:lang w:val="en-US" w:eastAsia="zh-CN"/>
        </w:rPr>
        <w:t>“提升演出质量和效果如何？”，得出结论：在提升演出质量和效果</w:t>
      </w:r>
      <w:r>
        <w:rPr>
          <w:rFonts w:hint="eastAsia" w:ascii="Times New Roman" w:hAnsi="Times New Roman" w:eastAsia="仿宋_GB2312" w:cs="Times New Roman"/>
          <w:color w:val="auto"/>
          <w:sz w:val="32"/>
          <w:szCs w:val="32"/>
          <w:highlight w:val="none"/>
          <w:lang w:val="en-US" w:eastAsia="zh-CN"/>
        </w:rPr>
        <w:t>方面</w:t>
      </w:r>
      <w:r>
        <w:rPr>
          <w:rFonts w:hint="default" w:ascii="Times New Roman" w:hAnsi="Times New Roman" w:eastAsia="仿宋_GB2312" w:cs="Times New Roman"/>
          <w:color w:val="auto"/>
          <w:sz w:val="32"/>
          <w:szCs w:val="32"/>
          <w:highlight w:val="none"/>
          <w:lang w:eastAsia="zh-CN"/>
        </w:rPr>
        <w:t>完成率为</w:t>
      </w:r>
      <w:r>
        <w:rPr>
          <w:rFonts w:hint="eastAsia" w:ascii="Times New Roman" w:hAnsi="Times New Roman" w:cs="Times New Roman"/>
          <w:color w:val="auto"/>
          <w:sz w:val="32"/>
          <w:szCs w:val="32"/>
          <w:highlight w:val="none"/>
          <w:lang w:val="en-US" w:eastAsia="zh-CN"/>
        </w:rPr>
        <w:t>99.66</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sz w:val="32"/>
          <w:szCs w:val="32"/>
        </w:rPr>
        <w:t>。</w:t>
      </w:r>
      <w:r>
        <w:rPr>
          <w:rFonts w:hint="eastAsia" w:ascii="Times New Roman" w:hAnsi="Times New Roman"/>
          <w:sz w:val="32"/>
          <w:szCs w:val="32"/>
          <w:lang w:val="en-US" w:eastAsia="zh-CN"/>
        </w:rPr>
        <w:t>借助切割灯、效果烟机、空云大雾机等设备，将舞台光影层次与氛围营造提升至专业级水准，实现色彩还原真实、动态响应精准、特效切换流畅。</w:t>
      </w:r>
      <w:r>
        <w:rPr>
          <w:rFonts w:hint="eastAsia" w:ascii="Times New Roman" w:hAnsi="Times New Roman"/>
          <w:sz w:val="32"/>
          <w:szCs w:val="32"/>
        </w:rPr>
        <w:t>根据评分标准，该指标不扣分，得</w:t>
      </w:r>
      <w:r>
        <w:rPr>
          <w:rFonts w:hint="eastAsia" w:ascii="Times New Roman" w:hAnsi="Times New Roman"/>
          <w:sz w:val="32"/>
          <w:szCs w:val="32"/>
          <w:lang w:val="en-US" w:eastAsia="zh-CN"/>
        </w:rPr>
        <w:t>5</w:t>
      </w:r>
      <w:r>
        <w:rPr>
          <w:rFonts w:hint="eastAsia" w:ascii="Times New Roman" w:hAnsi="Times New Roman"/>
          <w:sz w:val="32"/>
          <w:szCs w:val="32"/>
        </w:rPr>
        <w:t>分。</w:t>
      </w:r>
    </w:p>
    <w:p w14:paraId="728D8F4F">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w:t>
      </w:r>
      <w:r>
        <w:rPr>
          <w:rFonts w:hint="eastAsia" w:ascii="Times New Roman" w:hAnsi="Times New Roman"/>
          <w:b/>
          <w:bCs/>
          <w:kern w:val="0"/>
          <w:sz w:val="32"/>
          <w:szCs w:val="32"/>
          <w:lang w:val="en-US" w:eastAsia="zh-CN" w:bidi="en-US"/>
        </w:rPr>
        <w:t>2</w:t>
      </w:r>
      <w:r>
        <w:rPr>
          <w:rFonts w:hint="eastAsia" w:ascii="Times New Roman" w:hAnsi="Times New Roman"/>
          <w:b/>
          <w:bCs/>
          <w:kern w:val="0"/>
          <w:sz w:val="32"/>
          <w:szCs w:val="32"/>
          <w:lang w:bidi="en-US"/>
        </w:rPr>
        <w:t>）满足日常演出需求（分值</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60541225">
      <w:pPr>
        <w:spacing w:line="560" w:lineRule="exact"/>
        <w:ind w:firstLine="640" w:firstLineChars="200"/>
        <w:rPr>
          <w:rFonts w:ascii="Times New Roman" w:hAnsi="Times New Roman"/>
          <w:sz w:val="32"/>
          <w:szCs w:val="32"/>
        </w:rPr>
      </w:pPr>
      <w:r>
        <w:rPr>
          <w:rFonts w:hint="eastAsia" w:ascii="Times New Roman" w:hAnsi="Times New Roman"/>
          <w:sz w:val="32"/>
          <w:szCs w:val="32"/>
        </w:rPr>
        <w:t>根据</w:t>
      </w:r>
      <w:r>
        <w:rPr>
          <w:rFonts w:hint="eastAsia" w:ascii="Times New Roman" w:hAnsi="Times New Roman"/>
          <w:sz w:val="32"/>
          <w:szCs w:val="32"/>
          <w:lang w:eastAsia="zh-CN"/>
        </w:rPr>
        <w:t>《</w:t>
      </w:r>
      <w:r>
        <w:rPr>
          <w:rFonts w:hint="eastAsia" w:ascii="Times New Roman" w:hAnsi="Times New Roman" w:cs="Times New Roman"/>
          <w:color w:val="auto"/>
          <w:sz w:val="32"/>
          <w:szCs w:val="32"/>
          <w:highlight w:val="none"/>
          <w:lang w:val="en-US" w:eastAsia="zh-CN"/>
        </w:rPr>
        <w:t>喀什市文化体育广播电视和旅游局2025</w:t>
      </w:r>
      <w:r>
        <w:rPr>
          <w:rFonts w:hint="default" w:ascii="Times New Roman" w:hAnsi="Times New Roman" w:eastAsia="仿宋_GB2312" w:cs="Times New Roman"/>
          <w:color w:val="auto"/>
          <w:sz w:val="32"/>
          <w:szCs w:val="32"/>
          <w:highlight w:val="none"/>
        </w:rPr>
        <w:t>年度工作总结》</w:t>
      </w:r>
      <w:r>
        <w:rPr>
          <w:rFonts w:hint="eastAsia" w:ascii="Times New Roman" w:hAnsi="Times New Roman" w:cs="Times New Roman"/>
          <w:color w:val="auto"/>
          <w:sz w:val="32"/>
          <w:szCs w:val="32"/>
          <w:highlight w:val="none"/>
          <w:lang w:val="en-US" w:eastAsia="zh-CN"/>
        </w:rPr>
        <w:t>及</w:t>
      </w:r>
      <w:r>
        <w:rPr>
          <w:rFonts w:hint="eastAsia" w:ascii="Times New Roman" w:hAnsi="Times New Roman"/>
          <w:sz w:val="32"/>
          <w:szCs w:val="32"/>
        </w:rPr>
        <w:t>“</w:t>
      </w:r>
      <w:r>
        <w:rPr>
          <w:rFonts w:hint="eastAsia" w:ascii="Times New Roman" w:hAnsi="Times New Roman"/>
          <w:sz w:val="32"/>
          <w:szCs w:val="32"/>
          <w:lang w:val="en-US" w:eastAsia="zh-CN"/>
        </w:rPr>
        <w:t>2025年新疆是个好地方演出保障项目满意度调查问卷汇总表</w:t>
      </w:r>
      <w:r>
        <w:rPr>
          <w:rFonts w:hint="eastAsia" w:ascii="Times New Roman" w:hAnsi="Times New Roman"/>
          <w:sz w:val="32"/>
          <w:szCs w:val="32"/>
          <w:lang w:eastAsia="zh-CN"/>
        </w:rPr>
        <w:t>”中调查</w:t>
      </w:r>
      <w:r>
        <w:rPr>
          <w:rFonts w:hint="default" w:ascii="Times New Roman" w:hAnsi="Times New Roman" w:eastAsia="仿宋_GB2312" w:cs="Times New Roman"/>
          <w:color w:val="auto"/>
          <w:sz w:val="32"/>
          <w:szCs w:val="32"/>
          <w:highlight w:val="none"/>
        </w:rPr>
        <w:t>问卷</w:t>
      </w:r>
      <w:r>
        <w:rPr>
          <w:rFonts w:hint="default" w:ascii="Times New Roman" w:hAnsi="Times New Roman" w:eastAsia="仿宋_GB2312" w:cs="Times New Roman"/>
          <w:color w:val="auto"/>
          <w:sz w:val="32"/>
          <w:szCs w:val="32"/>
          <w:highlight w:val="none"/>
          <w:lang w:eastAsia="zh-CN"/>
        </w:rPr>
        <w:t>第</w:t>
      </w:r>
      <w:r>
        <w:rPr>
          <w:rFonts w:hint="eastAsia" w:ascii="Times New Roman" w:hAnsi="Times New Roman"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题</w:t>
      </w:r>
      <w:r>
        <w:rPr>
          <w:rFonts w:hint="eastAsia" w:ascii="Times New Roman" w:hAnsi="Times New Roman"/>
          <w:sz w:val="32"/>
          <w:szCs w:val="32"/>
          <w:lang w:val="en-US" w:eastAsia="zh-CN"/>
        </w:rPr>
        <w:t>“是否满足演出需求？”，得出结论：在满足日常演出需求</w:t>
      </w:r>
      <w:r>
        <w:rPr>
          <w:rFonts w:hint="eastAsia" w:ascii="Times New Roman" w:hAnsi="Times New Roman" w:eastAsia="仿宋_GB2312" w:cs="Times New Roman"/>
          <w:color w:val="auto"/>
          <w:sz w:val="32"/>
          <w:szCs w:val="32"/>
          <w:highlight w:val="none"/>
          <w:lang w:val="en-US" w:eastAsia="zh-CN"/>
        </w:rPr>
        <w:t>方面</w:t>
      </w:r>
      <w:r>
        <w:rPr>
          <w:rFonts w:hint="default" w:ascii="Times New Roman" w:hAnsi="Times New Roman" w:eastAsia="仿宋_GB2312" w:cs="Times New Roman"/>
          <w:color w:val="auto"/>
          <w:sz w:val="32"/>
          <w:szCs w:val="32"/>
          <w:highlight w:val="none"/>
          <w:lang w:eastAsia="zh-CN"/>
        </w:rPr>
        <w:t>完成率为</w:t>
      </w:r>
      <w:r>
        <w:rPr>
          <w:rFonts w:hint="eastAsia" w:ascii="Times New Roman" w:hAnsi="Times New Roman" w:cs="Times New Roman"/>
          <w:color w:val="auto"/>
          <w:sz w:val="32"/>
          <w:szCs w:val="32"/>
          <w:highlight w:val="none"/>
          <w:lang w:val="en-US" w:eastAsia="zh-CN"/>
        </w:rPr>
        <w:t>99.66</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sz w:val="32"/>
          <w:szCs w:val="32"/>
        </w:rPr>
        <w:t>。</w:t>
      </w:r>
      <w:r>
        <w:rPr>
          <w:rFonts w:hint="eastAsia" w:ascii="Times New Roman" w:hAnsi="Times New Roman"/>
          <w:sz w:val="32"/>
          <w:szCs w:val="32"/>
          <w:lang w:val="en-US" w:eastAsia="zh-CN"/>
        </w:rPr>
        <w:t>设备选型兼顾多场景适用性，满足高频次、长时间段日常排练需求。</w:t>
      </w:r>
      <w:r>
        <w:rPr>
          <w:rFonts w:hint="eastAsia" w:ascii="Times New Roman" w:hAnsi="Times New Roman"/>
          <w:sz w:val="32"/>
          <w:szCs w:val="32"/>
        </w:rPr>
        <w:t>根据评分标准，该指标不扣分，得</w:t>
      </w:r>
      <w:r>
        <w:rPr>
          <w:rFonts w:hint="eastAsia" w:ascii="Times New Roman" w:hAnsi="Times New Roman"/>
          <w:sz w:val="32"/>
          <w:szCs w:val="32"/>
          <w:lang w:val="en-US" w:eastAsia="zh-CN"/>
        </w:rPr>
        <w:t>5分</w:t>
      </w:r>
      <w:r>
        <w:rPr>
          <w:rFonts w:hint="eastAsia" w:ascii="Times New Roman" w:hAnsi="Times New Roman" w:eastAsia="仿宋_GB2312" w:cs="Times New Roman"/>
          <w:kern w:val="2"/>
          <w:sz w:val="32"/>
          <w:szCs w:val="32"/>
          <w:lang w:val="en-US" w:eastAsia="zh-CN" w:bidi="ar-SA"/>
        </w:rPr>
        <w:t>。</w:t>
      </w:r>
    </w:p>
    <w:p w14:paraId="6BE6B69A">
      <w:pPr>
        <w:spacing w:line="560" w:lineRule="exact"/>
        <w:ind w:firstLine="643" w:firstLineChars="200"/>
        <w:rPr>
          <w:rFonts w:ascii="Times New Roman" w:hAnsi="Times New Roman"/>
        </w:rPr>
      </w:pPr>
      <w:r>
        <w:rPr>
          <w:rFonts w:hint="eastAsia" w:ascii="Times New Roman" w:hAnsi="Times New Roman"/>
          <w:b/>
          <w:bCs/>
          <w:kern w:val="0"/>
          <w:sz w:val="32"/>
          <w:szCs w:val="32"/>
          <w:lang w:bidi="en-US"/>
        </w:rPr>
        <w:t>综上，社会效益指标得分</w:t>
      </w:r>
      <w:r>
        <w:rPr>
          <w:rFonts w:hint="eastAsia" w:ascii="Times New Roman" w:hAnsi="Times New Roman"/>
          <w:b/>
          <w:bCs/>
          <w:kern w:val="0"/>
          <w:sz w:val="32"/>
          <w:szCs w:val="32"/>
          <w:lang w:val="en-US" w:eastAsia="zh-CN" w:bidi="en-US"/>
        </w:rPr>
        <w:t>10</w:t>
      </w:r>
      <w:r>
        <w:rPr>
          <w:rFonts w:hint="eastAsia" w:ascii="Times New Roman" w:hAnsi="Times New Roman"/>
          <w:b/>
          <w:bCs/>
          <w:kern w:val="0"/>
          <w:sz w:val="32"/>
          <w:szCs w:val="32"/>
          <w:lang w:bidi="en-US"/>
        </w:rPr>
        <w:t>分。</w:t>
      </w:r>
    </w:p>
    <w:p w14:paraId="03F9425F">
      <w:pPr>
        <w:spacing w:line="560" w:lineRule="exact"/>
        <w:ind w:firstLine="643" w:firstLineChars="200"/>
        <w:jc w:val="left"/>
        <w:rPr>
          <w:rFonts w:ascii="Times New Roman" w:hAnsi="Times New Roman"/>
          <w:b/>
          <w:bCs/>
          <w:kern w:val="0"/>
          <w:sz w:val="32"/>
          <w:szCs w:val="32"/>
          <w:lang w:bidi="en-US"/>
        </w:rPr>
      </w:pPr>
      <w:bookmarkStart w:id="667" w:name="_Toc123"/>
      <w:bookmarkStart w:id="668" w:name="_Toc372"/>
      <w:bookmarkStart w:id="669" w:name="_Toc23530"/>
      <w:bookmarkStart w:id="670" w:name="_Toc23313"/>
      <w:bookmarkStart w:id="671" w:name="_Toc1093"/>
      <w:r>
        <w:rPr>
          <w:rFonts w:ascii="Times New Roman" w:hAnsi="Times New Roman"/>
          <w:b/>
          <w:bCs/>
          <w:kern w:val="0"/>
          <w:sz w:val="32"/>
          <w:szCs w:val="32"/>
          <w:lang w:bidi="en-US"/>
        </w:rPr>
        <w:t>2.</w:t>
      </w:r>
      <w:r>
        <w:rPr>
          <w:rFonts w:hint="eastAsia" w:ascii="Times New Roman" w:hAnsi="Times New Roman"/>
          <w:b/>
          <w:bCs/>
          <w:kern w:val="0"/>
          <w:sz w:val="32"/>
          <w:szCs w:val="32"/>
          <w:lang w:bidi="en-US"/>
        </w:rPr>
        <w:t>满意度</w:t>
      </w:r>
      <w:r>
        <w:rPr>
          <w:rFonts w:ascii="Times New Roman" w:hAnsi="Times New Roman"/>
          <w:b/>
          <w:bCs/>
          <w:kern w:val="0"/>
          <w:sz w:val="32"/>
          <w:szCs w:val="32"/>
          <w:lang w:bidi="en-US"/>
        </w:rPr>
        <w:t>指标（分值</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分，得分</w:t>
      </w:r>
      <w:r>
        <w:rPr>
          <w:rFonts w:hint="eastAsia" w:ascii="Times New Roman" w:hAnsi="Times New Roman"/>
          <w:b/>
          <w:bCs/>
          <w:kern w:val="0"/>
          <w:sz w:val="32"/>
          <w:szCs w:val="32"/>
          <w:lang w:val="en-US" w:eastAsia="zh-CN" w:bidi="en-US"/>
        </w:rPr>
        <w:t>5</w:t>
      </w:r>
      <w:r>
        <w:rPr>
          <w:rFonts w:ascii="Times New Roman" w:hAnsi="Times New Roman"/>
          <w:b/>
          <w:bCs/>
          <w:kern w:val="0"/>
          <w:sz w:val="32"/>
          <w:szCs w:val="32"/>
          <w:lang w:bidi="en-US"/>
        </w:rPr>
        <w:t>分）</w:t>
      </w:r>
    </w:p>
    <w:p w14:paraId="6CEE3B83">
      <w:pPr>
        <w:spacing w:line="560" w:lineRule="exact"/>
        <w:ind w:firstLine="640" w:firstLineChars="200"/>
        <w:rPr>
          <w:rFonts w:hint="eastAsia" w:ascii="Times New Roman" w:hAnsi="Times New Roman"/>
          <w:sz w:val="32"/>
          <w:szCs w:val="32"/>
        </w:rPr>
      </w:pPr>
      <w:r>
        <w:rPr>
          <w:rFonts w:hint="eastAsia" w:ascii="Times New Roman" w:hAnsi="Times New Roman"/>
          <w:sz w:val="32"/>
          <w:szCs w:val="32"/>
        </w:rPr>
        <w:t>“演出人员满意度”指标，实际完成值为100%。根据单位提供的“</w:t>
      </w:r>
      <w:r>
        <w:rPr>
          <w:rFonts w:hint="eastAsia" w:ascii="Times New Roman" w:hAnsi="Times New Roman"/>
          <w:sz w:val="32"/>
          <w:szCs w:val="32"/>
          <w:lang w:val="en-US" w:eastAsia="zh-CN"/>
        </w:rPr>
        <w:t>2025年新疆是个好地方演出保障项目满意度调查问卷汇总表</w:t>
      </w:r>
      <w:r>
        <w:rPr>
          <w:rFonts w:hint="eastAsia" w:ascii="Times New Roman" w:hAnsi="Times New Roman"/>
          <w:sz w:val="32"/>
          <w:szCs w:val="32"/>
        </w:rPr>
        <w:t>”</w:t>
      </w:r>
      <w:r>
        <w:rPr>
          <w:rFonts w:hint="eastAsia" w:ascii="Times New Roman" w:hAnsi="Times New Roman"/>
          <w:sz w:val="32"/>
          <w:szCs w:val="32"/>
          <w:lang w:eastAsia="zh-CN"/>
        </w:rPr>
        <w:t>，</w:t>
      </w:r>
      <w:r>
        <w:rPr>
          <w:rFonts w:hint="eastAsia" w:ascii="Times New Roman" w:hAnsi="Times New Roman"/>
          <w:sz w:val="32"/>
          <w:szCs w:val="32"/>
          <w:lang w:val="en-US" w:eastAsia="zh-CN"/>
        </w:rPr>
        <w:t>演出</w:t>
      </w:r>
      <w:r>
        <w:rPr>
          <w:rFonts w:hint="eastAsia" w:ascii="Times New Roman" w:hAnsi="Times New Roman"/>
          <w:sz w:val="32"/>
          <w:szCs w:val="32"/>
        </w:rPr>
        <w:t>人员对</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满意度=（</w:t>
      </w:r>
      <w:r>
        <w:rPr>
          <w:rFonts w:hint="eastAsia" w:ascii="Times New Roman" w:hAnsi="Times New Roman"/>
          <w:sz w:val="32"/>
          <w:szCs w:val="32"/>
          <w:lang w:val="en-US" w:eastAsia="zh-CN"/>
        </w:rPr>
        <w:t>178</w:t>
      </w:r>
      <w:r>
        <w:rPr>
          <w:rFonts w:hint="eastAsia" w:ascii="Times New Roman" w:hAnsi="Times New Roman"/>
          <w:sz w:val="32"/>
          <w:szCs w:val="32"/>
        </w:rPr>
        <w:t>*1+0*0）/1</w:t>
      </w:r>
      <w:r>
        <w:rPr>
          <w:rFonts w:hint="eastAsia" w:ascii="Times New Roman" w:hAnsi="Times New Roman"/>
          <w:sz w:val="32"/>
          <w:szCs w:val="32"/>
          <w:lang w:val="en-US" w:eastAsia="zh-CN"/>
        </w:rPr>
        <w:t>78</w:t>
      </w:r>
      <w:r>
        <w:rPr>
          <w:rFonts w:hint="eastAsia" w:ascii="Times New Roman" w:hAnsi="Times New Roman"/>
          <w:sz w:val="32"/>
          <w:szCs w:val="32"/>
        </w:rPr>
        <w:t>*100%=100%，超过95%，该指标得</w:t>
      </w:r>
      <w:r>
        <w:rPr>
          <w:rFonts w:hint="eastAsia" w:ascii="Times New Roman" w:hAnsi="Times New Roman"/>
          <w:sz w:val="32"/>
          <w:szCs w:val="32"/>
          <w:lang w:val="en-US" w:eastAsia="zh-CN"/>
        </w:rPr>
        <w:t>5</w:t>
      </w:r>
      <w:r>
        <w:rPr>
          <w:rFonts w:hint="eastAsia" w:ascii="Times New Roman" w:hAnsi="Times New Roman"/>
          <w:sz w:val="32"/>
          <w:szCs w:val="32"/>
        </w:rPr>
        <w:t>分。</w:t>
      </w:r>
    </w:p>
    <w:p w14:paraId="27F8E339">
      <w:pPr>
        <w:spacing w:line="560" w:lineRule="exact"/>
        <w:ind w:firstLine="640" w:firstLineChars="200"/>
        <w:rPr>
          <w:rFonts w:ascii="Times New Roman" w:hAnsi="Times New Roman"/>
          <w:sz w:val="32"/>
          <w:szCs w:val="32"/>
        </w:rPr>
      </w:pPr>
      <w:r>
        <w:rPr>
          <w:rFonts w:hint="eastAsia" w:ascii="Times New Roman" w:hAnsi="Times New Roman"/>
          <w:sz w:val="32"/>
          <w:szCs w:val="32"/>
        </w:rPr>
        <w:t>说明</w:t>
      </w:r>
      <w:r>
        <w:rPr>
          <w:rFonts w:hint="eastAsia" w:ascii="Times New Roman" w:hAnsi="Times New Roman"/>
          <w:sz w:val="32"/>
          <w:szCs w:val="32"/>
          <w:lang w:eastAsia="zh-CN"/>
        </w:rPr>
        <w:t>：</w:t>
      </w:r>
      <w:r>
        <w:rPr>
          <w:rFonts w:hint="eastAsia" w:ascii="Times New Roman" w:hAnsi="Times New Roman"/>
          <w:sz w:val="32"/>
          <w:szCs w:val="32"/>
        </w:rPr>
        <w:t>本报告中“演出人员满意度”（绩效目标三级指标）与“综合满意度”（整体效益参考指标）为两个不同口径：演出人员满意度仅针对第6题单一问题计算，公式为（178×1）/178×100%=100%；综合满意度为6个问题满意度的算术平均值，计算得99.82%。</w:t>
      </w:r>
    </w:p>
    <w:bookmarkEnd w:id="667"/>
    <w:bookmarkEnd w:id="668"/>
    <w:bookmarkEnd w:id="669"/>
    <w:bookmarkEnd w:id="670"/>
    <w:bookmarkEnd w:id="671"/>
    <w:p w14:paraId="5E0B5521">
      <w:pPr>
        <w:spacing w:line="560" w:lineRule="exact"/>
        <w:ind w:firstLine="643" w:firstLineChars="200"/>
        <w:rPr>
          <w:rFonts w:ascii="Times New Roman" w:hAnsi="Times New Roman"/>
          <w:b/>
          <w:bCs/>
          <w:kern w:val="0"/>
          <w:sz w:val="32"/>
          <w:szCs w:val="32"/>
          <w:lang w:bidi="en-US"/>
        </w:rPr>
      </w:pPr>
      <w:r>
        <w:rPr>
          <w:rFonts w:hint="eastAsia" w:ascii="Times New Roman" w:hAnsi="Times New Roman"/>
          <w:b/>
          <w:bCs/>
          <w:kern w:val="0"/>
          <w:sz w:val="32"/>
          <w:szCs w:val="32"/>
          <w:lang w:bidi="en-US"/>
        </w:rPr>
        <w:t>综上，满意度指标得分</w:t>
      </w:r>
      <w:r>
        <w:rPr>
          <w:rFonts w:hint="eastAsia" w:ascii="Times New Roman" w:hAnsi="Times New Roman"/>
          <w:b/>
          <w:bCs/>
          <w:kern w:val="0"/>
          <w:sz w:val="32"/>
          <w:szCs w:val="32"/>
          <w:lang w:val="en-US" w:eastAsia="zh-CN" w:bidi="en-US"/>
        </w:rPr>
        <w:t>5</w:t>
      </w:r>
      <w:r>
        <w:rPr>
          <w:rFonts w:hint="eastAsia" w:ascii="Times New Roman" w:hAnsi="Times New Roman"/>
          <w:b/>
          <w:bCs/>
          <w:kern w:val="0"/>
          <w:sz w:val="32"/>
          <w:szCs w:val="32"/>
          <w:lang w:bidi="en-US"/>
        </w:rPr>
        <w:t>分。</w:t>
      </w:r>
    </w:p>
    <w:p w14:paraId="55249A33">
      <w:pPr>
        <w:spacing w:line="560" w:lineRule="exact"/>
        <w:ind w:firstLine="643" w:firstLineChars="200"/>
        <w:rPr>
          <w:rFonts w:hint="eastAsia" w:ascii="Times New Roman" w:hAnsi="Times New Roman"/>
          <w:b/>
          <w:bCs/>
          <w:kern w:val="0"/>
          <w:sz w:val="32"/>
          <w:szCs w:val="32"/>
          <w:lang w:bidi="en-US"/>
        </w:rPr>
      </w:pPr>
      <w:r>
        <w:rPr>
          <w:rFonts w:hint="eastAsia" w:ascii="Times New Roman" w:hAnsi="Times New Roman"/>
          <w:b/>
          <w:bCs/>
          <w:kern w:val="0"/>
          <w:sz w:val="32"/>
          <w:szCs w:val="32"/>
          <w:lang w:bidi="en-US"/>
        </w:rPr>
        <w:t>综上所述，效益情况得</w:t>
      </w:r>
      <w:r>
        <w:rPr>
          <w:rFonts w:hint="eastAsia" w:ascii="Times New Roman" w:hAnsi="Times New Roman"/>
          <w:b/>
          <w:bCs/>
          <w:kern w:val="0"/>
          <w:sz w:val="32"/>
          <w:szCs w:val="32"/>
          <w:lang w:val="en-US" w:eastAsia="zh-CN" w:bidi="en-US"/>
        </w:rPr>
        <w:t>15</w:t>
      </w:r>
      <w:r>
        <w:rPr>
          <w:rFonts w:hint="eastAsia" w:ascii="Times New Roman" w:hAnsi="Times New Roman"/>
          <w:b/>
          <w:bCs/>
          <w:kern w:val="0"/>
          <w:sz w:val="32"/>
          <w:szCs w:val="32"/>
          <w:lang w:bidi="en-US"/>
        </w:rPr>
        <w:t>分。</w:t>
      </w:r>
    </w:p>
    <w:p w14:paraId="25433DCA">
      <w:pPr>
        <w:pStyle w:val="37"/>
        <w:widowControl w:val="0"/>
        <w:spacing w:before="0" w:after="0"/>
        <w:ind w:left="0" w:firstLine="640" w:firstLineChars="200"/>
        <w:rPr>
          <w:rFonts w:hint="default" w:ascii="Times New Roman" w:hAnsi="Times New Roman" w:cs="黑体"/>
          <w:bCs w:val="0"/>
        </w:rPr>
      </w:pPr>
      <w:bookmarkStart w:id="672" w:name="_Toc20444"/>
      <w:r>
        <w:rPr>
          <w:rFonts w:hint="eastAsia" w:ascii="Times New Roman" w:hAnsi="Times New Roman" w:cs="黑体"/>
          <w:bCs w:val="0"/>
          <w:lang w:val="en-US" w:eastAsia="zh-CN"/>
        </w:rPr>
        <w:t>五、</w:t>
      </w:r>
      <w:r>
        <w:rPr>
          <w:rFonts w:hint="default" w:ascii="Times New Roman" w:hAnsi="Times New Roman" w:cs="黑体"/>
          <w:bCs w:val="0"/>
        </w:rPr>
        <w:t>主要经验及做法、存在的问题及原因分析</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72"/>
      <w:bookmarkStart w:id="673" w:name="_Toc28975"/>
      <w:bookmarkStart w:id="674" w:name="_Toc10844"/>
      <w:bookmarkStart w:id="675" w:name="_Toc9498"/>
      <w:bookmarkStart w:id="676" w:name="_Toc18292"/>
      <w:bookmarkStart w:id="677" w:name="_Toc25751"/>
      <w:bookmarkStart w:id="678" w:name="_Toc12092"/>
      <w:bookmarkStart w:id="679" w:name="_Toc29678"/>
      <w:bookmarkStart w:id="680" w:name="_Toc15340"/>
      <w:bookmarkStart w:id="681" w:name="_Toc19818"/>
      <w:bookmarkStart w:id="682" w:name="_Toc7468"/>
      <w:bookmarkStart w:id="683" w:name="_Toc18985"/>
      <w:bookmarkStart w:id="684" w:name="_Toc4525"/>
      <w:bookmarkStart w:id="685" w:name="_Toc14726"/>
      <w:bookmarkStart w:id="686" w:name="_Toc9146"/>
      <w:bookmarkStart w:id="687" w:name="_Toc11966"/>
      <w:bookmarkStart w:id="688" w:name="_Toc19541"/>
      <w:bookmarkStart w:id="689" w:name="_Toc17646"/>
      <w:bookmarkStart w:id="690" w:name="_Toc24902"/>
      <w:bookmarkStart w:id="691" w:name="_Toc24703"/>
      <w:bookmarkStart w:id="692" w:name="_Toc18954"/>
      <w:bookmarkStart w:id="693" w:name="_Toc30048"/>
      <w:bookmarkStart w:id="694" w:name="_Toc12510"/>
      <w:bookmarkStart w:id="695" w:name="_Toc16884"/>
      <w:bookmarkStart w:id="696" w:name="_Toc31901"/>
      <w:bookmarkStart w:id="697" w:name="_Toc15877"/>
      <w:bookmarkStart w:id="698" w:name="_Toc13148"/>
      <w:bookmarkStart w:id="699" w:name="_Toc29446"/>
      <w:bookmarkStart w:id="700" w:name="_Toc20936"/>
      <w:bookmarkStart w:id="701" w:name="_Toc22218"/>
      <w:bookmarkStart w:id="702" w:name="_Toc11280"/>
      <w:bookmarkStart w:id="703" w:name="_Toc28058"/>
      <w:bookmarkStart w:id="704" w:name="_Toc6613"/>
      <w:bookmarkStart w:id="705" w:name="_Toc13806"/>
      <w:bookmarkStart w:id="706" w:name="_Toc19644"/>
      <w:bookmarkStart w:id="707" w:name="_Toc27226"/>
      <w:bookmarkStart w:id="708" w:name="_Toc3161"/>
      <w:bookmarkStart w:id="709" w:name="_Toc29263"/>
      <w:bookmarkStart w:id="710" w:name="_Toc31579"/>
      <w:bookmarkStart w:id="711" w:name="_Toc5431"/>
      <w:bookmarkStart w:id="712" w:name="_Toc18644"/>
      <w:bookmarkStart w:id="713" w:name="_Toc24996"/>
      <w:bookmarkStart w:id="714" w:name="_Toc26364"/>
    </w:p>
    <w:p w14:paraId="13B761B5">
      <w:pPr>
        <w:pStyle w:val="37"/>
        <w:spacing w:before="0" w:after="0"/>
        <w:ind w:left="0" w:firstLine="643" w:firstLineChars="200"/>
        <w:outlineLvl w:val="9"/>
        <w:rPr>
          <w:rFonts w:hint="eastAsia" w:ascii="Times New Roman" w:hAnsi="Times New Roman" w:eastAsia="楷体" w:cs="楷体"/>
          <w:b/>
          <w:lang w:eastAsia="zh-CN"/>
        </w:rPr>
      </w:pPr>
      <w:bookmarkStart w:id="715" w:name="_Toc7827"/>
      <w:r>
        <w:rPr>
          <w:rFonts w:hint="eastAsia" w:ascii="Times New Roman" w:hAnsi="Times New Roman" w:eastAsia="楷体" w:cs="楷体"/>
          <w:b/>
          <w:lang w:eastAsia="zh-CN"/>
        </w:rPr>
        <w:t>（一）主要经验及做法</w:t>
      </w:r>
      <w:bookmarkEnd w:id="715"/>
    </w:p>
    <w:p w14:paraId="471BA1D5">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1.项</w:t>
      </w:r>
      <w:r>
        <w:rPr>
          <w:rFonts w:hint="default" w:ascii="Times New Roman" w:hAnsi="Times New Roman" w:cs="Times New Roman"/>
          <w:b/>
          <w:bCs/>
          <w:sz w:val="32"/>
          <w:szCs w:val="32"/>
          <w:lang w:val="en-US" w:eastAsia="zh-CN"/>
        </w:rPr>
        <w:t>目立项与政策衔接紧密，战略导向明确</w:t>
      </w:r>
    </w:p>
    <w:p w14:paraId="2C811A1F">
      <w:pPr>
        <w:spacing w:line="560" w:lineRule="exact"/>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本项目紧紧围绕喀什市委、市政府关于文旅产业高质量发展的决策部署，以巩固和放大2024年央视春晚喀什分会场效应为切入点，依托春晚分会场舞台开展《新疆是个好地方》大型主题演出活动。项目的立项与“旅游兴疆”战略、“不到喀什不算到新疆”文旅品牌建设高度契合，体现了“以项目促品牌、以品牌带产业、以产业惠民生”的良性发展思路。这种紧扣政策导向的项目谋划方式，不仅确保了项目立项的合规性和必要性，也使项目资金投向与区域发展战略目标保持一致，提高了财政资金使用的宏观效益。</w:t>
      </w:r>
    </w:p>
    <w:p w14:paraId="0E28B52B">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2.项</w:t>
      </w:r>
      <w:r>
        <w:rPr>
          <w:rFonts w:hint="default" w:ascii="Times New Roman" w:hAnsi="Times New Roman" w:cs="Times New Roman"/>
          <w:b/>
          <w:bCs/>
          <w:sz w:val="32"/>
          <w:szCs w:val="32"/>
          <w:lang w:val="en-US" w:eastAsia="zh-CN"/>
        </w:rPr>
        <w:t>目产出全面达标，绩效目标实现度高</w:t>
      </w:r>
    </w:p>
    <w:p w14:paraId="3112940D">
      <w:pPr>
        <w:spacing w:line="560" w:lineRule="exact"/>
        <w:ind w:firstLine="640" w:firstLineChars="200"/>
        <w:rPr>
          <w:rFonts w:hint="eastAsia" w:ascii="Times New Roman" w:hAnsi="Times New Roman" w:cs="Times New Roman"/>
          <w:b/>
          <w:bCs/>
          <w:lang w:val="en-US" w:eastAsia="zh-CN"/>
        </w:rPr>
      </w:pPr>
      <w:r>
        <w:rPr>
          <w:rFonts w:hint="eastAsia" w:ascii="Times New Roman" w:hAnsi="Times New Roman" w:cs="Times New Roman"/>
          <w:sz w:val="32"/>
          <w:szCs w:val="32"/>
          <w:lang w:val="en-US" w:eastAsia="zh-CN"/>
        </w:rPr>
        <w:t>从产出维度来看，本项目的3项数量指标（演出广告宣传场次、租赁灯光设备数量、演出租赁设备数量）、1项质量指标（设备验收合格率）、1项时效指标（设备租赁及时率）以及5项成本指标均100%达到年度目标值。这充分说明项目单位在项目实施过程中，能够严格按照绩效目标的要求组织推进，各项产出指标完成度较高，既定产出目标均已实现。项目产出层面的全面达标，为后续效益目标的实现奠定了坚实基础</w:t>
      </w:r>
      <w:r>
        <w:rPr>
          <w:rFonts w:hint="default" w:ascii="Times New Roman" w:hAnsi="Times New Roman" w:cs="Times New Roman"/>
          <w:sz w:val="32"/>
          <w:szCs w:val="32"/>
          <w:lang w:val="en-US" w:eastAsia="zh-CN"/>
        </w:rPr>
        <w:t>。</w:t>
      </w:r>
      <w:r>
        <w:rPr>
          <w:rFonts w:hint="eastAsia" w:ascii="Times New Roman" w:hAnsi="Times New Roman" w:cs="Times New Roman"/>
          <w:b/>
          <w:bCs/>
          <w:lang w:val="en-US" w:eastAsia="zh-CN"/>
        </w:rPr>
        <w:t xml:space="preserve">    </w:t>
      </w:r>
    </w:p>
    <w:p w14:paraId="11FECD11">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3.演出人员</w:t>
      </w:r>
      <w:r>
        <w:rPr>
          <w:rFonts w:hint="default" w:ascii="Times New Roman" w:hAnsi="Times New Roman" w:cs="Times New Roman"/>
          <w:b/>
          <w:bCs/>
          <w:sz w:val="32"/>
          <w:szCs w:val="32"/>
          <w:lang w:val="en-US" w:eastAsia="zh-CN"/>
        </w:rPr>
        <w:t>对象满意度高，项目社会效益显著</w:t>
      </w:r>
    </w:p>
    <w:p w14:paraId="22D18CEB">
      <w:pPr>
        <w:pStyle w:val="37"/>
        <w:spacing w:before="0" w:after="0"/>
        <w:ind w:left="0" w:firstLine="640" w:firstLineChars="200"/>
        <w:outlineLvl w:val="9"/>
        <w:rPr>
          <w:rFonts w:hint="default" w:ascii="Times New Roman" w:hAnsi="Times New Roman" w:eastAsia="仿宋_GB2312" w:cs="Times New Roman"/>
          <w:kern w:val="2"/>
          <w:sz w:val="32"/>
          <w:szCs w:val="32"/>
          <w:lang w:val="en-US" w:eastAsia="zh-CN" w:bidi="ar-SA"/>
        </w:rPr>
      </w:pPr>
      <w:bookmarkStart w:id="716" w:name="_Toc25252"/>
      <w:bookmarkStart w:id="717" w:name="_Toc9108"/>
      <w:r>
        <w:rPr>
          <w:rFonts w:hint="default" w:ascii="Times New Roman" w:hAnsi="Times New Roman" w:eastAsia="仿宋_GB2312" w:cs="Times New Roman"/>
          <w:kern w:val="2"/>
          <w:sz w:val="32"/>
          <w:szCs w:val="32"/>
          <w:lang w:val="en-US" w:eastAsia="zh-CN" w:bidi="ar-SA"/>
        </w:rPr>
        <w:t>根据项目单位提供的满意度调查数据，演出人员综合满意度达到99.82%</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远超过95%的年度指标值。这一数据表明，项目保障工作得到了服务对象的高度认可，演职人员对灯光设备、舞台效果、后勤保障等方面的满意度均处于较高水平。在项目资金规模有限（49.40万元）的情况下，能够取得如此高的满意度评价，反映出项目单位在有限的资源条件下，通过科学统筹和精细管理，实现了较好的投入产出效益。</w:t>
      </w:r>
      <w:bookmarkEnd w:id="716"/>
      <w:bookmarkEnd w:id="717"/>
    </w:p>
    <w:p w14:paraId="6B560F84">
      <w:pPr>
        <w:pStyle w:val="37"/>
        <w:spacing w:before="0" w:after="0"/>
        <w:ind w:left="0" w:firstLine="643" w:firstLineChars="200"/>
        <w:outlineLvl w:val="9"/>
        <w:rPr>
          <w:rFonts w:hint="eastAsia" w:ascii="Times New Roman" w:hAnsi="Times New Roman" w:eastAsia="楷体" w:cs="楷体"/>
          <w:b/>
          <w:lang w:eastAsia="zh-CN"/>
        </w:rPr>
      </w:pPr>
      <w:bookmarkStart w:id="718" w:name="_Toc80"/>
      <w:r>
        <w:rPr>
          <w:rFonts w:hint="eastAsia" w:ascii="Times New Roman" w:hAnsi="Times New Roman" w:eastAsia="楷体" w:cs="楷体"/>
          <w:b/>
          <w:lang w:eastAsia="zh-CN"/>
        </w:rPr>
        <w:t>（二）存在的问题及原因分析</w:t>
      </w:r>
      <w:bookmarkEnd w:id="718"/>
    </w:p>
    <w:p w14:paraId="3E9D34CA">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1.资金支付与合同约定存在时间偏差</w:t>
      </w:r>
    </w:p>
    <w:p w14:paraId="1844BD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1）现象描述。项目单位与三家供应商签订的《新疆是个好地方演出设备租赁合同》约定：“项目结束后七日内支付50%”。项目服务期自2025年4月26日至7月31日，应于8月7日前完成支付。但“国库集中支付凭证”显示实际支付时间为8月25日，延迟18天，违反合同约定。</w:t>
      </w:r>
    </w:p>
    <w:p w14:paraId="73A273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直接原因：经办人未预留审批时间，内部流程耗时过长。该笔资金须经“经办人申请→业务科室审核→财务科审核→分管领导审批→主要领导审批→国库集中支付”六个环节。经办人于8月上旬启动申请，审批流转耗时约18天，超出合同约定期限。经办人未在合同约定的支付节点前预留审批时间，是超期的直接操作原因。</w:t>
      </w:r>
    </w:p>
    <w:p w14:paraId="606AA6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深层原因：业务与财务部门信息割裂，合同履约缺乏联动。业务部门签合同、财务部门管支付，但两者信息不互通。业务部门未将支付节点告知财务部门，财务部门未提前安排资金调度。合同履约管理与资金支付管理两个链条并行运转，缺乏交叉联动的信息共享机制，导致支付启动时已错过最佳时间窗口。</w:t>
      </w:r>
    </w:p>
    <w:p w14:paraId="5E8219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制度根源：内部控制制度未覆盖合同履约跟踪环节。单位虽制定了《喀什市文化体育广播电视和旅游局财务管理制度》《喀什市文化体育广播电视和旅游局收入支出管理内部控制制度》，但均聚焦于“审批权限和程序”，对合同履约跟踪、支付节点预警、业务与财务信息共享等环节缺乏制度安排。具体表现为：一是无合同履约台账管理制度，合同签订后即归档，无动态跟踪；二是无支付到期预警机制，节点时间完全依赖经办人记忆；三是合同管理与绩效考核脱钩，履约偏差无责任追究。</w:t>
      </w:r>
    </w:p>
    <w:p w14:paraId="70AC40E6">
      <w:pPr>
        <w:spacing w:line="560" w:lineRule="exact"/>
        <w:ind w:firstLine="643" w:firstLineChars="200"/>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2.履约验收单内容不完整，验收文书不合规</w:t>
      </w:r>
    </w:p>
    <w:p w14:paraId="446EE9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1）现象描述。经检查项目验收单，存在三方面问题：一是缺失实际验收时间，无法将验收与项目实施、资金支付进行关联比对；二是无验收小组成员手写签字，无法确认验收主体是否到场、是否对结果负责；三是缺失验收结论，未对供应商履约是否合格做出判定，使验收结果失去法律效力。根据财政部《关于进一步加强政府采购需求和履约验收管理的指导意见》（财库〔2016〕205号）第（八）条，验收书应“列明各项标准的验收情况及项目总体评价，由验收双方共同签署”，本项目验收单未达到此要求。</w:t>
      </w:r>
    </w:p>
    <w:p w14:paraId="6411BA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直接原因：验收人员对法定验收要求不了解，凭经验操作。验收人员将验收工作理解为“确认设备到场即可”，凭习惯而非规范填写验收单，未意识到验收时间、签字确认、验收结论等要素在法律上的必要性。验收单设计本身也未体现“逐项确认技术、服务、安全标准”的要求，验收流于形式。</w:t>
      </w:r>
    </w:p>
    <w:p w14:paraId="66A0CD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深层原因：缺乏系统化的验收操作规范和标准化工具。单位内部缺乏统一的验收管理制度和标准化验收文书模板。验收人员无统一格式可依，只能沿用旧版或自行设计验收单，格式不统一、要素不完整。验收完成后也无复核审查环节，问题未被及时发现。</w:t>
      </w:r>
    </w:p>
    <w:p w14:paraId="46A9D8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4）制度根源：验收制度内容笼统，可操作性不足。单位虽制定了《喀什市文化体育广播电视和旅游局履约验收制度》（2025年3月20日），但该制度内容简略，仅规定了“三方共同验收”“入库单签字”等基础要求，对验收书的必备要素（时间、签字、结论、逐项确认情况等）缺乏细化规定，也未提供标准化模板。根据《中华人民共和国政府采购法实施条例》第四十五条，采购人应当“按照政府采购合同规定的技术、服务、安全标准组织对供应商履约情况进行验收，并出具验收书”，该单位内部制度未将这一法定要求转化为可操作的具体规范，验收文书质量完全取决于经办人个人认知，缺乏制度性保障。</w:t>
      </w:r>
    </w:p>
    <w:p w14:paraId="0CD02658">
      <w:pPr>
        <w:pStyle w:val="37"/>
        <w:widowControl w:val="0"/>
        <w:spacing w:before="0" w:after="0"/>
        <w:ind w:left="0" w:firstLine="640" w:firstLineChars="200"/>
        <w:rPr>
          <w:rFonts w:ascii="Times New Roman" w:hAnsi="Times New Roman" w:cs="黑体"/>
          <w:bCs w:val="0"/>
        </w:rPr>
      </w:pPr>
      <w:bookmarkStart w:id="719" w:name="_Toc10579"/>
      <w:r>
        <w:rPr>
          <w:rFonts w:ascii="Times New Roman" w:hAnsi="Times New Roman" w:cs="黑体"/>
          <w:bCs w:val="0"/>
        </w:rPr>
        <w:t>六、有关建议</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9"/>
    </w:p>
    <w:p w14:paraId="384285CD">
      <w:pPr>
        <w:spacing w:line="560" w:lineRule="exact"/>
        <w:ind w:firstLine="643" w:firstLineChars="200"/>
        <w:rPr>
          <w:rFonts w:hint="default" w:ascii="Times New Roman" w:hAnsi="Times New Roman" w:cs="Times New Roman"/>
          <w:b/>
          <w:bCs/>
          <w:sz w:val="32"/>
          <w:szCs w:val="32"/>
          <w:lang w:val="en-US" w:eastAsia="zh-CN"/>
        </w:rPr>
      </w:pPr>
      <w:bookmarkStart w:id="720" w:name="_Toc29147"/>
      <w:bookmarkStart w:id="721" w:name="_Toc4542"/>
      <w:bookmarkStart w:id="722" w:name="_Toc6931"/>
      <w:bookmarkStart w:id="723" w:name="_Toc21147"/>
      <w:bookmarkStart w:id="724" w:name="_Toc8535"/>
      <w:bookmarkStart w:id="725" w:name="_Toc11409"/>
      <w:bookmarkStart w:id="726" w:name="_Toc12754"/>
      <w:bookmarkStart w:id="727" w:name="_Toc12577"/>
      <w:bookmarkStart w:id="728" w:name="_Toc15171"/>
      <w:bookmarkStart w:id="729" w:name="_Toc27939"/>
      <w:bookmarkStart w:id="730" w:name="_Toc87"/>
      <w:bookmarkStart w:id="731" w:name="_Toc32244"/>
      <w:bookmarkStart w:id="732" w:name="_Toc2515"/>
      <w:bookmarkStart w:id="733" w:name="_Toc22584"/>
      <w:bookmarkStart w:id="734" w:name="_Toc29616"/>
      <w:bookmarkStart w:id="735" w:name="_Toc1681"/>
      <w:bookmarkStart w:id="736" w:name="_Toc17695"/>
      <w:r>
        <w:rPr>
          <w:rFonts w:hint="eastAsia" w:ascii="Times New Roman" w:hAnsi="Times New Roman" w:cs="Times New Roman"/>
          <w:b/>
          <w:bCs/>
          <w:sz w:val="32"/>
          <w:szCs w:val="32"/>
          <w:lang w:val="en-US" w:eastAsia="zh-CN"/>
        </w:rPr>
        <w:t>1.建立合同履约跟踪机制，从制度层面保障资金支付按约执行</w:t>
      </w:r>
    </w:p>
    <w:p w14:paraId="4AAFC6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一是建立合同履约台账制度。由财务科牵头，对每份合同的核心条款（支付时间、支付比例、验收节点等）进行统一登记，指定专人动态跟踪，台账定期向业务部门同步共享，确保合同信息在业务与财务之间实时互通。</w:t>
      </w:r>
    </w:p>
    <w:p w14:paraId="622156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二是建立支付到期预警机制。在合同约定的支付节点前15天，由合同管理责任人发起预警通知，提醒经办人启动支付申请，同时抄送财务部门提前安排资金调度，确保审批流程有充足时间。</w:t>
      </w:r>
    </w:p>
    <w:p w14:paraId="373E0B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三是推行审批限时办结。修订《收入支出管理内部控制制度》，增加审批时限条款，明确各环节最长办理时限，超时自动督办，杜绝审批流程耗时不可控的问题。</w:t>
      </w:r>
    </w:p>
    <w:p w14:paraId="3AABE0A4">
      <w:pPr>
        <w:spacing w:line="560" w:lineRule="exact"/>
        <w:ind w:firstLine="643" w:firstLineChars="200"/>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2.完善履约验收制度，用标准化工具规范验收行为</w:t>
      </w:r>
    </w:p>
    <w:p w14:paraId="49063E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一是修订《履约验收制度》，细化验收文书要素。以《中华人民共和国政府采购法实施条例》第四十五条、财库〔2016〕205号文为依据，完善验收制度，明确验收书必备要素：①验收项目名称及合同编号；②验收时间、地点；③验收小组成员名单及手写签字；④合同约定的各项履约要求及逐一验收情况；⑤验收结论（明确表述为“通过验收”或“不通过验收”）；⑥验收小组负责人签字及单位盖章。</w:t>
      </w:r>
    </w:p>
    <w:p w14:paraId="5351A4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二是设计标准化验收文书模板。将上述必备要素预置在模板中，验收人员按模板逐项填写即可，从工具层面降低不规范概率。</w:t>
      </w:r>
    </w:p>
    <w:p w14:paraId="3244E7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三是建立验收质量复核机制。验收完成后，验收书须经科室负责人审核签字，确认要素齐全后再归档，不完整的退回补充完善，从流程上把好质量关。</w:t>
      </w:r>
    </w:p>
    <w:p w14:paraId="63C9C9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四是加强政府采购验收法规培训。定期组织项目经办人员、财务人员及相关管理人员学习《中华人民共和国政府采购法》及其实施条例、财库〔2016〕205号文等法规，确保验收操作“有法可依、有章可循、有据可查”。</w:t>
      </w:r>
    </w:p>
    <w:p w14:paraId="5D330850">
      <w:pPr>
        <w:pStyle w:val="37"/>
        <w:widowControl w:val="0"/>
        <w:spacing w:before="0" w:after="0"/>
        <w:ind w:left="0" w:leftChars="0" w:firstLine="640" w:firstLineChars="200"/>
        <w:rPr>
          <w:rFonts w:ascii="Times New Roman" w:hAnsi="Times New Roman" w:cs="黑体"/>
          <w:bCs w:val="0"/>
        </w:rPr>
      </w:pPr>
      <w:bookmarkStart w:id="737" w:name="_Toc10581"/>
      <w:r>
        <w:rPr>
          <w:rFonts w:ascii="Times New Roman" w:hAnsi="Times New Roman" w:cs="黑体"/>
          <w:bCs w:val="0"/>
        </w:rPr>
        <w:t>七、其他需要说明的问题</w:t>
      </w:r>
      <w:bookmarkEnd w:id="737"/>
    </w:p>
    <w:p w14:paraId="076E7D03">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针对上述绩效评价报告结果提出结果应用建议如下：</w:t>
      </w:r>
    </w:p>
    <w:p w14:paraId="7F5A1E52">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（一）绩效结果挂钩次年预算资金安排</w:t>
      </w:r>
    </w:p>
    <w:p w14:paraId="77FC6D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sz w:val="32"/>
          <w:szCs w:val="32"/>
        </w:rPr>
      </w:pPr>
      <w:r>
        <w:rPr>
          <w:rFonts w:hint="eastAsia" w:ascii="Times New Roman" w:hAnsi="Times New Roman"/>
          <w:sz w:val="32"/>
          <w:szCs w:val="32"/>
        </w:rPr>
        <w:t>为有效提高财政预算资金的经济性、效率性以及效益性，建议将本次绩效评价结果作为预算单位次年预算编制的重要依据，并优化支出结构、完善相关办法、改进预算管理。对绩效评价结果为“优秀”和“良好”的项目，建议根据政策制度，结合喀什地区工作安排以及本级财力情况等因素，原则上优先予以保障。对绩效评价结果为“一般”的项目，项目实施单位应针对性提出整改措施，落实到位。本级财政部门在编制次年该预算单位同类型项目支出时，按比例扣减预算，具体扣减比例计算方式为：（80－项目绩效评价结果得分）/100。对绩效评价结果“较差”的项目，本级财政部门原则上不在次年预算中给予安排。</w:t>
      </w:r>
    </w:p>
    <w:p w14:paraId="3E72CDF0">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（二）绩效结果挂钩整改措施</w:t>
      </w:r>
    </w:p>
    <w:p w14:paraId="77919FF9">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根据本次绩效评价报告中所反馈的问题和建议，由项目实施单位及时研究制定整改措施，积极落实整改要求，切实改进资金管理和项目管理，并在规定的时间内，将整改情况向喀什</w:t>
      </w:r>
      <w:r>
        <w:rPr>
          <w:rFonts w:hint="eastAsia" w:ascii="Times New Roman" w:hAnsi="Times New Roman"/>
          <w:sz w:val="32"/>
          <w:szCs w:val="32"/>
          <w:lang w:val="en-US" w:eastAsia="zh-CN"/>
        </w:rPr>
        <w:t>市</w:t>
      </w:r>
      <w:r>
        <w:rPr>
          <w:rFonts w:hint="eastAsia" w:ascii="Times New Roman" w:hAnsi="Times New Roman"/>
          <w:sz w:val="32"/>
          <w:szCs w:val="32"/>
        </w:rPr>
        <w:t>财政局行文报告，并附《绩效评价结果整改报告》。</w:t>
      </w:r>
    </w:p>
    <w:p w14:paraId="2FF883D1">
      <w:pPr>
        <w:pStyle w:val="36"/>
        <w:ind w:firstLine="643"/>
        <w:rPr>
          <w:rFonts w:hint="eastAsia" w:ascii="Times New Roman" w:hAnsi="Times New Roman" w:eastAsia="楷体" w:cs="楷体"/>
          <w:b/>
          <w:bCs/>
          <w:lang w:bidi="ar-SA"/>
        </w:rPr>
      </w:pPr>
      <w:r>
        <w:rPr>
          <w:rFonts w:hint="eastAsia" w:ascii="Times New Roman" w:hAnsi="Times New Roman" w:eastAsia="楷体" w:cs="楷体"/>
          <w:b/>
          <w:bCs/>
          <w:lang w:bidi="ar-SA"/>
        </w:rPr>
        <w:t>（三）绩效结果挂钩报告公开</w:t>
      </w:r>
    </w:p>
    <w:p w14:paraId="78E46FB5">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积极推进评价结果和评价报告等绩效信息的公开。按照政府信息公开有关规定，由喀什</w:t>
      </w:r>
      <w:r>
        <w:rPr>
          <w:rFonts w:hint="eastAsia" w:ascii="Times New Roman" w:hAnsi="Times New Roman"/>
          <w:sz w:val="32"/>
          <w:szCs w:val="32"/>
          <w:lang w:val="en-US" w:eastAsia="zh-CN"/>
        </w:rPr>
        <w:t>市</w:t>
      </w:r>
      <w:r>
        <w:rPr>
          <w:rFonts w:hint="eastAsia" w:ascii="Times New Roman" w:hAnsi="Times New Roman"/>
          <w:sz w:val="32"/>
          <w:szCs w:val="32"/>
        </w:rPr>
        <w:t>财政局将本次绩效评价的结果信息进行公开，加强社会和舆论监督，提高财政资金使用透明度。</w:t>
      </w:r>
    </w:p>
    <w:p w14:paraId="272F2F6B">
      <w:pPr>
        <w:pStyle w:val="37"/>
        <w:widowControl w:val="0"/>
        <w:spacing w:before="0" w:after="0"/>
        <w:ind w:left="0" w:firstLine="640" w:firstLineChars="200"/>
        <w:rPr>
          <w:rFonts w:ascii="Times New Roman" w:hAnsi="Times New Roman" w:cs="黑体"/>
          <w:bCs w:val="0"/>
        </w:rPr>
      </w:pPr>
      <w:bookmarkStart w:id="738" w:name="_Toc19993"/>
      <w:r>
        <w:rPr>
          <w:rFonts w:ascii="Times New Roman" w:hAnsi="Times New Roman" w:cs="黑体"/>
          <w:bCs w:val="0"/>
        </w:rPr>
        <w:t>八、绩效评价结果应用建议</w:t>
      </w:r>
      <w:bookmarkEnd w:id="738"/>
    </w:p>
    <w:p w14:paraId="644EF6D2">
      <w:pPr>
        <w:spacing w:line="560" w:lineRule="exact"/>
        <w:ind w:firstLine="600" w:firstLineChars="200"/>
        <w:jc w:val="left"/>
        <w:rPr>
          <w:rFonts w:ascii="Times New Roman" w:hAnsi="Times New Roman"/>
        </w:rPr>
      </w:pPr>
      <w:r>
        <w:rPr>
          <w:rFonts w:hint="eastAsia" w:ascii="Times New Roman" w:hAnsi="Times New Roman"/>
          <w:kern w:val="2"/>
          <w:lang w:bidi="ar-SA"/>
        </w:rPr>
        <w:t>本项目绩效评价结果为“</w:t>
      </w:r>
      <w:r>
        <w:rPr>
          <w:rFonts w:hint="eastAsia" w:ascii="Times New Roman" w:hAnsi="Times New Roman"/>
          <w:kern w:val="2"/>
          <w:lang w:val="en-US" w:eastAsia="zh-CN" w:bidi="ar-SA"/>
        </w:rPr>
        <w:t>优</w:t>
      </w:r>
      <w:r>
        <w:rPr>
          <w:rFonts w:hint="eastAsia" w:ascii="Times New Roman" w:hAnsi="Times New Roman"/>
          <w:kern w:val="2"/>
          <w:lang w:bidi="ar-SA"/>
        </w:rPr>
        <w:t>”。根据财政部《项目支出绩效评价管理办法》（财预〔2020〕10号）规定，对评价等级为</w:t>
      </w:r>
      <w:r>
        <w:rPr>
          <w:rFonts w:hint="eastAsia" w:ascii="Times New Roman" w:hAnsi="Times New Roman"/>
          <w:kern w:val="2"/>
          <w:lang w:val="en-US" w:eastAsia="zh-CN" w:bidi="ar-SA"/>
        </w:rPr>
        <w:t>优</w:t>
      </w:r>
      <w:r>
        <w:rPr>
          <w:rFonts w:hint="eastAsia" w:ascii="Times New Roman" w:hAnsi="Times New Roman"/>
          <w:kern w:val="2"/>
          <w:lang w:bidi="ar-SA"/>
        </w:rPr>
        <w:t>的项目，</w:t>
      </w:r>
      <w:r>
        <w:rPr>
          <w:rFonts w:hint="eastAsia" w:ascii="Times New Roman" w:hAnsi="Times New Roman"/>
          <w:kern w:val="2"/>
          <w:lang w:val="en-US" w:eastAsia="zh-CN" w:bidi="ar-SA"/>
        </w:rPr>
        <w:t>优先</w:t>
      </w:r>
      <w:r>
        <w:rPr>
          <w:rFonts w:hint="eastAsia" w:ascii="Times New Roman" w:hAnsi="Times New Roman" w:eastAsia="仿宋_GB2312" w:cs="Times New Roman"/>
          <w:kern w:val="2"/>
          <w:sz w:val="32"/>
          <w:szCs w:val="32"/>
          <w:lang w:val="en-US" w:eastAsia="zh-CN" w:bidi="ar-SA"/>
        </w:rPr>
        <w:t>予以安排。</w:t>
      </w:r>
    </w:p>
    <w:p w14:paraId="5D845344">
      <w:pPr>
        <w:spacing w:line="560" w:lineRule="exact"/>
        <w:jc w:val="left"/>
        <w:rPr>
          <w:rFonts w:ascii="Times New Roman" w:hAnsi="Times New Roman"/>
          <w:sz w:val="32"/>
          <w:szCs w:val="32"/>
        </w:rPr>
      </w:pPr>
    </w:p>
    <w:p w14:paraId="7EA2732D">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附件1</w:t>
      </w:r>
      <w:bookmarkEnd w:id="720"/>
      <w:bookmarkEnd w:id="721"/>
      <w:bookmarkEnd w:id="722"/>
      <w:bookmarkEnd w:id="723"/>
      <w:bookmarkEnd w:id="724"/>
      <w:bookmarkEnd w:id="725"/>
      <w:bookmarkEnd w:id="726"/>
      <w:bookmarkEnd w:id="727"/>
      <w:r>
        <w:rPr>
          <w:rFonts w:hint="eastAsia" w:ascii="Times New Roman" w:hAnsi="Times New Roman"/>
          <w:sz w:val="32"/>
          <w:szCs w:val="32"/>
          <w:lang w:eastAsia="zh-CN"/>
        </w:rPr>
        <w:t>:</w:t>
      </w:r>
      <w:r>
        <w:rPr>
          <w:rFonts w:hint="eastAsia" w:ascii="Times New Roman" w:hAnsi="Times New Roman"/>
          <w:sz w:val="32"/>
          <w:szCs w:val="32"/>
          <w:lang w:val="en-US" w:eastAsia="zh-CN"/>
        </w:rPr>
        <w:t>2025年新疆是个好地方演出保障项目</w:t>
      </w:r>
      <w:r>
        <w:rPr>
          <w:rFonts w:hint="eastAsia" w:ascii="Times New Roman" w:hAnsi="Times New Roman"/>
          <w:sz w:val="32"/>
          <w:szCs w:val="32"/>
        </w:rPr>
        <w:t>绩效评价指标综合评分表</w:t>
      </w:r>
    </w:p>
    <w:bookmarkEnd w:id="728"/>
    <w:bookmarkEnd w:id="729"/>
    <w:bookmarkEnd w:id="730"/>
    <w:bookmarkEnd w:id="731"/>
    <w:bookmarkEnd w:id="732"/>
    <w:bookmarkEnd w:id="733"/>
    <w:bookmarkEnd w:id="734"/>
    <w:bookmarkEnd w:id="735"/>
    <w:bookmarkEnd w:id="736"/>
    <w:p w14:paraId="660491B8">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2</w:t>
      </w:r>
      <w:r>
        <w:rPr>
          <w:rFonts w:hint="eastAsia" w:ascii="Times New Roman" w:hAnsi="Times New Roman"/>
          <w:sz w:val="32"/>
          <w:szCs w:val="32"/>
        </w:rPr>
        <w:t>：满意度结果分析</w:t>
      </w:r>
    </w:p>
    <w:p w14:paraId="7598AA00">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3</w:t>
      </w:r>
      <w:r>
        <w:rPr>
          <w:rFonts w:hint="eastAsia" w:ascii="Times New Roman" w:hAnsi="Times New Roman"/>
          <w:sz w:val="32"/>
          <w:szCs w:val="32"/>
        </w:rPr>
        <w:t>：基础信息采集表</w:t>
      </w:r>
    </w:p>
    <w:p w14:paraId="58C0B5BC">
      <w:pPr>
        <w:spacing w:line="560" w:lineRule="exact"/>
        <w:ind w:firstLine="640" w:firstLineChars="200"/>
        <w:jc w:val="left"/>
        <w:rPr>
          <w:rFonts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4</w:t>
      </w:r>
      <w:r>
        <w:rPr>
          <w:rFonts w:hint="eastAsia" w:ascii="Times New Roman" w:hAnsi="Times New Roman"/>
          <w:sz w:val="32"/>
          <w:szCs w:val="32"/>
        </w:rPr>
        <w:t>：访谈记录</w:t>
      </w:r>
    </w:p>
    <w:p w14:paraId="484E02C0">
      <w:pPr>
        <w:spacing w:line="560" w:lineRule="exact"/>
        <w:ind w:firstLine="640" w:firstLineChars="200"/>
        <w:jc w:val="left"/>
        <w:rPr>
          <w:rFonts w:hint="eastAsia" w:ascii="Times New Roman" w:hAnsi="Times New Roman"/>
          <w:sz w:val="32"/>
          <w:szCs w:val="32"/>
        </w:rPr>
      </w:pPr>
      <w:r>
        <w:rPr>
          <w:rFonts w:hint="eastAsia" w:ascii="Times New Roman" w:hAnsi="Times New Roman"/>
          <w:sz w:val="32"/>
          <w:szCs w:val="32"/>
        </w:rPr>
        <w:t>附件</w:t>
      </w:r>
      <w:r>
        <w:rPr>
          <w:rFonts w:hint="eastAsia" w:ascii="Times New Roman" w:hAnsi="Times New Roman"/>
          <w:sz w:val="32"/>
          <w:szCs w:val="32"/>
          <w:lang w:val="en-US" w:eastAsia="zh-CN"/>
        </w:rPr>
        <w:t>5</w:t>
      </w:r>
      <w:r>
        <w:rPr>
          <w:rFonts w:hint="eastAsia" w:ascii="Times New Roman" w:hAnsi="Times New Roman"/>
          <w:sz w:val="32"/>
          <w:szCs w:val="32"/>
        </w:rPr>
        <w:t>：实地勘察记录</w:t>
      </w:r>
    </w:p>
    <w:p w14:paraId="48256A6F">
      <w:pPr>
        <w:spacing w:line="560" w:lineRule="exact"/>
        <w:ind w:firstLine="640" w:firstLineChars="200"/>
        <w:jc w:val="left"/>
        <w:rPr>
          <w:rFonts w:hint="eastAsia" w:ascii="Times New Roman" w:hAnsi="Times New Roman"/>
          <w:sz w:val="32"/>
          <w:szCs w:val="32"/>
          <w:lang w:val="en-US" w:eastAsia="zh-CN"/>
        </w:rPr>
      </w:pPr>
      <w:r>
        <w:rPr>
          <w:rFonts w:hint="eastAsia" w:ascii="Times New Roman" w:hAnsi="Times New Roman"/>
          <w:sz w:val="32"/>
          <w:szCs w:val="32"/>
          <w:lang w:val="en-US" w:eastAsia="zh-CN"/>
        </w:rPr>
        <w:t>附件6：绩效评价报告单位反馈意见单</w:t>
      </w:r>
    </w:p>
    <w:p w14:paraId="5995238F">
      <w:pPr>
        <w:spacing w:line="560" w:lineRule="exact"/>
        <w:ind w:firstLine="640" w:firstLineChars="200"/>
        <w:jc w:val="left"/>
        <w:rPr>
          <w:rFonts w:hint="default" w:ascii="Times New Roman" w:hAnsi="Times New Roman" w:eastAsia="仿宋_GB2312"/>
          <w:sz w:val="32"/>
          <w:szCs w:val="32"/>
          <w:lang w:val="en-US" w:eastAsia="zh-CN"/>
        </w:rPr>
      </w:pPr>
      <w:r>
        <w:rPr>
          <w:rFonts w:hint="eastAsia" w:ascii="Times New Roman" w:hAnsi="Times New Roman"/>
          <w:sz w:val="32"/>
          <w:szCs w:val="32"/>
          <w:lang w:val="en-US" w:eastAsia="zh-CN"/>
        </w:rPr>
        <w:t>附件7：绩效评价报告财政部门意见反馈表</w:t>
      </w:r>
    </w:p>
    <w:p w14:paraId="5715EE69">
      <w:pPr>
        <w:spacing w:line="560" w:lineRule="exact"/>
        <w:ind w:firstLine="640" w:firstLineChars="200"/>
        <w:jc w:val="left"/>
        <w:rPr>
          <w:rFonts w:hint="eastAsia" w:ascii="Times New Roman" w:hAnsi="Times New Roman"/>
          <w:sz w:val="32"/>
          <w:szCs w:val="32"/>
        </w:rPr>
      </w:pPr>
    </w:p>
    <w:p w14:paraId="25FE802B">
      <w:pPr>
        <w:pStyle w:val="53"/>
        <w:spacing w:line="360" w:lineRule="auto"/>
        <w:ind w:firstLine="0" w:firstLineChars="0"/>
        <w:jc w:val="left"/>
        <w:rPr>
          <w:rFonts w:ascii="Times New Roman" w:hAnsi="Times New Roman"/>
          <w:sz w:val="32"/>
          <w:szCs w:val="32"/>
        </w:rPr>
      </w:pPr>
    </w:p>
    <w:p w14:paraId="43FC3267">
      <w:pPr>
        <w:pStyle w:val="53"/>
        <w:spacing w:line="360" w:lineRule="auto"/>
        <w:ind w:firstLine="0" w:firstLineChars="0"/>
        <w:jc w:val="left"/>
        <w:rPr>
          <w:rFonts w:ascii="Times New Roman" w:hAnsi="Times New Roman"/>
          <w:sz w:val="32"/>
          <w:szCs w:val="32"/>
        </w:rPr>
      </w:pPr>
    </w:p>
    <w:p w14:paraId="243AD82F">
      <w:pPr>
        <w:pStyle w:val="53"/>
        <w:spacing w:line="360" w:lineRule="auto"/>
        <w:ind w:firstLine="3200" w:firstLineChars="1000"/>
        <w:jc w:val="left"/>
        <w:rPr>
          <w:rFonts w:ascii="Times New Roman" w:hAnsi="Times New Roman" w:eastAsia="方正仿宋_GBK"/>
          <w:sz w:val="32"/>
          <w:szCs w:val="32"/>
        </w:rPr>
      </w:pPr>
      <w:r>
        <w:rPr>
          <w:rFonts w:hint="eastAsia" w:ascii="Times New Roman" w:hAnsi="Times New Roman" w:eastAsia="方正仿宋_GBK"/>
          <w:sz w:val="32"/>
          <w:szCs w:val="32"/>
        </w:rPr>
        <w:t>新疆高博有限责任会计师事务所</w:t>
      </w:r>
    </w:p>
    <w:p w14:paraId="61A1635F">
      <w:pPr>
        <w:pStyle w:val="53"/>
        <w:spacing w:line="360" w:lineRule="auto"/>
        <w:ind w:firstLine="4160" w:firstLineChars="1300"/>
        <w:jc w:val="left"/>
        <w:rPr>
          <w:rFonts w:ascii="Times New Roman" w:hAnsi="Times New Roman" w:eastAsia="方正仿宋_GBK"/>
          <w:sz w:val="32"/>
          <w:szCs w:val="32"/>
        </w:rPr>
      </w:pPr>
      <w:r>
        <w:rPr>
          <w:rFonts w:ascii="Times New Roman" w:hAnsi="Times New Roman" w:eastAsia="方正仿宋_GBK"/>
          <w:sz w:val="32"/>
          <w:szCs w:val="32"/>
        </w:rPr>
        <w:t>202</w:t>
      </w:r>
      <w:r>
        <w:rPr>
          <w:rFonts w:hint="eastAsia" w:ascii="Times New Roman" w:hAnsi="Times New Roman" w:eastAsia="方正仿宋_GBK"/>
          <w:sz w:val="32"/>
          <w:szCs w:val="32"/>
          <w:lang w:val="en-US" w:eastAsia="zh-CN"/>
        </w:rPr>
        <w:t>6</w:t>
      </w:r>
      <w:r>
        <w:rPr>
          <w:rFonts w:hint="eastAsia" w:ascii="Times New Roman" w:hAnsi="Times New Roman" w:eastAsia="方正仿宋_GBK"/>
          <w:sz w:val="32"/>
          <w:szCs w:val="32"/>
        </w:rPr>
        <w:t>年</w:t>
      </w:r>
      <w:r>
        <w:rPr>
          <w:rFonts w:hint="eastAsia" w:ascii="Times New Roman" w:hAnsi="Times New Roman" w:eastAsia="方正仿宋_GBK"/>
          <w:sz w:val="32"/>
          <w:szCs w:val="32"/>
          <w:lang w:val="en-US" w:eastAsia="zh-CN"/>
        </w:rPr>
        <w:t>8</w:t>
      </w:r>
      <w:r>
        <w:rPr>
          <w:rFonts w:hint="eastAsia" w:ascii="Times New Roman" w:hAnsi="Times New Roman" w:eastAsia="方正仿宋_GBK"/>
          <w:sz w:val="32"/>
          <w:szCs w:val="32"/>
        </w:rPr>
        <w:t>月</w:t>
      </w:r>
      <w:r>
        <w:rPr>
          <w:rFonts w:hint="eastAsia" w:ascii="Times New Roman" w:hAnsi="Times New Roman" w:eastAsia="方正仿宋_GBK"/>
          <w:sz w:val="32"/>
          <w:szCs w:val="32"/>
          <w:lang w:val="en-US" w:eastAsia="zh-CN"/>
        </w:rPr>
        <w:t>10</w:t>
      </w:r>
      <w:r>
        <w:rPr>
          <w:rFonts w:hint="eastAsia" w:ascii="Times New Roman" w:hAnsi="Times New Roman" w:eastAsia="方正仿宋_GBK"/>
          <w:sz w:val="32"/>
          <w:szCs w:val="32"/>
        </w:rPr>
        <w:t>日</w:t>
      </w:r>
    </w:p>
    <w:p w14:paraId="78FBC2FA">
      <w:pPr>
        <w:rPr>
          <w:rFonts w:ascii="Times New Roman" w:hAnsi="Times New Roman"/>
          <w:sz w:val="32"/>
          <w:szCs w:val="32"/>
        </w:rPr>
        <w:sectPr>
          <w:footerReference r:id="rId7" w:type="default"/>
          <w:pgSz w:w="11906" w:h="16838"/>
          <w:pgMar w:top="1984" w:right="1531" w:bottom="1701" w:left="1531" w:header="851" w:footer="992" w:gutter="0"/>
          <w:pgNumType w:start="1"/>
          <w:cols w:space="0" w:num="1"/>
          <w:docGrid w:type="lines" w:linePitch="408" w:charSpace="0"/>
        </w:sectPr>
      </w:pPr>
      <w:r>
        <w:rPr>
          <w:rFonts w:hint="eastAsia" w:ascii="Times New Roman" w:hAnsi="Times New Roman" w:eastAsia="方正仿宋_GBK"/>
          <w:sz w:val="32"/>
          <w:szCs w:val="32"/>
        </w:rPr>
        <w:br w:type="page"/>
      </w:r>
      <w:bookmarkStart w:id="739" w:name="_Toc8775"/>
      <w:bookmarkStart w:id="740" w:name="_Toc2248"/>
      <w:bookmarkStart w:id="741" w:name="_Toc16527"/>
      <w:bookmarkStart w:id="742" w:name="_Toc21951"/>
      <w:bookmarkStart w:id="743" w:name="_Toc13383"/>
      <w:bookmarkStart w:id="744" w:name="_Toc22666"/>
      <w:bookmarkStart w:id="745" w:name="_Toc8590"/>
      <w:bookmarkStart w:id="746" w:name="_Toc6140"/>
      <w:bookmarkStart w:id="747" w:name="_Toc30664"/>
      <w:bookmarkStart w:id="748" w:name="_Toc26179"/>
      <w:bookmarkStart w:id="749" w:name="_Toc17880"/>
      <w:bookmarkStart w:id="750" w:name="_Toc19524"/>
      <w:bookmarkStart w:id="751" w:name="_Toc25547"/>
      <w:bookmarkStart w:id="752" w:name="_Toc1863"/>
      <w:bookmarkStart w:id="753" w:name="_Toc16881"/>
      <w:bookmarkStart w:id="754" w:name="_Toc17250"/>
      <w:bookmarkStart w:id="755" w:name="_Toc20156"/>
      <w:bookmarkStart w:id="756" w:name="_Toc32713"/>
      <w:bookmarkStart w:id="757" w:name="_Toc1294"/>
      <w:bookmarkStart w:id="758" w:name="_Toc26331"/>
      <w:bookmarkStart w:id="759" w:name="_Toc9450"/>
      <w:bookmarkStart w:id="760" w:name="_Toc31345"/>
      <w:bookmarkStart w:id="761" w:name="_Toc31293"/>
      <w:bookmarkStart w:id="762" w:name="_Toc15001"/>
      <w:bookmarkStart w:id="763" w:name="_Toc3250"/>
      <w:bookmarkStart w:id="764" w:name="_Toc32624"/>
      <w:bookmarkStart w:id="765" w:name="_Toc9040"/>
      <w:bookmarkStart w:id="766" w:name="_Toc22537"/>
    </w:p>
    <w:p w14:paraId="2353A32B">
      <w:pPr>
        <w:pStyle w:val="37"/>
        <w:spacing w:before="0" w:after="0"/>
        <w:ind w:left="0"/>
        <w:jc w:val="both"/>
        <w:rPr>
          <w:rFonts w:ascii="Times New Roman" w:hAnsi="Times New Roman" w:eastAsia="宋体" w:cs="宋体"/>
        </w:rPr>
      </w:pPr>
      <w:bookmarkStart w:id="767" w:name="_Toc28578"/>
      <w:r>
        <w:rPr>
          <w:rFonts w:hint="default" w:ascii="Times New Roman" w:hAnsi="Times New Roman" w:eastAsia="仿宋_GB2312"/>
        </w:rPr>
        <w:t>附件1</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Start w:id="768" w:name="_Toc7274"/>
      <w:bookmarkStart w:id="769" w:name="_Toc8716"/>
      <w:bookmarkStart w:id="770" w:name="_Toc30690"/>
      <w:bookmarkStart w:id="771" w:name="_Toc11134"/>
      <w:bookmarkStart w:id="772" w:name="_Toc18765"/>
      <w:bookmarkStart w:id="773" w:name="_Toc26424"/>
      <w:bookmarkStart w:id="774" w:name="_Toc14164"/>
      <w:bookmarkStart w:id="775" w:name="_Toc25172"/>
      <w:bookmarkStart w:id="776" w:name="_Toc7923"/>
      <w:bookmarkStart w:id="777" w:name="_Toc26351"/>
      <w:bookmarkStart w:id="778" w:name="_Toc26182"/>
      <w:bookmarkStart w:id="779" w:name="_Toc19627"/>
      <w:bookmarkStart w:id="780" w:name="_Toc20636"/>
      <w:bookmarkStart w:id="781" w:name="_Toc27525"/>
      <w:bookmarkStart w:id="782" w:name="_Toc24415"/>
      <w:bookmarkStart w:id="783" w:name="_Toc17903"/>
      <w:bookmarkStart w:id="784" w:name="_Toc6620"/>
      <w:bookmarkStart w:id="785" w:name="_Toc17901"/>
      <w:bookmarkStart w:id="786" w:name="_Toc15783"/>
      <w:bookmarkStart w:id="787" w:name="_Toc18248"/>
      <w:bookmarkStart w:id="788" w:name="_Toc21718"/>
      <w:bookmarkStart w:id="789" w:name="_Toc30923"/>
      <w:bookmarkStart w:id="790" w:name="_Toc22963"/>
      <w:bookmarkStart w:id="791" w:name="_Toc19081"/>
      <w:bookmarkStart w:id="792" w:name="_Toc21476"/>
      <w:r>
        <w:rPr>
          <w:rFonts w:hint="eastAsia" w:ascii="Times New Roman" w:hAnsi="Times New Roman" w:eastAsia="仿宋_GB2312"/>
          <w:lang w:eastAsia="zh-CN"/>
        </w:rPr>
        <w:t>:</w:t>
      </w:r>
      <w:r>
        <w:rPr>
          <w:rFonts w:hint="eastAsia" w:ascii="Times New Roman" w:hAnsi="Times New Roman" w:eastAsia="仿宋_GB2312"/>
          <w:lang w:val="en-US" w:eastAsia="zh-CN"/>
        </w:rPr>
        <w:t>2025年新疆是个好地方演出保障项目</w:t>
      </w:r>
      <w:r>
        <w:rPr>
          <w:rFonts w:hint="eastAsia" w:ascii="Times New Roman" w:hAnsi="Times New Roman" w:eastAsia="仿宋_GB2312"/>
        </w:rPr>
        <w:t>绩效评价指标综合评分表</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Start w:id="793" w:name="_Toc29165"/>
      <w:bookmarkStart w:id="794" w:name="_Toc25288"/>
      <w:bookmarkStart w:id="795" w:name="_Toc31937"/>
      <w:bookmarkStart w:id="796" w:name="_Toc9711"/>
      <w:bookmarkStart w:id="797" w:name="_Toc269"/>
      <w:bookmarkStart w:id="798" w:name="_Toc5998"/>
      <w:bookmarkStart w:id="799" w:name="_Toc140407222"/>
      <w:bookmarkStart w:id="800" w:name="_Toc25015"/>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885"/>
        <w:gridCol w:w="644"/>
        <w:gridCol w:w="644"/>
        <w:gridCol w:w="1329"/>
        <w:gridCol w:w="825"/>
        <w:gridCol w:w="644"/>
        <w:gridCol w:w="1443"/>
        <w:gridCol w:w="1770"/>
        <w:gridCol w:w="2273"/>
        <w:gridCol w:w="644"/>
        <w:gridCol w:w="645"/>
        <w:gridCol w:w="862"/>
      </w:tblGrid>
      <w:tr w14:paraId="69FDF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blHeader/>
        </w:trPr>
        <w:tc>
          <w:tcPr>
            <w:tcW w:w="28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168E357">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一级指标</w:t>
            </w:r>
          </w:p>
        </w:tc>
        <w:tc>
          <w:tcPr>
            <w:tcW w:w="372"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AA75EDF">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二级指标</w:t>
            </w:r>
          </w:p>
        </w:tc>
        <w:tc>
          <w:tcPr>
            <w:tcW w:w="524" w:type="pct"/>
            <w:gridSpan w:val="2"/>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4DA5511">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三级指标</w:t>
            </w:r>
          </w:p>
        </w:tc>
        <w:tc>
          <w:tcPr>
            <w:tcW w:w="518"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ED9817">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指标解释</w:t>
            </w:r>
          </w:p>
        </w:tc>
        <w:tc>
          <w:tcPr>
            <w:tcW w:w="262"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175A348">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标杆值</w:t>
            </w:r>
          </w:p>
        </w:tc>
        <w:tc>
          <w:tcPr>
            <w:tcW w:w="262"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1C43FC">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分值</w:t>
            </w:r>
          </w:p>
        </w:tc>
        <w:tc>
          <w:tcPr>
            <w:tcW w:w="43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433C47B">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评分标准</w:t>
            </w:r>
          </w:p>
        </w:tc>
        <w:tc>
          <w:tcPr>
            <w:tcW w:w="683"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8D5E694">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评分规则</w:t>
            </w:r>
          </w:p>
        </w:tc>
        <w:tc>
          <w:tcPr>
            <w:tcW w:w="87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3FB40C5C">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评分过程</w:t>
            </w:r>
          </w:p>
        </w:tc>
        <w:tc>
          <w:tcPr>
            <w:tcW w:w="262"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C8884E4">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扣分</w:t>
            </w:r>
          </w:p>
        </w:tc>
        <w:tc>
          <w:tcPr>
            <w:tcW w:w="262"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21C0469B">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得分</w:t>
            </w:r>
          </w:p>
        </w:tc>
        <w:tc>
          <w:tcPr>
            <w:tcW w:w="262"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971B603">
            <w:pPr>
              <w:keepNext w:val="0"/>
              <w:keepLines w:val="0"/>
              <w:widowControl/>
              <w:suppressLineNumbers w:val="0"/>
              <w:jc w:val="center"/>
              <w:textAlignment w:val="center"/>
              <w:rPr>
                <w:rFonts w:hint="eastAsia" w:ascii="Times New Roman" w:hAnsi="Times New Roman" w:eastAsia="仿宋_GB2312" w:cs="仿宋_GB2312"/>
                <w:b/>
                <w:bCs/>
                <w:i w:val="0"/>
                <w:iCs w:val="0"/>
                <w:color w:val="000000"/>
                <w:sz w:val="18"/>
                <w:szCs w:val="18"/>
                <w:u w:val="none"/>
              </w:rPr>
            </w:pPr>
            <w:r>
              <w:rPr>
                <w:rFonts w:hint="eastAsia" w:ascii="Times New Roman" w:hAnsi="Times New Roman" w:eastAsia="仿宋_GB2312" w:cs="仿宋_GB2312"/>
                <w:b/>
                <w:bCs/>
                <w:i w:val="0"/>
                <w:iCs w:val="0"/>
                <w:color w:val="000000"/>
                <w:kern w:val="0"/>
                <w:sz w:val="18"/>
                <w:szCs w:val="18"/>
                <w:u w:val="none"/>
                <w:lang w:val="en-US" w:eastAsia="zh-CN" w:bidi="ar"/>
              </w:rPr>
              <w:t>得分率</w:t>
            </w:r>
          </w:p>
        </w:tc>
      </w:tr>
      <w:tr w14:paraId="3F56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EAE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决策（15）</w:t>
            </w:r>
          </w:p>
        </w:tc>
        <w:tc>
          <w:tcPr>
            <w:tcW w:w="372" w:type="pct"/>
            <w:vMerge w:val="restart"/>
            <w:tcBorders>
              <w:top w:val="single" w:color="000000" w:sz="4" w:space="0"/>
              <w:left w:val="single" w:color="000000" w:sz="4" w:space="0"/>
              <w:bottom w:val="nil"/>
              <w:right w:val="single" w:color="000000" w:sz="4" w:space="0"/>
            </w:tcBorders>
            <w:shd w:val="clear" w:color="auto" w:fill="auto"/>
            <w:vAlign w:val="center"/>
          </w:tcPr>
          <w:p w14:paraId="68F3F3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项目立项（5）</w:t>
            </w:r>
          </w:p>
        </w:tc>
        <w:tc>
          <w:tcPr>
            <w:tcW w:w="524"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082487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立项依据充分性</w:t>
            </w:r>
          </w:p>
        </w:tc>
        <w:tc>
          <w:tcPr>
            <w:tcW w:w="518" w:type="pct"/>
            <w:vMerge w:val="restart"/>
            <w:tcBorders>
              <w:top w:val="single" w:color="000000" w:sz="4" w:space="0"/>
              <w:left w:val="single" w:color="000000" w:sz="4" w:space="0"/>
              <w:bottom w:val="nil"/>
              <w:right w:val="single" w:color="000000" w:sz="4" w:space="0"/>
            </w:tcBorders>
            <w:shd w:val="clear" w:color="auto" w:fill="auto"/>
            <w:vAlign w:val="center"/>
          </w:tcPr>
          <w:p w14:paraId="7776FA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考察项目立项是否符合法律法规、相关政策、发展规划以及部门职责，用以反映和考核项目立项依据情况。</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6065F8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2AD058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22634F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评价要点：①项目立项是否符合国家法律法规、国民经济发展规划和相关政策；</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②项目立项是否符合行业发展规划和政策要求；</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③项目立项是否与部门职责范围相符，属于部门履职所需；</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④项目是否与相关部门同类项目或部门内部相关项目重复。</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99F8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nil"/>
              <w:right w:val="single" w:color="000000" w:sz="4" w:space="0"/>
            </w:tcBorders>
            <w:shd w:val="clear" w:color="auto" w:fill="auto"/>
            <w:vAlign w:val="center"/>
          </w:tcPr>
          <w:p w14:paraId="2BE0BC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依据《喀什市文化体育广播电视和旅游局局务会议纪要》《喀什市文化体育广播电视和旅游局2025年第15次党组会议纪要》等相关要求设立，符合国家法律法规、符合喀什市文化体育广播电视和旅游局的发展规划。</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该项目立项与关于印发《喀什市文化体育广播电视和旅游局职能配置、内设机构和人员编制规定》的通知（喀市党办字〔2019〕31号）“第三条 主要职责是：(二)研究制定和组织实施全市文化、体育、广播电视、旅游业发展规划并组织实施。指导和实施全市文化体育、广播电视、旅游业体制改革。(三)负责全市公共文化</w:t>
            </w:r>
            <w:bookmarkStart w:id="858" w:name="_GoBack"/>
            <w:bookmarkEnd w:id="858"/>
            <w:r>
              <w:rPr>
                <w:rFonts w:hint="eastAsia" w:ascii="Times New Roman" w:hAnsi="Times New Roman" w:eastAsia="仿宋_GB2312" w:cs="仿宋_GB2312"/>
                <w:i w:val="0"/>
                <w:iCs w:val="0"/>
                <w:color w:val="000000"/>
                <w:kern w:val="0"/>
                <w:sz w:val="18"/>
                <w:szCs w:val="18"/>
                <w:u w:val="none"/>
                <w:lang w:val="en-US" w:eastAsia="zh-CN" w:bidi="ar"/>
              </w:rPr>
              <w:t>服务体系建设。指导公共文化体育事业发展，指导歌舞团（杂技团）、文物保护管理所（博物馆）、图书馆、文化馆（美术馆）、乡镇街道、村（社区）文化站（室）、农家书屋等公共文化体育服务，指导和管理全市广播电视、旅游事业发展，组织实施和协调指导重大社会文化体育活动。”部门职责范围相符，属于部门履职所需，本项不扣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经查看，财政预算一体化大平台和决算数据显示，无相关部门同类项目或部门内部相关项目重复事项。</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综上，该项目立项依据充分，根据评分标准，该指标不扣分，得3分。</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36919A0B">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5CBCD5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413B02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0EBE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C03B7">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7B5731C8">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1C1BE915">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71F0173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79D28A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04C6AFB5">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68E1B37">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A7F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①项目立项是否符合国家法律法规、国民经济发展规划和相关政策（1分）否则，不得分；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4026794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1EA596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0D9E5B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9A42B59">
            <w:pPr>
              <w:jc w:val="center"/>
              <w:rPr>
                <w:rFonts w:hint="eastAsia" w:ascii="Times New Roman" w:hAnsi="Times New Roman" w:eastAsia="仿宋_GB2312" w:cs="仿宋_GB2312"/>
                <w:i w:val="0"/>
                <w:iCs w:val="0"/>
                <w:color w:val="000000"/>
                <w:sz w:val="18"/>
                <w:szCs w:val="18"/>
                <w:u w:val="none"/>
              </w:rPr>
            </w:pPr>
          </w:p>
        </w:tc>
      </w:tr>
      <w:tr w14:paraId="0B5A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2C06F">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3D3B2402">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A6B5D0A">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371D58D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5D923B17">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9F93468">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381B880">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4B6D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②项目立项是否符合行业发展规划和政策要求（1分）否则，不得分；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45BFA4B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06F6716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4D0B925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51452D34">
            <w:pPr>
              <w:jc w:val="center"/>
              <w:rPr>
                <w:rFonts w:hint="eastAsia" w:ascii="Times New Roman" w:hAnsi="Times New Roman" w:eastAsia="仿宋_GB2312" w:cs="仿宋_GB2312"/>
                <w:i w:val="0"/>
                <w:iCs w:val="0"/>
                <w:color w:val="000000"/>
                <w:sz w:val="18"/>
                <w:szCs w:val="18"/>
                <w:u w:val="none"/>
              </w:rPr>
            </w:pPr>
          </w:p>
        </w:tc>
      </w:tr>
      <w:tr w14:paraId="62749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1216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7E91BA2D">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7E596990">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65D09DF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94AF50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D78C0A0">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5A837D4">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6845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③项目立项是否与部门职责范围相符，属于部门履职所需（0.5分）否则，不得分；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37CE1B2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31C41A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5D36D73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BADEF49">
            <w:pPr>
              <w:jc w:val="center"/>
              <w:rPr>
                <w:rFonts w:hint="eastAsia" w:ascii="Times New Roman" w:hAnsi="Times New Roman" w:eastAsia="仿宋_GB2312" w:cs="仿宋_GB2312"/>
                <w:i w:val="0"/>
                <w:iCs w:val="0"/>
                <w:color w:val="000000"/>
                <w:sz w:val="18"/>
                <w:szCs w:val="18"/>
                <w:u w:val="none"/>
              </w:rPr>
            </w:pPr>
          </w:p>
        </w:tc>
      </w:tr>
      <w:tr w14:paraId="3AE1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46F0D">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35D4DA65">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7421982">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10114A5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57B2F52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CABBF85">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847FA47">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750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④项目是否与相关部门同类项目或部门内部相关项目重复（0.5分）否则，不得分。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07AC9A6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53AA3BC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AB91BD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07CADCB7">
            <w:pPr>
              <w:jc w:val="center"/>
              <w:rPr>
                <w:rFonts w:hint="eastAsia" w:ascii="Times New Roman" w:hAnsi="Times New Roman" w:eastAsia="仿宋_GB2312" w:cs="仿宋_GB2312"/>
                <w:i w:val="0"/>
                <w:iCs w:val="0"/>
                <w:color w:val="000000"/>
                <w:sz w:val="18"/>
                <w:szCs w:val="18"/>
                <w:u w:val="none"/>
              </w:rPr>
            </w:pPr>
          </w:p>
        </w:tc>
      </w:tr>
      <w:tr w14:paraId="5852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18A52">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7325759C">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6C9B0F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立项程序规范性</w:t>
            </w:r>
          </w:p>
        </w:tc>
        <w:tc>
          <w:tcPr>
            <w:tcW w:w="518" w:type="pct"/>
            <w:vMerge w:val="restart"/>
            <w:tcBorders>
              <w:top w:val="single" w:color="000000" w:sz="4" w:space="0"/>
              <w:left w:val="single" w:color="000000" w:sz="4" w:space="0"/>
              <w:bottom w:val="nil"/>
              <w:right w:val="single" w:color="000000" w:sz="4" w:space="0"/>
            </w:tcBorders>
            <w:shd w:val="clear" w:color="auto" w:fill="auto"/>
            <w:vAlign w:val="center"/>
          </w:tcPr>
          <w:p w14:paraId="1D3C5F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考察项目申请、设立过程是否符合相关要求，用以反映和考核项目立项的规范情况。</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6D8316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充分</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4CDBE3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01B8C7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①项目按照规定的程序申请设立；</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②审批文件、材料符合相关要求；</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③事前已经过必要的可行性研究、专家论证、风险评估、绩效评估、集体决策。</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519D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nil"/>
              <w:right w:val="single" w:color="000000" w:sz="4" w:space="0"/>
            </w:tcBorders>
            <w:shd w:val="clear" w:color="auto" w:fill="auto"/>
            <w:vAlign w:val="center"/>
          </w:tcPr>
          <w:p w14:paraId="04B6D6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立项阶段取得《喀什市文化体育广播电视和旅游局局务会议纪要》《喀什市文化体育广播电视和旅游局2025年第15次党组会议纪要》等文件，立项决策环节程序完备，审批流程合规。本项目为2025年部门预算项目，资金性质为一般公共预算资金，指标文号喀地财预〔2025〕15号，经费预算经喀什市财政局批复后执行，立项程序规范。根据评分标准，该指标不扣分，得2分。</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1C25F4F0">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4C6E3C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2D053F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2D21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B6EAE">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6DC67AEA">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2E48E241">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27588C9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F108D1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3AB6886">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7D56E195">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09A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①项目按照规定的程序申请设立（1分）</w:t>
            </w:r>
            <w:r>
              <w:rPr>
                <w:rFonts w:hint="eastAsia" w:ascii="Times New Roman" w:hAnsi="Times New Roman"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r>
              <w:rPr>
                <w:rFonts w:hint="eastAsia" w:ascii="Times New Roman" w:hAnsi="Times New Roman" w:cs="仿宋_GB2312"/>
                <w:i w:val="0"/>
                <w:iCs w:val="0"/>
                <w:color w:val="000000"/>
                <w:kern w:val="0"/>
                <w:sz w:val="18"/>
                <w:szCs w:val="18"/>
                <w:u w:val="none"/>
                <w:lang w:val="en-US" w:eastAsia="zh-CN" w:bidi="ar"/>
              </w:rPr>
              <w:t>。</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741D286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F2C3CD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387DD8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D7046E0">
            <w:pPr>
              <w:jc w:val="center"/>
              <w:rPr>
                <w:rFonts w:hint="eastAsia" w:ascii="Times New Roman" w:hAnsi="Times New Roman" w:eastAsia="仿宋_GB2312" w:cs="仿宋_GB2312"/>
                <w:i w:val="0"/>
                <w:iCs w:val="0"/>
                <w:color w:val="000000"/>
                <w:sz w:val="18"/>
                <w:szCs w:val="18"/>
                <w:u w:val="none"/>
              </w:rPr>
            </w:pPr>
          </w:p>
        </w:tc>
      </w:tr>
      <w:tr w14:paraId="382BA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E213C">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184D66B8">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30027F75">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7FC9F14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1CE65D87">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1D07D35E">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25A6343E">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C07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②审批文件、材料符合相关要求（0.5分）否则，不得分；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5DFA992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50BECB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1A838B76">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19EF71A">
            <w:pPr>
              <w:jc w:val="center"/>
              <w:rPr>
                <w:rFonts w:hint="eastAsia" w:ascii="Times New Roman" w:hAnsi="Times New Roman" w:eastAsia="仿宋_GB2312" w:cs="仿宋_GB2312"/>
                <w:i w:val="0"/>
                <w:iCs w:val="0"/>
                <w:color w:val="000000"/>
                <w:sz w:val="18"/>
                <w:szCs w:val="18"/>
                <w:u w:val="none"/>
              </w:rPr>
            </w:pPr>
          </w:p>
        </w:tc>
      </w:tr>
      <w:tr w14:paraId="1D9B2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C113B">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544823F7">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20A48DC">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6B592796">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6DB83C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361988F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5030B22">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5F88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③事前已经过必要的可行性研究、专家论证、风险评估、绩效评估、集体决策（0.5分）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69BD4B5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4D66E68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1487A0C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AFCDDFD">
            <w:pPr>
              <w:jc w:val="center"/>
              <w:rPr>
                <w:rFonts w:hint="eastAsia" w:ascii="Times New Roman" w:hAnsi="Times New Roman" w:eastAsia="仿宋_GB2312" w:cs="仿宋_GB2312"/>
                <w:i w:val="0"/>
                <w:iCs w:val="0"/>
                <w:color w:val="000000"/>
                <w:sz w:val="18"/>
                <w:szCs w:val="18"/>
                <w:u w:val="none"/>
              </w:rPr>
            </w:pPr>
          </w:p>
        </w:tc>
      </w:tr>
      <w:tr w14:paraId="6FFA0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133F9">
            <w:pPr>
              <w:jc w:val="center"/>
              <w:rPr>
                <w:rFonts w:hint="eastAsia" w:ascii="Times New Roman" w:hAnsi="Times New Roman" w:eastAsia="仿宋_GB2312" w:cs="仿宋_GB2312"/>
                <w:i w:val="0"/>
                <w:iCs w:val="0"/>
                <w:color w:val="000000"/>
                <w:sz w:val="18"/>
                <w:szCs w:val="18"/>
                <w:u w:val="none"/>
              </w:rPr>
            </w:pP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B53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绩效目标（5）</w:t>
            </w: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5E7E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绩效目标合理性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2717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项目所设定的绩效目标是否依据充分，是否符合客观实际，用以反映和考核项目绩效目标与项目实施的相符情况。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AC2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DAF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A56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评价要点：①项目有绩效目标；②项目绩效目标与实际工作内容具有相关性，预期产出效益和效果符合正常的业绩水平；③与预算确定的项目投资额或资金量相匹配。</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63D0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D171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依据《2025年新疆是个好地方演出保障项目支出绩效目标表》，该项目有绩效目标表，并制定了实施方案，明确了总体思路及目标、并对任务进行了详细分解，对目标进行了细化，有明确的产出效益，截至2025年12月31日，与预算确定的项目投资额49.4万元相匹配。根据评分标准，该指标不扣分，得2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174B7">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EE0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846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509F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16FD9">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70C15">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2AFF1">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73D0">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2D72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143F2">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96568">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8E1A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①项目有绩效目标（1分），否则，不得分；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40949">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BB9E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C1F0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7971B">
            <w:pPr>
              <w:jc w:val="center"/>
              <w:rPr>
                <w:rFonts w:hint="eastAsia" w:ascii="Times New Roman" w:hAnsi="Times New Roman" w:eastAsia="仿宋_GB2312" w:cs="仿宋_GB2312"/>
                <w:i w:val="0"/>
                <w:iCs w:val="0"/>
                <w:color w:val="000000"/>
                <w:sz w:val="18"/>
                <w:szCs w:val="18"/>
                <w:u w:val="none"/>
              </w:rPr>
            </w:pPr>
          </w:p>
        </w:tc>
      </w:tr>
      <w:tr w14:paraId="14354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3F0D8">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C45A2">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6625">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5C67B">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EBCC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B156B">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26549">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6B22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②项目绩效目标与实际工作内容具有相关性，预期产出效益和效果符合正常的业绩水平，否则，不得分（0.5分）；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ABF07">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1245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8FC1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6D4FB">
            <w:pPr>
              <w:jc w:val="center"/>
              <w:rPr>
                <w:rFonts w:hint="eastAsia" w:ascii="Times New Roman" w:hAnsi="Times New Roman" w:eastAsia="仿宋_GB2312" w:cs="仿宋_GB2312"/>
                <w:i w:val="0"/>
                <w:iCs w:val="0"/>
                <w:color w:val="000000"/>
                <w:sz w:val="18"/>
                <w:szCs w:val="18"/>
                <w:u w:val="none"/>
              </w:rPr>
            </w:pPr>
          </w:p>
        </w:tc>
      </w:tr>
      <w:tr w14:paraId="630E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27C86">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5BFFF">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37918">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778F2">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B8BA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448A0">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00D86">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662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③与预算确定的项目投资额或资金量相匹配，否则，不得分（0.5分）。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86D5E">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5D4E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F2B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C7528">
            <w:pPr>
              <w:jc w:val="center"/>
              <w:rPr>
                <w:rFonts w:hint="eastAsia" w:ascii="Times New Roman" w:hAnsi="Times New Roman" w:eastAsia="仿宋_GB2312" w:cs="仿宋_GB2312"/>
                <w:i w:val="0"/>
                <w:iCs w:val="0"/>
                <w:color w:val="000000"/>
                <w:sz w:val="18"/>
                <w:szCs w:val="18"/>
                <w:u w:val="none"/>
              </w:rPr>
            </w:pPr>
          </w:p>
        </w:tc>
      </w:tr>
      <w:tr w14:paraId="57BA5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C2E33">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7A570">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393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绩效指标明确性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B7B5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依据绩效目标设定的绩效指标是否清晰、细化、可衡量等，用以反映和考核项目绩效目标的明细化情况。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869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明确</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8C5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CB8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评价要点：①项目绩效目标细化分解为具体的绩效指标；②绩效指标通过清晰、可衡量的指标值予以体现；③与项目目标任务数或计划数相对应；</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F77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8F3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文化体育广播电视和旅游局提供的《2025年新疆是个好地方演出保障项目目标表》显示，该项目实施单位已将项目绩效目标细化分解为具体的绩效指标，具体分解内容如下：一级指标4个，二级指标6个，三级指标13个。该项目共设置三级指标13个，其中：定量指标：11个，定性指标2个，三级指标量化比率为84.62%，三级指标设置具有明确性、可衡量性、可实现性；项目绩效目标与项目年度任务数相对应，与批复资金量相匹配。根据评分标准，该指标不扣分，得3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EAABA">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254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8F1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6EA25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AF74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B59C1">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BA81A">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82EB0">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A4C67">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23165">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7D1D5">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CA3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①项目绩效目标细化分解为具体的绩效指标（1分）</w:t>
            </w:r>
            <w:r>
              <w:rPr>
                <w:rFonts w:hint="eastAsia" w:ascii="Times New Roman" w:hAnsi="Times New Roman"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9B95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CF07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255B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345CB">
            <w:pPr>
              <w:jc w:val="center"/>
              <w:rPr>
                <w:rFonts w:hint="eastAsia" w:ascii="Times New Roman" w:hAnsi="Times New Roman" w:eastAsia="仿宋_GB2312" w:cs="仿宋_GB2312"/>
                <w:i w:val="0"/>
                <w:iCs w:val="0"/>
                <w:color w:val="000000"/>
                <w:sz w:val="18"/>
                <w:szCs w:val="18"/>
                <w:u w:val="none"/>
              </w:rPr>
            </w:pPr>
          </w:p>
        </w:tc>
      </w:tr>
      <w:tr w14:paraId="15B9E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3F544">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44483">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0BF8B">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F54F1">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AE01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AEA05">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4408A">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81D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②绩效指标通过清晰、可衡量的指标值予以体现（1分）</w:t>
            </w:r>
            <w:r>
              <w:rPr>
                <w:rFonts w:hint="eastAsia" w:ascii="Times New Roman" w:hAnsi="Times New Roman"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2D79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9F92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AE69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4F8F">
            <w:pPr>
              <w:jc w:val="center"/>
              <w:rPr>
                <w:rFonts w:hint="eastAsia" w:ascii="Times New Roman" w:hAnsi="Times New Roman" w:eastAsia="仿宋_GB2312" w:cs="仿宋_GB2312"/>
                <w:i w:val="0"/>
                <w:iCs w:val="0"/>
                <w:color w:val="000000"/>
                <w:sz w:val="18"/>
                <w:szCs w:val="18"/>
                <w:u w:val="none"/>
              </w:rPr>
            </w:pPr>
          </w:p>
        </w:tc>
      </w:tr>
      <w:tr w14:paraId="25687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37613">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FDC88">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03F23">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22972">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166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38263">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B8C2F">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B828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③与项目目标任务数或计划数相对应（1分）</w:t>
            </w:r>
            <w:r>
              <w:rPr>
                <w:rFonts w:hint="eastAsia" w:ascii="Times New Roman" w:hAnsi="Times New Roman"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A344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DC0C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920C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CC134">
            <w:pPr>
              <w:jc w:val="center"/>
              <w:rPr>
                <w:rFonts w:hint="eastAsia" w:ascii="Times New Roman" w:hAnsi="Times New Roman" w:eastAsia="仿宋_GB2312" w:cs="仿宋_GB2312"/>
                <w:i w:val="0"/>
                <w:iCs w:val="0"/>
                <w:color w:val="000000"/>
                <w:sz w:val="18"/>
                <w:szCs w:val="18"/>
                <w:u w:val="none"/>
              </w:rPr>
            </w:pPr>
          </w:p>
        </w:tc>
      </w:tr>
      <w:tr w14:paraId="46C8B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59BA2">
            <w:pPr>
              <w:jc w:val="center"/>
              <w:rPr>
                <w:rFonts w:hint="eastAsia" w:ascii="Times New Roman" w:hAnsi="Times New Roman" w:eastAsia="仿宋_GB2312" w:cs="仿宋_GB2312"/>
                <w:i w:val="0"/>
                <w:iCs w:val="0"/>
                <w:color w:val="000000"/>
                <w:sz w:val="18"/>
                <w:szCs w:val="18"/>
                <w:u w:val="none"/>
              </w:rPr>
            </w:pP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766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资金投入（5）</w:t>
            </w: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05C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预算编制科学性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8797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C9A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科学</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05A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896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评价要点：①预算编制经过科学论证；②预算内容与项目内容匹配；③预算额度测算依据充分，按照标准编制；④预算确定的项目投资额或资金量与工作任务相匹配。</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F152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6D3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预算资金49.40万元，依据《喀什市文化体育广播电视和旅游局局务会议纪要》《喀什市文化体育广播电视和旅游局2025年第15次党组会议纪要》等文件编制，经喀什市财政局批复后执行。项目预算内容明确分解为五个明细科目：演出切割灯租赁费0.77万元、演出摇头灯租赁费20.57万元、演出设备租赁费24.99万元、演出送餐保障资金0.58万元、演出广告宣传资料费2.49万元，预算内容与项目实际支出相匹配，资金额度测算依据充分，预算确定的项目投资额与工作任务相匹配。根据评分标准，该指标不扣分，得2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2B83B">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232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8C2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38E9D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EC2A4">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DB398">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AE341">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84CC7">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A5BC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C3B0F">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09E4E">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E5A7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①预算编制经过科学论证（0.5分）否则，不得分；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D804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48F6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7462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CB47">
            <w:pPr>
              <w:jc w:val="center"/>
              <w:rPr>
                <w:rFonts w:hint="eastAsia" w:ascii="Times New Roman" w:hAnsi="Times New Roman" w:eastAsia="仿宋_GB2312" w:cs="仿宋_GB2312"/>
                <w:i w:val="0"/>
                <w:iCs w:val="0"/>
                <w:color w:val="000000"/>
                <w:sz w:val="18"/>
                <w:szCs w:val="18"/>
                <w:u w:val="none"/>
              </w:rPr>
            </w:pPr>
          </w:p>
        </w:tc>
      </w:tr>
      <w:tr w14:paraId="37EF1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B37E7">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C1A5F">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1BD49">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A16B4">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C247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535B0">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F8C7">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5A93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②预算内容与项目内容匹配（0.5分）否则，不得分；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F14B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6A5F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EE75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72594">
            <w:pPr>
              <w:jc w:val="center"/>
              <w:rPr>
                <w:rFonts w:hint="eastAsia" w:ascii="Times New Roman" w:hAnsi="Times New Roman" w:eastAsia="仿宋_GB2312" w:cs="仿宋_GB2312"/>
                <w:i w:val="0"/>
                <w:iCs w:val="0"/>
                <w:color w:val="000000"/>
                <w:sz w:val="18"/>
                <w:szCs w:val="18"/>
                <w:u w:val="none"/>
              </w:rPr>
            </w:pPr>
          </w:p>
        </w:tc>
      </w:tr>
      <w:tr w14:paraId="7378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235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C85A">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7ADAE">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F477C">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2AA9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DE5CA">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8683D">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C56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③预算额度测算依据充分，按照标准编制（0.5分）否则，不得分；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9375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F6F9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6265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62F92">
            <w:pPr>
              <w:jc w:val="center"/>
              <w:rPr>
                <w:rFonts w:hint="eastAsia" w:ascii="Times New Roman" w:hAnsi="Times New Roman" w:eastAsia="仿宋_GB2312" w:cs="仿宋_GB2312"/>
                <w:i w:val="0"/>
                <w:iCs w:val="0"/>
                <w:color w:val="000000"/>
                <w:sz w:val="18"/>
                <w:szCs w:val="18"/>
                <w:u w:val="none"/>
              </w:rPr>
            </w:pPr>
          </w:p>
        </w:tc>
      </w:tr>
      <w:tr w14:paraId="1B1D4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C8233">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08A88">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71B3F">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C04C5">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D659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B8070">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5C183">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F92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④预算确定的项目投资额或资金量与工作任务相匹配（0.5分）</w:t>
            </w:r>
            <w:r>
              <w:rPr>
                <w:rFonts w:hint="eastAsia" w:ascii="Times New Roman" w:hAnsi="Times New Roman" w:cs="仿宋_GB2312"/>
                <w:i w:val="0"/>
                <w:iCs w:val="0"/>
                <w:color w:val="000000"/>
                <w:kern w:val="0"/>
                <w:sz w:val="18"/>
                <w:szCs w:val="18"/>
                <w:u w:val="none"/>
                <w:lang w:val="en-US" w:eastAsia="zh-CN" w:bidi="ar"/>
              </w:rPr>
              <w:t>，否则</w:t>
            </w:r>
            <w:r>
              <w:rPr>
                <w:rFonts w:hint="eastAsia" w:ascii="Times New Roman" w:hAnsi="Times New Roman" w:eastAsia="仿宋_GB2312" w:cs="仿宋_GB2312"/>
                <w:i w:val="0"/>
                <w:iCs w:val="0"/>
                <w:color w:val="000000"/>
                <w:kern w:val="0"/>
                <w:sz w:val="18"/>
                <w:szCs w:val="18"/>
                <w:u w:val="none"/>
                <w:lang w:val="en-US" w:eastAsia="zh-CN" w:bidi="ar"/>
              </w:rPr>
              <w:t>，不得分。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CEF1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EE1F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81F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84C3D">
            <w:pPr>
              <w:jc w:val="center"/>
              <w:rPr>
                <w:rFonts w:hint="eastAsia" w:ascii="Times New Roman" w:hAnsi="Times New Roman" w:eastAsia="仿宋_GB2312" w:cs="仿宋_GB2312"/>
                <w:i w:val="0"/>
                <w:iCs w:val="0"/>
                <w:color w:val="000000"/>
                <w:sz w:val="18"/>
                <w:szCs w:val="18"/>
                <w:u w:val="none"/>
              </w:rPr>
            </w:pPr>
          </w:p>
        </w:tc>
      </w:tr>
      <w:tr w14:paraId="755BA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BD377">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D713D">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E3A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资金分配合理性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7DC7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项目预算资金分配是否有测算依据，与补助单位或地方实际是否相适应，用以反映和考核项目预算资金分配的科学性、合理性情况。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89B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5CC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C06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评价要点：①预算资金分配依据充分；②资金分配额度合理，与项目单位或地方实际相适应。</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740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6985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喀什市文化体育广播电视和旅游局局务会议纪要》《喀什市文化体育广播电视和旅游局2025年第15次党组会议纪要》文件分配资金，主要用于租赁专业灯光音响设备、修复舞台看台及开展广告宣传，保障2025年《新疆是个好地方》大型演出活动的顺利举办。所需资金量在预算范围内，资金额度分配合理。根据评分标准，该指标不扣分，得3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D4C29">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C31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D00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429E8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1D0E5">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08448">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04736">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811A0">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942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973B2">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BFA8C">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992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①预算资金分配依据充分（2分）否则，不得分；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E9ABC">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AFA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8820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CCC02">
            <w:pPr>
              <w:jc w:val="center"/>
              <w:rPr>
                <w:rFonts w:hint="eastAsia" w:ascii="Times New Roman" w:hAnsi="Times New Roman" w:eastAsia="仿宋_GB2312" w:cs="仿宋_GB2312"/>
                <w:i w:val="0"/>
                <w:iCs w:val="0"/>
                <w:color w:val="000000"/>
                <w:sz w:val="18"/>
                <w:szCs w:val="18"/>
                <w:u w:val="none"/>
              </w:rPr>
            </w:pPr>
          </w:p>
        </w:tc>
      </w:tr>
      <w:tr w14:paraId="634A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D5C2E">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D5A54">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E120">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ADE0D">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5B1D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2BDC2">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98460">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819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②资金分配额度合理，与项目单位或地方实际相适应（1分）否则，不得分。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2DC32">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E8BC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96AD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EB77">
            <w:pPr>
              <w:jc w:val="center"/>
              <w:rPr>
                <w:rFonts w:hint="eastAsia" w:ascii="Times New Roman" w:hAnsi="Times New Roman" w:eastAsia="仿宋_GB2312" w:cs="仿宋_GB2312"/>
                <w:i w:val="0"/>
                <w:iCs w:val="0"/>
                <w:color w:val="000000"/>
                <w:sz w:val="18"/>
                <w:szCs w:val="18"/>
                <w:u w:val="none"/>
              </w:rPr>
            </w:pPr>
          </w:p>
        </w:tc>
      </w:tr>
      <w:tr w14:paraId="1D13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284" w:type="pct"/>
            <w:vMerge w:val="restart"/>
            <w:tcBorders>
              <w:top w:val="single" w:color="000000" w:sz="4" w:space="0"/>
              <w:left w:val="single" w:color="000000" w:sz="4" w:space="0"/>
              <w:bottom w:val="nil"/>
              <w:right w:val="single" w:color="000000" w:sz="4" w:space="0"/>
            </w:tcBorders>
            <w:shd w:val="clear" w:color="auto" w:fill="auto"/>
            <w:vAlign w:val="center"/>
          </w:tcPr>
          <w:p w14:paraId="6C1F50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过程（40）</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3DA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资金管理（20）</w:t>
            </w:r>
          </w:p>
        </w:tc>
        <w:tc>
          <w:tcPr>
            <w:tcW w:w="5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42A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资金到位率</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D53B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实际到位资金与预算资金的比率，用以反映和考核资金落实情况对项目实施的总体保障程度。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F80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801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3D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资金到位率=（实际到位资金/预算资金）×100%。实际到位资金：一定时期（本年度或项目期）内落实到具体项目的资金。预算资金：一定时期（本年度或项目期）内预算安排到具体项目的资金。</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55B2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①资金及时到位，得5分；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②资金未及时到位但未影响项目进度，得3分；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③资金未及时到位并影响项目进度，得0分。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432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本项目预算资金49.4万元，截至2025年12月31日，到位49.4万元，资金到位率=（实际到位资金/预算资金）×100%=（49.4/49.4）×100%=100%。根据评分标准，该指标不扣分，得5分。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32BDE">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202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722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61FA4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0379F16B">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6E678">
            <w:pPr>
              <w:jc w:val="center"/>
              <w:rPr>
                <w:rFonts w:hint="eastAsia" w:ascii="Times New Roman" w:hAnsi="Times New Roman" w:eastAsia="仿宋_GB2312" w:cs="仿宋_GB2312"/>
                <w:i w:val="0"/>
                <w:iCs w:val="0"/>
                <w:color w:val="000000"/>
                <w:sz w:val="18"/>
                <w:szCs w:val="18"/>
                <w:u w:val="none"/>
              </w:rPr>
            </w:pPr>
          </w:p>
        </w:tc>
        <w:tc>
          <w:tcPr>
            <w:tcW w:w="5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856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预算执行率</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4511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项目预算资金是否按照计划执行，用以反映或考核项目预算执行情况。</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8D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9D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E0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预算执行率=实际支出金额/实际到位预算金额×100%。</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981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项目完成，且执行数控制在年度预算规模之内的，得5分；项目尚未完成预算执行率80%≤预算执行率＜100%，得3分。预算执行率60%≤预算执行率＜80%，得2分。预算执行率小于60%，不得分。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D817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实际到位资金为49.4万元，实际支出金额为49.4万元，预算执行率=（实际支出资金/实际到位资金）×100%=（49.4万元/49.4万元）×100%=100%，依据关于印发《自治区项目支出绩效目标设置指引》的通知（新财预〔2022〕42号）及关于印发《中央部门项目支出核心绩效目标和指标设置及取值指引（试行）》的通知(财预〔2021〕101号)，该项目已完成，且执行数控制在年度预算规模之内的，根据评分标准，该指标不扣分，得5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4B95">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19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62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362C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9B3BE79">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2ECBE">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EEF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资金使用合规性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391C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项目资金使用是否符合相关的财务管理制度规定，用以反映和考核项目资金的规范运行情况。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659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合规</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18A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8D4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符合国家财经法规和财务管理制度以及有关专项资金管理办法的规定；②资金的拨付有完整的审批程序和手续；③符合项目预算批复或合同规定的用途；④不存在截留、挤占、挪用、虚列支出等情况。</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3DE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C6F3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资金有《喀什市文化体育广播电视和旅游局局务会议纪要》《喀什市文化体育广播电视和旅游局2025年第15次党组会议纪要》、关于申请支付《新疆是个好地方》演出灯光、投影音响、设备运输、演出保障等相关费用的请示作为相关依据资金拨付审批手续齐全。本次检查，未发现违规使用情况，本项目资金全部用于支付2025年新疆是个好地方演出保障项目，符合预算批复规定用途，符合《喀什市文化体育广播电视和旅游局财务管理制度》《喀什市文化体育广播电视和旅游局收入支出管理内部控制制度》不存在截留、挤占、挪用、虚列支出等情况。根据评分标准，该指标不扣分，得5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92F7C">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A1C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D36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3DF40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D756DD6">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B29E9">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5F9DB">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41BE6">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745B6">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E2E9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2B658">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2C7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①符合国家财经法规和财务管理制度以及有关专项资金管理办法的规定（1分）否则，不得分；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7151E">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12E6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0E16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E41CA">
            <w:pPr>
              <w:jc w:val="center"/>
              <w:rPr>
                <w:rFonts w:hint="eastAsia" w:ascii="Times New Roman" w:hAnsi="Times New Roman" w:eastAsia="仿宋_GB2312" w:cs="仿宋_GB2312"/>
                <w:i w:val="0"/>
                <w:iCs w:val="0"/>
                <w:color w:val="000000"/>
                <w:sz w:val="18"/>
                <w:szCs w:val="18"/>
                <w:u w:val="none"/>
              </w:rPr>
            </w:pPr>
          </w:p>
        </w:tc>
      </w:tr>
      <w:tr w14:paraId="558AC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689C005C">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13CB0">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5EB46">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4699B">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1D0F6">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11CB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D9950">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842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②资金的拨付有完整的审批程序和手续（1分）否则，不得分；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08BCF">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A9EC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47BF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E56A3">
            <w:pPr>
              <w:jc w:val="center"/>
              <w:rPr>
                <w:rFonts w:hint="eastAsia" w:ascii="Times New Roman" w:hAnsi="Times New Roman" w:eastAsia="仿宋_GB2312" w:cs="仿宋_GB2312"/>
                <w:i w:val="0"/>
                <w:iCs w:val="0"/>
                <w:color w:val="000000"/>
                <w:sz w:val="18"/>
                <w:szCs w:val="18"/>
                <w:u w:val="none"/>
              </w:rPr>
            </w:pPr>
          </w:p>
        </w:tc>
      </w:tr>
      <w:tr w14:paraId="0E6D2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636F1649">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2DAF4">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4C63F">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1BF8E">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FD79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67CFC">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AF16F">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658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③符合项目预算批复或合同规定的用途（1分）否则，不得分；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CCEA2">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F78C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DC73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6D399">
            <w:pPr>
              <w:jc w:val="center"/>
              <w:rPr>
                <w:rFonts w:hint="eastAsia" w:ascii="Times New Roman" w:hAnsi="Times New Roman" w:eastAsia="仿宋_GB2312" w:cs="仿宋_GB2312"/>
                <w:i w:val="0"/>
                <w:iCs w:val="0"/>
                <w:color w:val="000000"/>
                <w:sz w:val="18"/>
                <w:szCs w:val="18"/>
                <w:u w:val="none"/>
              </w:rPr>
            </w:pPr>
          </w:p>
        </w:tc>
      </w:tr>
      <w:tr w14:paraId="5B64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B1F60E5">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1A49A">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C6190">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2A0FE">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8176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CDEE">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F4402">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A154">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④不存在截留、挤占、挪用、虚列支出等情况（2分）否则，不得分。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FE89A">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4CD4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B159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1A0FB">
            <w:pPr>
              <w:jc w:val="center"/>
              <w:rPr>
                <w:rFonts w:hint="eastAsia" w:ascii="Times New Roman" w:hAnsi="Times New Roman" w:eastAsia="仿宋_GB2312" w:cs="仿宋_GB2312"/>
                <w:i w:val="0"/>
                <w:iCs w:val="0"/>
                <w:color w:val="000000"/>
                <w:sz w:val="18"/>
                <w:szCs w:val="18"/>
                <w:u w:val="none"/>
              </w:rPr>
            </w:pPr>
          </w:p>
        </w:tc>
      </w:tr>
      <w:tr w14:paraId="72D73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2E75F041">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73767">
            <w:pPr>
              <w:jc w:val="center"/>
              <w:rPr>
                <w:rFonts w:hint="eastAsia" w:ascii="Times New Roman" w:hAnsi="Times New Roman" w:eastAsia="仿宋_GB2312" w:cs="仿宋_GB2312"/>
                <w:i w:val="0"/>
                <w:iCs w:val="0"/>
                <w:color w:val="000000"/>
                <w:sz w:val="18"/>
                <w:szCs w:val="18"/>
                <w:u w:val="none"/>
              </w:rPr>
            </w:pPr>
          </w:p>
        </w:tc>
        <w:tc>
          <w:tcPr>
            <w:tcW w:w="5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7FA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资金支付规范性</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592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考察采购主体项目资金支付情况。</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F8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A9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F7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符合合同约定资金付款的方式、时间、条件和比例，明确无故逾期支付资金的违约责任等。</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059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符合合同约定资金付款的方式、时间、条件和比例，明确无故逾期支付资金的违约责任等，得满分，否则扣全分。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3875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本项目在资金支付规范性方面</w:t>
            </w:r>
            <w:r>
              <w:rPr>
                <w:rFonts w:hint="eastAsia" w:ascii="Times New Roman" w:hAnsi="Times New Roman" w:cs="仿宋_GB2312"/>
                <w:i w:val="0"/>
                <w:iCs w:val="0"/>
                <w:color w:val="000000"/>
                <w:kern w:val="0"/>
                <w:sz w:val="18"/>
                <w:szCs w:val="18"/>
                <w:u w:val="none"/>
                <w:lang w:val="en-US" w:eastAsia="zh-CN" w:bidi="ar"/>
              </w:rPr>
              <w:t>，经</w:t>
            </w:r>
            <w:r>
              <w:rPr>
                <w:rFonts w:hint="eastAsia" w:ascii="Times New Roman" w:hAnsi="Times New Roman" w:eastAsia="仿宋_GB2312" w:cs="仿宋_GB2312"/>
                <w:i w:val="0"/>
                <w:iCs w:val="0"/>
                <w:color w:val="000000"/>
                <w:kern w:val="0"/>
                <w:sz w:val="18"/>
                <w:szCs w:val="18"/>
                <w:u w:val="none"/>
                <w:lang w:val="en-US" w:eastAsia="zh-CN" w:bidi="ar"/>
              </w:rPr>
              <w:t>现场检查与新疆蕴洋文旅投资有限公司签订的《新疆是个好地方演出设备租赁合同》、与新疆风行文化传播有限公司签订的《新疆是个好地方演出设备租赁合同》、与新疆丝路兄弟文化发展有限公司签订的《新疆是个好地方演出设备租赁合同》《关于申请支付新疆是个好地方演出灯光、投影音响、设备运输、演出保障等相关费用的请示》、“电子发票（普通发票）”及“国库集中支付凭证”，该单位资金支付未按合同约定的资金付款的方式执行，“项目合同约定：项目结束后七日内支付50%，甲方向乙方付款……元”，“项目服务期为97天（包含搭建、调试、彩排、演出），自2025年4月26日起至2025年7月31日止，演出时间为2025年5月1日。”但该单位在2025年8月25日才支付项目款。根据评分标准，该指标扣5分，得0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B1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41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D6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0.00%</w:t>
            </w:r>
          </w:p>
        </w:tc>
      </w:tr>
      <w:tr w14:paraId="78301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BD7D55D">
            <w:pPr>
              <w:jc w:val="center"/>
              <w:rPr>
                <w:rFonts w:hint="eastAsia" w:ascii="Times New Roman" w:hAnsi="Times New Roman" w:eastAsia="仿宋_GB2312" w:cs="仿宋_GB2312"/>
                <w:i w:val="0"/>
                <w:iCs w:val="0"/>
                <w:color w:val="000000"/>
                <w:sz w:val="18"/>
                <w:szCs w:val="18"/>
                <w:u w:val="none"/>
              </w:rPr>
            </w:pPr>
          </w:p>
        </w:tc>
        <w:tc>
          <w:tcPr>
            <w:tcW w:w="372" w:type="pct"/>
            <w:vMerge w:val="restart"/>
            <w:tcBorders>
              <w:top w:val="single" w:color="000000" w:sz="4" w:space="0"/>
              <w:left w:val="single" w:color="000000" w:sz="4" w:space="0"/>
              <w:bottom w:val="nil"/>
              <w:right w:val="single" w:color="000000" w:sz="4" w:space="0"/>
            </w:tcBorders>
            <w:shd w:val="clear" w:color="auto" w:fill="auto"/>
            <w:vAlign w:val="center"/>
          </w:tcPr>
          <w:p w14:paraId="71FFE0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组织实施（20）</w:t>
            </w: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CD7B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管理制度健全性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726E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项目实施单位的财务和业务管理制度是否健全，用以反映和考核财务和业务管理制度对项目顺利实施的保障情况。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139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健全</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D7D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FFF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评价要点：①已制定或具有相应的财务和业务管理制度；②财务和业务管理制度合法、合规、完整。</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77D7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7F5E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喀什市文化体育广播电视和旅游局依据关于印发《喀什市文化体育广播电视和旅游局职能配置、内设机构和人员编制规定》的通知（喀市党办字〔2019〕31号）开展业务，并严格按照《喀什市文化体育广播电视和旅游局局务会议纪要》《喀什市文化体育广播电视和旅游局2025年第15次党组会议纪要</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关于申请支付新疆是个好地方演出灯光、投影音响、设备运输、演出保障等相关费用的请示》《喀什市文化体育广播电视和旅游局财务管理制度》《喀什市文化体育广播电视和旅游局收入支出管理内部控制制度》对财政专项资金进行严格管理，已制定或具有相应的财务和业务管理制度，财务和业务管理制度合法、合规、完整。根据评分标准，该指标不扣分，得5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327DB">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F9B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964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58204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51AE9014">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2BAE82C1">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AC190">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05213">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E747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F4BD3">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DF2C9">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F2B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①已制定或具有相应的财务和业务管理制度（3分）否则，不得分；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08D06">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CD73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9E4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53E3E">
            <w:pPr>
              <w:jc w:val="center"/>
              <w:rPr>
                <w:rFonts w:hint="eastAsia" w:ascii="Times New Roman" w:hAnsi="Times New Roman" w:eastAsia="仿宋_GB2312" w:cs="仿宋_GB2312"/>
                <w:i w:val="0"/>
                <w:iCs w:val="0"/>
                <w:color w:val="000000"/>
                <w:sz w:val="18"/>
                <w:szCs w:val="18"/>
                <w:u w:val="none"/>
              </w:rPr>
            </w:pPr>
          </w:p>
        </w:tc>
      </w:tr>
      <w:tr w14:paraId="1D3B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BD475E2">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1382140F">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A7D1C">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258D0">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0E7C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94DA9">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4BCB6">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703F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②财务和业务管理制度合法、合规、完整（2分）否则，不得分。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F185C">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7AFC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FB57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246B1">
            <w:pPr>
              <w:jc w:val="center"/>
              <w:rPr>
                <w:rFonts w:hint="eastAsia" w:ascii="Times New Roman" w:hAnsi="Times New Roman" w:eastAsia="仿宋_GB2312" w:cs="仿宋_GB2312"/>
                <w:i w:val="0"/>
                <w:iCs w:val="0"/>
                <w:color w:val="000000"/>
                <w:sz w:val="18"/>
                <w:szCs w:val="18"/>
                <w:u w:val="none"/>
              </w:rPr>
            </w:pPr>
          </w:p>
        </w:tc>
      </w:tr>
      <w:tr w14:paraId="5B41A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419D294">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13107BF2">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536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制度执行有效性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6706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项目实施是否符合相关管理规定，用以反映和考核相关管理制度的有效执行情况。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9C5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有效</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20D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7AF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评价要点：①遵守相关法律法规和相关管理规定；②项目调整及支出调整手续完备；③项目合同书、验收报告、技术鉴定等资料齐全并及时归档。</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82858">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89E6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依据《喀什市文化体育广播电视和旅游局局务会议纪要》《喀什市文化体育广播电视和旅游局2025年第15次党组会议纪要</w:t>
            </w:r>
            <w:r>
              <w:rPr>
                <w:rFonts w:hint="eastAsia" w:ascii="Times New Roman" w:hAnsi="Times New Roman" w:cs="仿宋_GB2312"/>
                <w:i w:val="0"/>
                <w:iCs w:val="0"/>
                <w:color w:val="000000"/>
                <w:kern w:val="0"/>
                <w:sz w:val="18"/>
                <w:szCs w:val="18"/>
                <w:u w:val="none"/>
                <w:lang w:val="en-US" w:eastAsia="zh-CN" w:bidi="ar"/>
              </w:rPr>
              <w:t>》《</w:t>
            </w:r>
            <w:r>
              <w:rPr>
                <w:rFonts w:hint="eastAsia" w:ascii="Times New Roman" w:hAnsi="Times New Roman" w:eastAsia="仿宋_GB2312" w:cs="仿宋_GB2312"/>
                <w:i w:val="0"/>
                <w:iCs w:val="0"/>
                <w:color w:val="000000"/>
                <w:kern w:val="0"/>
                <w:sz w:val="18"/>
                <w:szCs w:val="18"/>
                <w:u w:val="none"/>
                <w:lang w:val="en-US" w:eastAsia="zh-CN" w:bidi="ar"/>
              </w:rPr>
              <w:t>关于申请支付新疆是个好地方演出灯光、投影音响、设备运输、演出保障等相关费用的请示》《喀什市文化体育广播电视和旅游局财务管理制度》《喀什市文化体育广播电视和旅游局收入支出管理内部控制制度》，对资金的使用合法合规性进行监督，年底对资金使用效果进行自评。项目的实施遵守相关法律法规和相关管理规定，根据评分标准，该指标不扣分，得5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595D2">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AFB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4CE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2FEF7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58AE78ED">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6F6EC219">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E13AE">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C84A3">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585E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C6B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EBA0F">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B83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①遵守相关法律法规和相关管理规定（2分）否则，不得分；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159A9">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0A8E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09F5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B88B6">
            <w:pPr>
              <w:jc w:val="center"/>
              <w:rPr>
                <w:rFonts w:hint="eastAsia" w:ascii="Times New Roman" w:hAnsi="Times New Roman" w:eastAsia="仿宋_GB2312" w:cs="仿宋_GB2312"/>
                <w:i w:val="0"/>
                <w:iCs w:val="0"/>
                <w:color w:val="000000"/>
                <w:sz w:val="18"/>
                <w:szCs w:val="18"/>
                <w:u w:val="none"/>
              </w:rPr>
            </w:pPr>
          </w:p>
        </w:tc>
      </w:tr>
      <w:tr w14:paraId="4D59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6BEE99F">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155ECE44">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BBEBA">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B465E">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42406">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649A8">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6DC7">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CBA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②项目调整及支出调整手续完备（1分）否则，不得分；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8F61B">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3036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6FCA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40773">
            <w:pPr>
              <w:jc w:val="center"/>
              <w:rPr>
                <w:rFonts w:hint="eastAsia" w:ascii="Times New Roman" w:hAnsi="Times New Roman" w:eastAsia="仿宋_GB2312" w:cs="仿宋_GB2312"/>
                <w:i w:val="0"/>
                <w:iCs w:val="0"/>
                <w:color w:val="000000"/>
                <w:sz w:val="18"/>
                <w:szCs w:val="18"/>
                <w:u w:val="none"/>
              </w:rPr>
            </w:pPr>
          </w:p>
        </w:tc>
      </w:tr>
      <w:tr w14:paraId="46A3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E5AEEA4">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0D75C6CB">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45B1">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C1888">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57F6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46996">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3C119">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9CB5">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③项目合同书、验收报告、技术鉴定等资料齐全并及时归档（1分）否则，不得分；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6FCA0">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990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7B97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133C8">
            <w:pPr>
              <w:jc w:val="center"/>
              <w:rPr>
                <w:rFonts w:hint="eastAsia" w:ascii="Times New Roman" w:hAnsi="Times New Roman" w:eastAsia="仿宋_GB2312" w:cs="仿宋_GB2312"/>
                <w:i w:val="0"/>
                <w:iCs w:val="0"/>
                <w:color w:val="000000"/>
                <w:sz w:val="18"/>
                <w:szCs w:val="18"/>
                <w:u w:val="none"/>
              </w:rPr>
            </w:pPr>
          </w:p>
        </w:tc>
      </w:tr>
      <w:tr w14:paraId="03E2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5F3B228">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4C8F41F7">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293C5">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4228D">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C31F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E570">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6FB4D">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B7C4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④项目实施的人员条件、场地设备、信息支撑等落实到位（1分）否则，不得分。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7CB6C">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A150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9232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BFD25">
            <w:pPr>
              <w:jc w:val="center"/>
              <w:rPr>
                <w:rFonts w:hint="eastAsia" w:ascii="Times New Roman" w:hAnsi="Times New Roman" w:eastAsia="仿宋_GB2312" w:cs="仿宋_GB2312"/>
                <w:i w:val="0"/>
                <w:iCs w:val="0"/>
                <w:color w:val="000000"/>
                <w:sz w:val="18"/>
                <w:szCs w:val="18"/>
                <w:u w:val="none"/>
              </w:rPr>
            </w:pPr>
          </w:p>
        </w:tc>
      </w:tr>
      <w:tr w14:paraId="31232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2D8A46CD">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0729EB37">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FE4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合同管理规范性</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10C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考察①是否与承接主体签订书面合同；</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②合同签订内容是否完整，写明服务标准、时限等，合同签订时限不得超过 3 年；</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③合同签订内容是否符合政府购买服务政策、履职范围、服务内容、指导性目录等有关规定；</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④政府购买服务合同是否依法予以公告。用以反映和考核购买主体合同签订的管理规范情况。</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272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规范</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1C0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AD7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评价要点：①与承接主体签订书面合同；</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②合同签订内容完整，写明服务标准、时限等，合同签订时限未超过 3 年；</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③合同签订内容符合政府购买服务政策、履职范围、服务内容、指导性目录等有关规定；</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④政府购买服务合同依法予以公告。</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80B0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B01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现场检查该项目涉及合同，喀什市文化体育广播电视和旅游局与新疆蕴洋文旅投资有限公司、新疆风行文化传播有限公司、新疆丝路兄弟文化发展有限公司均已签订书面合同，合同内容完整，明确了付款条件、验收标准、服务期限等要素，符合《中华人民共和国政府采购法实施条例》指导性目录等有关规定，合同管理规范。根据评分标准，该指标不扣分，得5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0F170">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C6A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3B8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0ED9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144E218">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5408CEEB">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F97F">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9E6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DF4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69AFE">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18EC1">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3AB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①与承接主体签订书面合同（2分）否则，不得分。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5487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2468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B17E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41FA1">
            <w:pPr>
              <w:jc w:val="center"/>
              <w:rPr>
                <w:rFonts w:hint="eastAsia" w:ascii="Times New Roman" w:hAnsi="Times New Roman" w:eastAsia="仿宋_GB2312" w:cs="仿宋_GB2312"/>
                <w:i w:val="0"/>
                <w:iCs w:val="0"/>
                <w:color w:val="000000"/>
                <w:sz w:val="18"/>
                <w:szCs w:val="18"/>
                <w:u w:val="none"/>
              </w:rPr>
            </w:pPr>
          </w:p>
        </w:tc>
      </w:tr>
      <w:tr w14:paraId="2D583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4293122">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054A4961">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4B32B">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A4D1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32E1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95110">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6B70C">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98640">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②合同签订内容完整，写明服务标准、时限等，合同签订时限未超过 3 年；（1分）否则，不得分。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3AC1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BC48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562C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F9013">
            <w:pPr>
              <w:jc w:val="center"/>
              <w:rPr>
                <w:rFonts w:hint="eastAsia" w:ascii="Times New Roman" w:hAnsi="Times New Roman" w:eastAsia="仿宋_GB2312" w:cs="仿宋_GB2312"/>
                <w:i w:val="0"/>
                <w:iCs w:val="0"/>
                <w:color w:val="000000"/>
                <w:sz w:val="18"/>
                <w:szCs w:val="18"/>
                <w:u w:val="none"/>
              </w:rPr>
            </w:pPr>
          </w:p>
        </w:tc>
      </w:tr>
      <w:tr w14:paraId="4AF3E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0A2808F9">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6E31494C">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D6977">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4A5B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D916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391A4">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421BA">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B88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③合同签订内容符合政府购买服务政策、履职范围、服务内容、指导性目录等有关规定；（1分）否则，不得分。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A224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C4CFA">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2A69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6FD7C">
            <w:pPr>
              <w:jc w:val="center"/>
              <w:rPr>
                <w:rFonts w:hint="eastAsia" w:ascii="Times New Roman" w:hAnsi="Times New Roman" w:eastAsia="仿宋_GB2312" w:cs="仿宋_GB2312"/>
                <w:i w:val="0"/>
                <w:iCs w:val="0"/>
                <w:color w:val="000000"/>
                <w:sz w:val="18"/>
                <w:szCs w:val="18"/>
                <w:u w:val="none"/>
              </w:rPr>
            </w:pPr>
          </w:p>
        </w:tc>
      </w:tr>
      <w:tr w14:paraId="4862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264BD001">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2FD670EF">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04448">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C34E5">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542D7">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140CB">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429E1">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7A956">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④政府购买服务合同依法予以公告。（1分）否则，不得分。</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93F8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FCEB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AE7A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DF589">
            <w:pPr>
              <w:jc w:val="center"/>
              <w:rPr>
                <w:rFonts w:hint="eastAsia" w:ascii="Times New Roman" w:hAnsi="Times New Roman" w:eastAsia="仿宋_GB2312" w:cs="仿宋_GB2312"/>
                <w:i w:val="0"/>
                <w:iCs w:val="0"/>
                <w:color w:val="000000"/>
                <w:sz w:val="18"/>
                <w:szCs w:val="18"/>
                <w:u w:val="none"/>
              </w:rPr>
            </w:pPr>
          </w:p>
        </w:tc>
      </w:tr>
      <w:tr w14:paraId="77DC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1C47D516">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5F55CDFF">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restart"/>
            <w:tcBorders>
              <w:top w:val="nil"/>
              <w:left w:val="single" w:color="000000" w:sz="4" w:space="0"/>
              <w:bottom w:val="nil"/>
              <w:right w:val="single" w:color="000000" w:sz="4" w:space="0"/>
            </w:tcBorders>
            <w:shd w:val="clear" w:color="auto" w:fill="auto"/>
            <w:vAlign w:val="center"/>
          </w:tcPr>
          <w:p w14:paraId="1BA749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项目履约验收规范性</w:t>
            </w:r>
          </w:p>
        </w:tc>
        <w:tc>
          <w:tcPr>
            <w:tcW w:w="518" w:type="pct"/>
            <w:vMerge w:val="restart"/>
            <w:tcBorders>
              <w:top w:val="nil"/>
              <w:left w:val="single" w:color="000000" w:sz="4" w:space="0"/>
              <w:bottom w:val="nil"/>
              <w:right w:val="single" w:color="000000" w:sz="4" w:space="0"/>
            </w:tcBorders>
            <w:shd w:val="clear" w:color="auto" w:fill="auto"/>
            <w:vAlign w:val="center"/>
          </w:tcPr>
          <w:p w14:paraId="5A1FC2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考察①是否组织了考核验收工作；②考核验收是否邀请采购人员参与并出具意见；③履约考核验收的结果是否公开。</w:t>
            </w:r>
          </w:p>
        </w:tc>
        <w:tc>
          <w:tcPr>
            <w:tcW w:w="262" w:type="pct"/>
            <w:vMerge w:val="restart"/>
            <w:tcBorders>
              <w:top w:val="nil"/>
              <w:left w:val="single" w:color="000000" w:sz="4" w:space="0"/>
              <w:bottom w:val="nil"/>
              <w:right w:val="single" w:color="000000" w:sz="4" w:space="0"/>
            </w:tcBorders>
            <w:shd w:val="clear" w:color="auto" w:fill="auto"/>
            <w:vAlign w:val="center"/>
          </w:tcPr>
          <w:p w14:paraId="6B87F1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合格</w:t>
            </w:r>
          </w:p>
        </w:tc>
        <w:tc>
          <w:tcPr>
            <w:tcW w:w="262" w:type="pct"/>
            <w:vMerge w:val="restart"/>
            <w:tcBorders>
              <w:top w:val="nil"/>
              <w:left w:val="single" w:color="000000" w:sz="4" w:space="0"/>
              <w:bottom w:val="nil"/>
              <w:right w:val="single" w:color="000000" w:sz="4" w:space="0"/>
            </w:tcBorders>
            <w:shd w:val="clear" w:color="auto" w:fill="auto"/>
            <w:vAlign w:val="center"/>
          </w:tcPr>
          <w:p w14:paraId="52FB62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restart"/>
            <w:tcBorders>
              <w:top w:val="nil"/>
              <w:left w:val="single" w:color="000000" w:sz="4" w:space="0"/>
              <w:bottom w:val="nil"/>
              <w:right w:val="single" w:color="000000" w:sz="4" w:space="0"/>
            </w:tcBorders>
            <w:shd w:val="clear" w:color="auto" w:fill="auto"/>
            <w:vAlign w:val="center"/>
          </w:tcPr>
          <w:p w14:paraId="66D719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评价要点：①按照《中华人民共和国政府采购法实施条例》组织验收。②验收时应当邀请采购人员参与并出具意见。③验收结果应当向社会公告。</w:t>
            </w:r>
          </w:p>
        </w:tc>
        <w:tc>
          <w:tcPr>
            <w:tcW w:w="683" w:type="pct"/>
            <w:tcBorders>
              <w:top w:val="single" w:color="000000" w:sz="4" w:space="0"/>
              <w:left w:val="single" w:color="000000" w:sz="4" w:space="0"/>
              <w:bottom w:val="nil"/>
              <w:right w:val="single" w:color="000000" w:sz="4" w:space="0"/>
            </w:tcBorders>
            <w:shd w:val="clear" w:color="auto" w:fill="auto"/>
            <w:vAlign w:val="center"/>
          </w:tcPr>
          <w:p w14:paraId="1F51B21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评价要点：</w:t>
            </w:r>
          </w:p>
        </w:tc>
        <w:tc>
          <w:tcPr>
            <w:tcW w:w="871" w:type="pct"/>
            <w:vMerge w:val="restart"/>
            <w:tcBorders>
              <w:top w:val="single" w:color="000000" w:sz="4" w:space="0"/>
              <w:left w:val="single" w:color="000000" w:sz="4" w:space="0"/>
              <w:bottom w:val="nil"/>
              <w:right w:val="single" w:color="000000" w:sz="4" w:space="0"/>
            </w:tcBorders>
            <w:shd w:val="clear" w:color="auto" w:fill="auto"/>
            <w:vAlign w:val="center"/>
          </w:tcPr>
          <w:p w14:paraId="46684F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该项目已按照《中华人民共和国政府采购法实施条例》组织验收，通过检查单位提供的与新疆风行文化传播有限公司签订的《新疆是个好地方演出设备租赁合同》《验收单》，根据财政部《关于进一步加强政府采购需求和履约验收管理的指导意见》（财库〔2016〕205</w:t>
            </w:r>
            <w:r>
              <w:rPr>
                <w:rFonts w:hint="eastAsia" w:ascii="Times New Roman" w:hAnsi="Times New Roman" w:cs="仿宋_GB2312"/>
                <w:i w:val="0"/>
                <w:iCs w:val="0"/>
                <w:color w:val="000000"/>
                <w:kern w:val="0"/>
                <w:sz w:val="18"/>
                <w:szCs w:val="18"/>
                <w:u w:val="none"/>
                <w:lang w:val="en-US" w:eastAsia="zh-CN" w:bidi="ar"/>
              </w:rPr>
              <w:t>号</w:t>
            </w:r>
            <w:r>
              <w:rPr>
                <w:rFonts w:hint="eastAsia" w:ascii="Times New Roman" w:hAnsi="Times New Roman" w:eastAsia="仿宋_GB2312" w:cs="仿宋_GB2312"/>
                <w:i w:val="0"/>
                <w:iCs w:val="0"/>
                <w:color w:val="000000"/>
                <w:kern w:val="0"/>
                <w:sz w:val="18"/>
                <w:szCs w:val="18"/>
                <w:u w:val="none"/>
                <w:lang w:val="en-US" w:eastAsia="zh-CN" w:bidi="ar"/>
              </w:rPr>
              <w:t>）：“（八）严格按照采购合同开展履约验收。采购人或者采购代理机构应当成立验收小组，按照采购合同的约定对供应商履约情况进行验收。验收时，应当按照采购合同的约定对每一项技术、服务、安全标准的履约情况进行确认。验收结束后，应当出具验收书，列明各项标准的验收情况及项目总体评价，由验收双方共同签署。”查看验收单，无实际验收时间、无验收小组成员手写签字、无验收结论、未按照合同的约定对每一项技术、服务、安全标准的履约情况进行确认，以及列明各项标准，项目履约验收不规范，根据评分标准，该指标扣5分，得0分。</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2ACF57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3682DA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77D4B9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40.00%</w:t>
            </w:r>
          </w:p>
        </w:tc>
      </w:tr>
      <w:tr w14:paraId="7AC4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28A6B3D">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1D8F42F9">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nil"/>
              <w:left w:val="single" w:color="000000" w:sz="4" w:space="0"/>
              <w:bottom w:val="nil"/>
              <w:right w:val="single" w:color="000000" w:sz="4" w:space="0"/>
            </w:tcBorders>
            <w:shd w:val="clear" w:color="auto" w:fill="auto"/>
            <w:vAlign w:val="center"/>
          </w:tcPr>
          <w:p w14:paraId="19AEDD6A">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nil"/>
              <w:left w:val="single" w:color="000000" w:sz="4" w:space="0"/>
              <w:bottom w:val="nil"/>
              <w:right w:val="single" w:color="000000" w:sz="4" w:space="0"/>
            </w:tcBorders>
            <w:shd w:val="clear" w:color="auto" w:fill="auto"/>
            <w:vAlign w:val="center"/>
          </w:tcPr>
          <w:p w14:paraId="2EE55568">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nil"/>
              <w:left w:val="single" w:color="000000" w:sz="4" w:space="0"/>
              <w:bottom w:val="nil"/>
              <w:right w:val="single" w:color="000000" w:sz="4" w:space="0"/>
            </w:tcBorders>
            <w:shd w:val="clear" w:color="auto" w:fill="auto"/>
            <w:vAlign w:val="center"/>
          </w:tcPr>
          <w:p w14:paraId="6AB0618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nil"/>
              <w:left w:val="single" w:color="000000" w:sz="4" w:space="0"/>
              <w:bottom w:val="nil"/>
              <w:right w:val="single" w:color="000000" w:sz="4" w:space="0"/>
            </w:tcBorders>
            <w:shd w:val="clear" w:color="auto" w:fill="auto"/>
            <w:vAlign w:val="center"/>
          </w:tcPr>
          <w:p w14:paraId="72B7B51A">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nil"/>
              <w:left w:val="single" w:color="000000" w:sz="4" w:space="0"/>
              <w:bottom w:val="nil"/>
              <w:right w:val="single" w:color="000000" w:sz="4" w:space="0"/>
            </w:tcBorders>
            <w:shd w:val="clear" w:color="auto" w:fill="auto"/>
            <w:vAlign w:val="center"/>
          </w:tcPr>
          <w:p w14:paraId="131B6866">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nil"/>
              <w:right w:val="single" w:color="000000" w:sz="4" w:space="0"/>
            </w:tcBorders>
            <w:shd w:val="clear" w:color="auto" w:fill="auto"/>
            <w:vAlign w:val="center"/>
          </w:tcPr>
          <w:p w14:paraId="01ACC28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①按照《中华人民共和国政府采购法实施条例》组织验收。（2分）否则，不得分。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2405A86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8E0953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22D239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4D9369AB">
            <w:pPr>
              <w:jc w:val="center"/>
              <w:rPr>
                <w:rFonts w:hint="eastAsia" w:ascii="Times New Roman" w:hAnsi="Times New Roman" w:eastAsia="仿宋_GB2312" w:cs="仿宋_GB2312"/>
                <w:i w:val="0"/>
                <w:iCs w:val="0"/>
                <w:color w:val="000000"/>
                <w:sz w:val="18"/>
                <w:szCs w:val="18"/>
                <w:u w:val="none"/>
              </w:rPr>
            </w:pPr>
          </w:p>
        </w:tc>
      </w:tr>
      <w:tr w14:paraId="34CC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6CCBB3B2">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2587D294">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nil"/>
              <w:left w:val="single" w:color="000000" w:sz="4" w:space="0"/>
              <w:bottom w:val="nil"/>
              <w:right w:val="single" w:color="000000" w:sz="4" w:space="0"/>
            </w:tcBorders>
            <w:shd w:val="clear" w:color="auto" w:fill="auto"/>
            <w:vAlign w:val="center"/>
          </w:tcPr>
          <w:p w14:paraId="76C8C62B">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nil"/>
              <w:left w:val="single" w:color="000000" w:sz="4" w:space="0"/>
              <w:bottom w:val="nil"/>
              <w:right w:val="single" w:color="000000" w:sz="4" w:space="0"/>
            </w:tcBorders>
            <w:shd w:val="clear" w:color="auto" w:fill="auto"/>
            <w:vAlign w:val="center"/>
          </w:tcPr>
          <w:p w14:paraId="3D361E8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nil"/>
              <w:left w:val="single" w:color="000000" w:sz="4" w:space="0"/>
              <w:bottom w:val="nil"/>
              <w:right w:val="single" w:color="000000" w:sz="4" w:space="0"/>
            </w:tcBorders>
            <w:shd w:val="clear" w:color="auto" w:fill="auto"/>
            <w:vAlign w:val="center"/>
          </w:tcPr>
          <w:p w14:paraId="369CB57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nil"/>
              <w:left w:val="single" w:color="000000" w:sz="4" w:space="0"/>
              <w:bottom w:val="nil"/>
              <w:right w:val="single" w:color="000000" w:sz="4" w:space="0"/>
            </w:tcBorders>
            <w:shd w:val="clear" w:color="auto" w:fill="auto"/>
            <w:vAlign w:val="center"/>
          </w:tcPr>
          <w:p w14:paraId="09860D3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nil"/>
              <w:left w:val="single" w:color="000000" w:sz="4" w:space="0"/>
              <w:bottom w:val="nil"/>
              <w:right w:val="single" w:color="000000" w:sz="4" w:space="0"/>
            </w:tcBorders>
            <w:shd w:val="clear" w:color="auto" w:fill="auto"/>
            <w:vAlign w:val="center"/>
          </w:tcPr>
          <w:p w14:paraId="07E8828D">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nil"/>
              <w:right w:val="single" w:color="000000" w:sz="4" w:space="0"/>
            </w:tcBorders>
            <w:shd w:val="clear" w:color="auto" w:fill="auto"/>
            <w:vAlign w:val="center"/>
          </w:tcPr>
          <w:p w14:paraId="2D49374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②验收时应当邀请采购人员参与并出具意见。（2分）否则，不得分。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7F24218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E1C58A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5FE6F0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F1B6D87">
            <w:pPr>
              <w:jc w:val="center"/>
              <w:rPr>
                <w:rFonts w:hint="eastAsia" w:ascii="Times New Roman" w:hAnsi="Times New Roman" w:eastAsia="仿宋_GB2312" w:cs="仿宋_GB2312"/>
                <w:i w:val="0"/>
                <w:iCs w:val="0"/>
                <w:color w:val="000000"/>
                <w:sz w:val="18"/>
                <w:szCs w:val="18"/>
                <w:u w:val="none"/>
              </w:rPr>
            </w:pPr>
          </w:p>
        </w:tc>
      </w:tr>
      <w:tr w14:paraId="50F8A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4FFF53B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7B581A77">
            <w:pPr>
              <w:jc w:val="center"/>
              <w:rPr>
                <w:rFonts w:hint="eastAsia" w:ascii="Times New Roman" w:hAnsi="Times New Roman" w:eastAsia="仿宋_GB2312" w:cs="仿宋_GB2312"/>
                <w:i w:val="0"/>
                <w:iCs w:val="0"/>
                <w:color w:val="000000"/>
                <w:sz w:val="18"/>
                <w:szCs w:val="18"/>
                <w:u w:val="none"/>
              </w:rPr>
            </w:pPr>
          </w:p>
        </w:tc>
        <w:tc>
          <w:tcPr>
            <w:tcW w:w="524" w:type="pct"/>
            <w:gridSpan w:val="2"/>
            <w:vMerge w:val="continue"/>
            <w:tcBorders>
              <w:top w:val="nil"/>
              <w:left w:val="single" w:color="000000" w:sz="4" w:space="0"/>
              <w:bottom w:val="nil"/>
              <w:right w:val="single" w:color="000000" w:sz="4" w:space="0"/>
            </w:tcBorders>
            <w:shd w:val="clear" w:color="auto" w:fill="auto"/>
            <w:vAlign w:val="center"/>
          </w:tcPr>
          <w:p w14:paraId="53421EA6">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nil"/>
              <w:left w:val="single" w:color="000000" w:sz="4" w:space="0"/>
              <w:bottom w:val="nil"/>
              <w:right w:val="single" w:color="000000" w:sz="4" w:space="0"/>
            </w:tcBorders>
            <w:shd w:val="clear" w:color="auto" w:fill="auto"/>
            <w:vAlign w:val="center"/>
          </w:tcPr>
          <w:p w14:paraId="72C6EBA7">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nil"/>
              <w:left w:val="single" w:color="000000" w:sz="4" w:space="0"/>
              <w:bottom w:val="nil"/>
              <w:right w:val="single" w:color="000000" w:sz="4" w:space="0"/>
            </w:tcBorders>
            <w:shd w:val="clear" w:color="auto" w:fill="auto"/>
            <w:vAlign w:val="center"/>
          </w:tcPr>
          <w:p w14:paraId="3E094CC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nil"/>
              <w:left w:val="single" w:color="000000" w:sz="4" w:space="0"/>
              <w:bottom w:val="nil"/>
              <w:right w:val="single" w:color="000000" w:sz="4" w:space="0"/>
            </w:tcBorders>
            <w:shd w:val="clear" w:color="auto" w:fill="auto"/>
            <w:vAlign w:val="center"/>
          </w:tcPr>
          <w:p w14:paraId="4B232BE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nil"/>
              <w:left w:val="single" w:color="000000" w:sz="4" w:space="0"/>
              <w:bottom w:val="nil"/>
              <w:right w:val="single" w:color="000000" w:sz="4" w:space="0"/>
            </w:tcBorders>
            <w:shd w:val="clear" w:color="auto" w:fill="auto"/>
            <w:vAlign w:val="center"/>
          </w:tcPr>
          <w:p w14:paraId="22A092BB">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nil"/>
              <w:right w:val="single" w:color="000000" w:sz="4" w:space="0"/>
            </w:tcBorders>
            <w:shd w:val="clear" w:color="auto" w:fill="auto"/>
            <w:vAlign w:val="center"/>
          </w:tcPr>
          <w:p w14:paraId="49429B5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③验收结果应当向社会公告。（1分）否则，不得分。</w:t>
            </w:r>
          </w:p>
        </w:tc>
        <w:tc>
          <w:tcPr>
            <w:tcW w:w="871" w:type="pct"/>
            <w:vMerge w:val="continue"/>
            <w:tcBorders>
              <w:top w:val="single" w:color="000000" w:sz="4" w:space="0"/>
              <w:left w:val="single" w:color="000000" w:sz="4" w:space="0"/>
              <w:bottom w:val="nil"/>
              <w:right w:val="single" w:color="000000" w:sz="4" w:space="0"/>
            </w:tcBorders>
            <w:shd w:val="clear" w:color="auto" w:fill="auto"/>
            <w:vAlign w:val="center"/>
          </w:tcPr>
          <w:p w14:paraId="4CFEE0B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5B05AB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5ED0126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0C0F3E81">
            <w:pPr>
              <w:jc w:val="center"/>
              <w:rPr>
                <w:rFonts w:hint="eastAsia" w:ascii="Times New Roman" w:hAnsi="Times New Roman" w:eastAsia="仿宋_GB2312" w:cs="仿宋_GB2312"/>
                <w:i w:val="0"/>
                <w:iCs w:val="0"/>
                <w:color w:val="000000"/>
                <w:sz w:val="18"/>
                <w:szCs w:val="18"/>
                <w:u w:val="none"/>
              </w:rPr>
            </w:pPr>
          </w:p>
        </w:tc>
      </w:tr>
      <w:tr w14:paraId="015C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restart"/>
            <w:tcBorders>
              <w:top w:val="single" w:color="000000" w:sz="4" w:space="0"/>
              <w:left w:val="single" w:color="000000" w:sz="4" w:space="0"/>
              <w:bottom w:val="nil"/>
              <w:right w:val="single" w:color="000000" w:sz="4" w:space="0"/>
            </w:tcBorders>
            <w:shd w:val="clear" w:color="auto" w:fill="auto"/>
            <w:vAlign w:val="center"/>
          </w:tcPr>
          <w:p w14:paraId="0B71A1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产出（30）</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680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产出数量（10）</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6A8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实际完成率</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546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演出广告宣传场次</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D34E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项目实施的实际产出数与计划产出数的比率，用以反映和考核项目产出数量目标的实现程度</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2FE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&gt;=1场次</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E52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3784DD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2FCA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F06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经查阅与喀什市牧森图文广告部签订的《广告制作合同》《验收单》以及通过现场访谈，喀什市文化体育广播电视和旅游局进行1场演出广告宣传，该指标完成率达到100%。根据评分标准，该指标不扣分，得3分。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9ACBA">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3F8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DE4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5BF1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14D169BE">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4DE6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8F007">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ADE59">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FADBE">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E8B2">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366BB">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1FA8D13">
            <w:pPr>
              <w:jc w:val="center"/>
              <w:rPr>
                <w:rFonts w:hint="eastAsia" w:ascii="Times New Roman" w:hAnsi="Times New Roman" w:eastAsia="仿宋_GB2312" w:cs="仿宋_GB2312"/>
                <w:i w:val="0"/>
                <w:iCs w:val="0"/>
                <w:color w:val="000000"/>
                <w:sz w:val="18"/>
                <w:szCs w:val="18"/>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0BAA7">
            <w:pPr>
              <w:jc w:val="left"/>
              <w:rPr>
                <w:rFonts w:hint="eastAsia" w:ascii="Times New Roman" w:hAnsi="Times New Roman" w:eastAsia="仿宋_GB2312" w:cs="仿宋_GB2312"/>
                <w:i w:val="0"/>
                <w:iCs w:val="0"/>
                <w:color w:val="000000"/>
                <w:sz w:val="18"/>
                <w:szCs w:val="18"/>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4107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828D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0D32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A592B">
            <w:pPr>
              <w:jc w:val="center"/>
              <w:rPr>
                <w:rFonts w:hint="eastAsia" w:ascii="Times New Roman" w:hAnsi="Times New Roman" w:eastAsia="仿宋_GB2312" w:cs="仿宋_GB2312"/>
                <w:i w:val="0"/>
                <w:iCs w:val="0"/>
                <w:color w:val="000000"/>
                <w:sz w:val="18"/>
                <w:szCs w:val="18"/>
                <w:u w:val="none"/>
              </w:rPr>
            </w:pPr>
          </w:p>
        </w:tc>
      </w:tr>
      <w:tr w14:paraId="2167F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26C80448">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61C1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D8A5B">
            <w:pPr>
              <w:jc w:val="center"/>
              <w:rPr>
                <w:rFonts w:hint="eastAsia" w:ascii="Times New Roman" w:hAnsi="Times New Roman" w:eastAsia="仿宋_GB2312" w:cs="仿宋_GB2312"/>
                <w:i w:val="0"/>
                <w:iCs w:val="0"/>
                <w:color w:val="000000"/>
                <w:sz w:val="18"/>
                <w:szCs w:val="18"/>
                <w:u w:val="none"/>
              </w:rPr>
            </w:pPr>
          </w:p>
        </w:tc>
        <w:tc>
          <w:tcPr>
            <w:tcW w:w="262" w:type="pct"/>
            <w:tcBorders>
              <w:top w:val="nil"/>
              <w:left w:val="single" w:color="000000" w:sz="4" w:space="0"/>
              <w:bottom w:val="nil"/>
              <w:right w:val="single" w:color="000000" w:sz="4" w:space="0"/>
            </w:tcBorders>
            <w:shd w:val="clear" w:color="auto" w:fill="auto"/>
            <w:vAlign w:val="center"/>
          </w:tcPr>
          <w:p w14:paraId="166F02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租赁灯光设备数量</w:t>
            </w: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9F5D2">
            <w:pPr>
              <w:jc w:val="left"/>
              <w:rPr>
                <w:rFonts w:hint="eastAsia" w:ascii="Times New Roman" w:hAnsi="Times New Roman" w:eastAsia="仿宋_GB2312" w:cs="仿宋_GB2312"/>
                <w:i w:val="0"/>
                <w:iCs w:val="0"/>
                <w:color w:val="000000"/>
                <w:sz w:val="18"/>
                <w:szCs w:val="18"/>
                <w:u w:val="none"/>
              </w:rPr>
            </w:pPr>
          </w:p>
        </w:tc>
        <w:tc>
          <w:tcPr>
            <w:tcW w:w="262" w:type="pct"/>
            <w:tcBorders>
              <w:top w:val="nil"/>
              <w:left w:val="single" w:color="000000" w:sz="4" w:space="0"/>
              <w:bottom w:val="nil"/>
              <w:right w:val="single" w:color="000000" w:sz="4" w:space="0"/>
            </w:tcBorders>
            <w:shd w:val="clear" w:color="auto" w:fill="auto"/>
            <w:vAlign w:val="center"/>
          </w:tcPr>
          <w:p w14:paraId="0D3EBB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&gt;=2批次</w:t>
            </w:r>
          </w:p>
        </w:tc>
        <w:tc>
          <w:tcPr>
            <w:tcW w:w="262" w:type="pct"/>
            <w:tcBorders>
              <w:top w:val="nil"/>
              <w:left w:val="single" w:color="000000" w:sz="4" w:space="0"/>
              <w:bottom w:val="nil"/>
              <w:right w:val="single" w:color="000000" w:sz="4" w:space="0"/>
            </w:tcBorders>
            <w:shd w:val="clear" w:color="auto" w:fill="auto"/>
            <w:vAlign w:val="center"/>
          </w:tcPr>
          <w:p w14:paraId="241F5E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BEF9295">
            <w:pPr>
              <w:jc w:val="center"/>
              <w:rPr>
                <w:rFonts w:hint="eastAsia" w:ascii="Times New Roman" w:hAnsi="Times New Roman" w:eastAsia="仿宋_GB2312" w:cs="仿宋_GB2312"/>
                <w:i w:val="0"/>
                <w:iCs w:val="0"/>
                <w:color w:val="000000"/>
                <w:sz w:val="18"/>
                <w:szCs w:val="18"/>
                <w:u w:val="none"/>
              </w:rPr>
            </w:pPr>
          </w:p>
        </w:tc>
        <w:tc>
          <w:tcPr>
            <w:tcW w:w="683" w:type="pct"/>
            <w:tcBorders>
              <w:top w:val="nil"/>
              <w:left w:val="single" w:color="000000" w:sz="4" w:space="0"/>
              <w:bottom w:val="nil"/>
              <w:right w:val="single" w:color="000000" w:sz="4" w:space="0"/>
            </w:tcBorders>
            <w:shd w:val="clear" w:color="auto" w:fill="auto"/>
            <w:vAlign w:val="center"/>
          </w:tcPr>
          <w:p w14:paraId="1FD584A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8D0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与新疆风行文化传播有限公司签订的《新疆是个好地方演出设备租赁合同》《验收单》、与新疆蕴洋文旅投资有限公司签订的《新疆是个好地方演出设备租赁合同》《验收单》以及通过现场访谈，喀什市文化体育广播电视和旅游局租赁灯光设备数量为2批次，该指标完成率达到100%。根据评分标准，该指标不扣分，得3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C078">
            <w:pP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93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B1C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72743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0C85DDBD">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84089">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0B20A">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781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演出租赁设备数量</w:t>
            </w: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D85E3">
            <w:pPr>
              <w:jc w:val="left"/>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832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&gt;=1批次</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3AB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BF5CC41">
            <w:pPr>
              <w:jc w:val="center"/>
              <w:rPr>
                <w:rFonts w:hint="eastAsia" w:ascii="Times New Roman" w:hAnsi="Times New Roman" w:eastAsia="仿宋_GB2312" w:cs="仿宋_GB2312"/>
                <w:i w:val="0"/>
                <w:iCs w:val="0"/>
                <w:color w:val="000000"/>
                <w:sz w:val="18"/>
                <w:szCs w:val="18"/>
                <w:u w:val="none"/>
              </w:rPr>
            </w:pPr>
          </w:p>
        </w:tc>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D34E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CE6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经查阅与新疆丝路兄弟文化发展有限公司签订的《新疆是个好地方演出设备租赁合同》《验收单》以及通过现场访谈，喀什市文化体育广播电视和旅游局演出租赁设备数量为</w:t>
            </w:r>
            <w:r>
              <w:rPr>
                <w:rFonts w:hint="eastAsia" w:ascii="Times New Roman" w:hAnsi="Times New Roman" w:cs="仿宋_GB2312"/>
                <w:i w:val="0"/>
                <w:iCs w:val="0"/>
                <w:color w:val="000000"/>
                <w:kern w:val="0"/>
                <w:sz w:val="18"/>
                <w:szCs w:val="18"/>
                <w:u w:val="none"/>
                <w:lang w:val="en-US" w:eastAsia="zh-CN" w:bidi="ar"/>
              </w:rPr>
              <w:t>4</w:t>
            </w:r>
            <w:r>
              <w:rPr>
                <w:rFonts w:hint="eastAsia" w:ascii="Times New Roman" w:hAnsi="Times New Roman" w:eastAsia="仿宋_GB2312" w:cs="仿宋_GB2312"/>
                <w:i w:val="0"/>
                <w:iCs w:val="0"/>
                <w:color w:val="000000"/>
                <w:kern w:val="0"/>
                <w:sz w:val="18"/>
                <w:szCs w:val="18"/>
                <w:u w:val="none"/>
                <w:lang w:val="en-US" w:eastAsia="zh-CN" w:bidi="ar"/>
              </w:rPr>
              <w:t>批次，该指标完成率达到100%。根据评分标准，该指标不扣分，得4分。</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82336">
            <w:pPr>
              <w:jc w:val="center"/>
              <w:rPr>
                <w:rFonts w:hint="eastAsia" w:ascii="Times New Roman" w:hAnsi="Times New Roman" w:eastAsia="仿宋_GB2312" w:cs="仿宋_GB2312"/>
                <w:i w:val="0"/>
                <w:iCs w:val="0"/>
                <w:color w:val="000000"/>
                <w:sz w:val="18"/>
                <w:szCs w:val="18"/>
                <w:u w:val="none"/>
              </w:rPr>
            </w:pP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82F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4</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FBD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0F49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4D7938B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9EA5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FE9E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00E2A">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7AAF0">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52306">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90F78">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BE988DC">
            <w:pPr>
              <w:jc w:val="center"/>
              <w:rPr>
                <w:rFonts w:hint="eastAsia" w:ascii="Times New Roman" w:hAnsi="Times New Roman" w:eastAsia="仿宋_GB2312" w:cs="仿宋_GB2312"/>
                <w:i w:val="0"/>
                <w:iCs w:val="0"/>
                <w:color w:val="000000"/>
                <w:sz w:val="18"/>
                <w:szCs w:val="18"/>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9ED43">
            <w:pPr>
              <w:jc w:val="left"/>
              <w:rPr>
                <w:rFonts w:hint="eastAsia" w:ascii="Times New Roman" w:hAnsi="Times New Roman" w:eastAsia="仿宋_GB2312" w:cs="仿宋_GB2312"/>
                <w:i w:val="0"/>
                <w:iCs w:val="0"/>
                <w:color w:val="000000"/>
                <w:sz w:val="18"/>
                <w:szCs w:val="18"/>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972D0">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B3613">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8BE0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75D81">
            <w:pPr>
              <w:jc w:val="center"/>
              <w:rPr>
                <w:rFonts w:hint="eastAsia" w:ascii="Times New Roman" w:hAnsi="Times New Roman" w:eastAsia="仿宋_GB2312" w:cs="仿宋_GB2312"/>
                <w:i w:val="0"/>
                <w:iCs w:val="0"/>
                <w:color w:val="000000"/>
                <w:sz w:val="18"/>
                <w:szCs w:val="18"/>
                <w:u w:val="none"/>
              </w:rPr>
            </w:pPr>
          </w:p>
        </w:tc>
      </w:tr>
      <w:tr w14:paraId="529A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96BB264">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D6BC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A293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3753F">
            <w:pPr>
              <w:jc w:val="center"/>
              <w:rPr>
                <w:rFonts w:hint="eastAsia" w:ascii="Times New Roman" w:hAnsi="Times New Roman" w:eastAsia="仿宋_GB2312" w:cs="仿宋_GB2312"/>
                <w:i w:val="0"/>
                <w:iCs w:val="0"/>
                <w:color w:val="000000"/>
                <w:sz w:val="18"/>
                <w:szCs w:val="18"/>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6EE7A">
            <w:pPr>
              <w:jc w:val="left"/>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BAAE">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69A1D">
            <w:pPr>
              <w:jc w:val="center"/>
              <w:rPr>
                <w:rFonts w:hint="eastAsia" w:ascii="Times New Roman" w:hAnsi="Times New Roman" w:eastAsia="仿宋_GB2312" w:cs="仿宋_GB2312"/>
                <w:i w:val="0"/>
                <w:iCs w:val="0"/>
                <w:color w:val="000000"/>
                <w:sz w:val="18"/>
                <w:szCs w:val="18"/>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28F5E91C">
            <w:pPr>
              <w:jc w:val="center"/>
              <w:rPr>
                <w:rFonts w:hint="eastAsia" w:ascii="Times New Roman" w:hAnsi="Times New Roman" w:eastAsia="仿宋_GB2312" w:cs="仿宋_GB2312"/>
                <w:i w:val="0"/>
                <w:iCs w:val="0"/>
                <w:color w:val="000000"/>
                <w:sz w:val="18"/>
                <w:szCs w:val="18"/>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5DC72">
            <w:pPr>
              <w:jc w:val="left"/>
              <w:rPr>
                <w:rFonts w:hint="eastAsia" w:ascii="Times New Roman" w:hAnsi="Times New Roman" w:eastAsia="仿宋_GB2312" w:cs="仿宋_GB2312"/>
                <w:i w:val="0"/>
                <w:iCs w:val="0"/>
                <w:color w:val="000000"/>
                <w:sz w:val="18"/>
                <w:szCs w:val="18"/>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F483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5C491">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1785B">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D19AA">
            <w:pPr>
              <w:jc w:val="center"/>
              <w:rPr>
                <w:rFonts w:hint="eastAsia" w:ascii="Times New Roman" w:hAnsi="Times New Roman" w:eastAsia="仿宋_GB2312" w:cs="仿宋_GB2312"/>
                <w:i w:val="0"/>
                <w:iCs w:val="0"/>
                <w:color w:val="000000"/>
                <w:sz w:val="18"/>
                <w:szCs w:val="18"/>
                <w:u w:val="none"/>
              </w:rPr>
            </w:pPr>
          </w:p>
        </w:tc>
      </w:tr>
      <w:tr w14:paraId="249A2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000ECB0A">
            <w:pPr>
              <w:jc w:val="center"/>
              <w:rPr>
                <w:rFonts w:hint="eastAsia" w:ascii="Times New Roman" w:hAnsi="Times New Roman" w:eastAsia="仿宋_GB2312" w:cs="仿宋_GB2312"/>
                <w:i w:val="0"/>
                <w:iCs w:val="0"/>
                <w:color w:val="000000"/>
                <w:sz w:val="18"/>
                <w:szCs w:val="18"/>
                <w:u w:val="none"/>
              </w:rPr>
            </w:pP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AC47E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产出质量（5分）</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2628D5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质量达标率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632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设备验收合格率</w:t>
            </w:r>
          </w:p>
        </w:tc>
        <w:tc>
          <w:tcPr>
            <w:tcW w:w="518" w:type="pct"/>
            <w:tcBorders>
              <w:top w:val="single" w:color="000000" w:sz="4" w:space="0"/>
              <w:left w:val="single" w:color="000000" w:sz="4" w:space="0"/>
              <w:bottom w:val="nil"/>
              <w:right w:val="single" w:color="000000" w:sz="4" w:space="0"/>
            </w:tcBorders>
            <w:shd w:val="clear" w:color="auto" w:fill="auto"/>
            <w:vAlign w:val="center"/>
          </w:tcPr>
          <w:p w14:paraId="6CE1AE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项目完成的质量达标产出数与实际产出数的比率，用以反映和考核项目产出质量目标的实现程度。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800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6F7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3F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实际完成值达到预期得满分，不足预期不得分。若因不可抗力导致无法完成的，酌情扣分。</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AFA8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指标实际完成率=100%，得100%权重分，否则，不得分。</w:t>
            </w:r>
          </w:p>
        </w:tc>
        <w:tc>
          <w:tcPr>
            <w:tcW w:w="871" w:type="pct"/>
            <w:tcBorders>
              <w:top w:val="single" w:color="000000" w:sz="4" w:space="0"/>
              <w:left w:val="single" w:color="000000" w:sz="4" w:space="0"/>
              <w:bottom w:val="nil"/>
              <w:right w:val="single" w:color="000000" w:sz="4" w:space="0"/>
            </w:tcBorders>
            <w:shd w:val="clear" w:color="auto" w:fill="auto"/>
            <w:vAlign w:val="center"/>
          </w:tcPr>
          <w:p w14:paraId="33A863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与新疆风行文化传播有限公司签订的《新疆是个好地方演出设备租赁合同》《验收单》、与新疆蕴洋文旅投资有限公司签订的《新疆是个好地方演出设备租赁合同》《验收单》、与新疆丝路兄弟文化发展有限公司签订的《新疆是个好地方演出设备租赁合同》《验收单》，均已通过验收，设备验收合格率</w:t>
            </w:r>
            <w:r>
              <w:rPr>
                <w:rFonts w:hint="eastAsia" w:ascii="Times New Roman" w:hAnsi="Times New Roman" w:cs="仿宋_GB2312"/>
                <w:i w:val="0"/>
                <w:iCs w:val="0"/>
                <w:color w:val="000000"/>
                <w:kern w:val="0"/>
                <w:sz w:val="18"/>
                <w:szCs w:val="18"/>
                <w:u w:val="none"/>
                <w:lang w:val="en-US" w:eastAsia="zh-CN" w:bidi="ar"/>
              </w:rPr>
              <w:t>为</w:t>
            </w:r>
            <w:r>
              <w:rPr>
                <w:rFonts w:hint="eastAsia" w:ascii="Times New Roman" w:hAnsi="Times New Roman" w:eastAsia="仿宋_GB2312" w:cs="仿宋_GB2312"/>
                <w:i w:val="0"/>
                <w:iCs w:val="0"/>
                <w:color w:val="000000"/>
                <w:kern w:val="0"/>
                <w:sz w:val="18"/>
                <w:szCs w:val="18"/>
                <w:u w:val="none"/>
                <w:lang w:val="en-US" w:eastAsia="zh-CN" w:bidi="ar"/>
              </w:rPr>
              <w:t>100%，根据评分标准，该指标不扣分，得5分。</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56C237F6">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nil"/>
              <w:right w:val="single" w:color="000000" w:sz="4" w:space="0"/>
            </w:tcBorders>
            <w:shd w:val="clear" w:color="auto" w:fill="auto"/>
            <w:vAlign w:val="center"/>
          </w:tcPr>
          <w:p w14:paraId="6F94E2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612708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07656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0BB94EDB">
            <w:pPr>
              <w:jc w:val="center"/>
              <w:rPr>
                <w:rFonts w:hint="eastAsia" w:ascii="Times New Roman" w:hAnsi="Times New Roman" w:eastAsia="仿宋_GB2312" w:cs="仿宋_GB2312"/>
                <w:i w:val="0"/>
                <w:iCs w:val="0"/>
                <w:color w:val="000000"/>
                <w:sz w:val="18"/>
                <w:szCs w:val="18"/>
                <w:u w:val="none"/>
              </w:rPr>
            </w:pPr>
          </w:p>
        </w:tc>
        <w:tc>
          <w:tcPr>
            <w:tcW w:w="372" w:type="pct"/>
            <w:tcBorders>
              <w:top w:val="single" w:color="000000" w:sz="4" w:space="0"/>
              <w:left w:val="single" w:color="000000" w:sz="4" w:space="0"/>
              <w:bottom w:val="nil"/>
              <w:right w:val="single" w:color="000000" w:sz="4" w:space="0"/>
            </w:tcBorders>
            <w:shd w:val="clear" w:color="auto" w:fill="auto"/>
            <w:vAlign w:val="center"/>
          </w:tcPr>
          <w:p w14:paraId="164ECD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产出时效（5分）</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213D55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完成及时性</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E4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设备租赁及时率</w:t>
            </w:r>
          </w:p>
        </w:tc>
        <w:tc>
          <w:tcPr>
            <w:tcW w:w="518" w:type="pct"/>
            <w:tcBorders>
              <w:top w:val="single" w:color="000000" w:sz="4" w:space="0"/>
              <w:left w:val="single" w:color="000000" w:sz="4" w:space="0"/>
              <w:bottom w:val="nil"/>
              <w:right w:val="single" w:color="000000" w:sz="4" w:space="0"/>
            </w:tcBorders>
            <w:shd w:val="clear" w:color="auto" w:fill="auto"/>
            <w:vAlign w:val="center"/>
          </w:tcPr>
          <w:p w14:paraId="5DEE13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项目实际完成时间与计划完成时间的比较，用以反映和考核项目产出时效目标的实现程度。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31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0F8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63C2CD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FC65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AC1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与新疆风行文化传播有限公司签订的《新疆是个好地方演出设备租赁合同》《验收单》、与新疆蕴洋文旅投资有限公司签订的《新疆是个好地方演出设备租赁合同》《验收单》、与新疆丝路兄弟文化发展有限公司签订的《新疆是个好地方演出设备租赁合同》《验收单》，均已及时租赁，设备租赁及时率等于100%，根据评分标准，该指标不扣分，得5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0F3E">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7D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611287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0FA7E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79B5EF9F">
            <w:pPr>
              <w:jc w:val="center"/>
              <w:rPr>
                <w:rFonts w:hint="eastAsia" w:ascii="Times New Roman" w:hAnsi="Times New Roman" w:eastAsia="仿宋_GB2312" w:cs="仿宋_GB2312"/>
                <w:i w:val="0"/>
                <w:iCs w:val="0"/>
                <w:color w:val="000000"/>
                <w:sz w:val="18"/>
                <w:szCs w:val="18"/>
                <w:u w:val="none"/>
              </w:rPr>
            </w:pPr>
          </w:p>
        </w:tc>
        <w:tc>
          <w:tcPr>
            <w:tcW w:w="372" w:type="pct"/>
            <w:vMerge w:val="restart"/>
            <w:tcBorders>
              <w:top w:val="single" w:color="000000" w:sz="4" w:space="0"/>
              <w:left w:val="single" w:color="000000" w:sz="4" w:space="0"/>
              <w:bottom w:val="nil"/>
              <w:right w:val="single" w:color="000000" w:sz="4" w:space="0"/>
            </w:tcBorders>
            <w:shd w:val="clear" w:color="auto" w:fill="auto"/>
            <w:vAlign w:val="center"/>
          </w:tcPr>
          <w:p w14:paraId="381F1E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产出成本（10）</w:t>
            </w:r>
          </w:p>
        </w:tc>
        <w:tc>
          <w:tcPr>
            <w:tcW w:w="262" w:type="pct"/>
            <w:vMerge w:val="restart"/>
            <w:tcBorders>
              <w:top w:val="single" w:color="000000" w:sz="4" w:space="0"/>
              <w:left w:val="single" w:color="000000" w:sz="4" w:space="0"/>
              <w:bottom w:val="nil"/>
              <w:right w:val="single" w:color="000000" w:sz="4" w:space="0"/>
            </w:tcBorders>
            <w:shd w:val="clear" w:color="auto" w:fill="auto"/>
            <w:vAlign w:val="center"/>
          </w:tcPr>
          <w:p w14:paraId="4A8020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成本节约率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D4E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演出切割灯租赁费支出</w:t>
            </w:r>
          </w:p>
        </w:tc>
        <w:tc>
          <w:tcPr>
            <w:tcW w:w="518" w:type="pct"/>
            <w:vMerge w:val="restart"/>
            <w:tcBorders>
              <w:top w:val="single" w:color="000000" w:sz="4" w:space="0"/>
              <w:left w:val="single" w:color="000000" w:sz="4" w:space="0"/>
              <w:bottom w:val="nil"/>
              <w:right w:val="single" w:color="000000" w:sz="4" w:space="0"/>
            </w:tcBorders>
            <w:shd w:val="clear" w:color="auto" w:fill="auto"/>
            <w:vAlign w:val="center"/>
          </w:tcPr>
          <w:p w14:paraId="2FD16B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完成项目计划工作目标的实际节约成本与计划成本的比率，用以反映和考核项目的成本节约程度。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FA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&lt;=0.77万元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D88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215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实际完成值达到预期得满分，不足预期按照完成比例×该指标权重分值计算。若因不可抗力导致无法完成的，酌情扣分。</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6F5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A72E">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电子发票（普通发票）”、与新疆蕴洋文旅投资有限公司签订的《新疆是个好地方演出设备租赁合同》《验收单》演出切割灯租赁费为0.77万元，已全部支付完毕，指标完成率为100%，根据评分标准，该指标不扣分，得1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2A60">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BEA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1C71B6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291F3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66CA274E">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73FA977D">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2F7AB553">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FD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演出摇头灯租赁费支出</w:t>
            </w: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07AF86E1">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2E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&lt;=20.57万元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A7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BB02D">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E799">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6E10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电子发票（普通发票）”、与新疆风行文化传播有限公司签订的《新疆是个好地方演出设备租赁合同》《验收单》演出摇头灯租赁费为20.57万元，已全部支付完毕，指标完成率为100%，根据评分标准，该指标不扣分，得3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A27F">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744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3248EB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0C1CA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30C1506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4A047EB4">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EB37C5E">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DBA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演出设备租赁费支出</w:t>
            </w: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5134B4AE">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90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&lt;=24.99万元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68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8BC1">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1BFA">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0CE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电子发票（普通发票）”、与新疆丝路兄弟文化发展有限公司签订的《新疆是个好地方演出设备租赁合同》《验收单》演出设备租赁费为24.99万元，已全部支付完毕，指标完成率为100%，根据评分标准，该指标不扣分，得3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A586">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1D7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3</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231368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4430E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606C2BA8">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53CB7CE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784988F3">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01F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演出送餐保障</w:t>
            </w:r>
            <w:r>
              <w:rPr>
                <w:rFonts w:hint="eastAsia" w:ascii="Times New Roman" w:hAnsi="Times New Roman" w:cs="仿宋_GB2312"/>
                <w:i w:val="0"/>
                <w:iCs w:val="0"/>
                <w:color w:val="000000"/>
                <w:kern w:val="0"/>
                <w:sz w:val="18"/>
                <w:szCs w:val="18"/>
                <w:u w:val="none"/>
                <w:lang w:val="en-US" w:eastAsia="zh-CN" w:bidi="ar"/>
              </w:rPr>
              <w:t>资金</w:t>
            </w:r>
            <w:r>
              <w:rPr>
                <w:rFonts w:hint="eastAsia" w:ascii="Times New Roman" w:hAnsi="Times New Roman" w:eastAsia="仿宋_GB2312" w:cs="仿宋_GB2312"/>
                <w:i w:val="0"/>
                <w:iCs w:val="0"/>
                <w:color w:val="000000"/>
                <w:kern w:val="0"/>
                <w:sz w:val="18"/>
                <w:szCs w:val="18"/>
                <w:u w:val="none"/>
                <w:lang w:val="en-US" w:eastAsia="zh-CN" w:bidi="ar"/>
              </w:rPr>
              <w:t>支出</w:t>
            </w: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337DE421">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A3E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&lt;=0.58万元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CF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44D0">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67A7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623CC">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与喀什市罗豆花川菜馆签订的《送餐合同》《“新疆是个好地方”剧团送餐记录表》演出送餐保障费用为0.58万元，已全部支付完毕，指标完成率为100%，根据评分标准，该指标不扣分，得1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7A179">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6A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51388A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2EE2B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0" w:hRule="atLeast"/>
        </w:trPr>
        <w:tc>
          <w:tcPr>
            <w:tcW w:w="284" w:type="pct"/>
            <w:vMerge w:val="continue"/>
            <w:tcBorders>
              <w:top w:val="single" w:color="000000" w:sz="4" w:space="0"/>
              <w:left w:val="single" w:color="000000" w:sz="4" w:space="0"/>
              <w:bottom w:val="nil"/>
              <w:right w:val="single" w:color="000000" w:sz="4" w:space="0"/>
            </w:tcBorders>
            <w:shd w:val="clear" w:color="auto" w:fill="auto"/>
            <w:vAlign w:val="center"/>
          </w:tcPr>
          <w:p w14:paraId="61E5D0DC">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43E582FC">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nil"/>
              <w:right w:val="single" w:color="000000" w:sz="4" w:space="0"/>
            </w:tcBorders>
            <w:shd w:val="clear" w:color="auto" w:fill="auto"/>
            <w:vAlign w:val="center"/>
          </w:tcPr>
          <w:p w14:paraId="6E5BC412">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BA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演出广告宣传资料费支出</w:t>
            </w:r>
          </w:p>
        </w:tc>
        <w:tc>
          <w:tcPr>
            <w:tcW w:w="518" w:type="pct"/>
            <w:vMerge w:val="continue"/>
            <w:tcBorders>
              <w:top w:val="single" w:color="000000" w:sz="4" w:space="0"/>
              <w:left w:val="single" w:color="000000" w:sz="4" w:space="0"/>
              <w:bottom w:val="nil"/>
              <w:right w:val="single" w:color="000000" w:sz="4" w:space="0"/>
            </w:tcBorders>
            <w:shd w:val="clear" w:color="auto" w:fill="auto"/>
            <w:vAlign w:val="center"/>
          </w:tcPr>
          <w:p w14:paraId="1AF7F3D8">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86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&lt;=2.49万元</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1A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E94DF">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4BABD">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①100%≤指标实际完成率≤120%的，得全部权重分值；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②60%&lt;指标实际完成率&lt;100%的，得分=（实际完成率-60%）/（1-60%）×权重分值；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③指标实际完成率&gt;120%的，得0分；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C8E1">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经查阅“国库集中支付凭证”“记账凭证”、</w:t>
            </w:r>
            <w:r>
              <w:rPr>
                <w:rFonts w:hint="eastAsia" w:ascii="Times New Roman" w:hAnsi="Times New Roman" w:cs="仿宋_GB2312"/>
                <w:i w:val="0"/>
                <w:iCs w:val="0"/>
                <w:color w:val="000000"/>
                <w:kern w:val="0"/>
                <w:sz w:val="18"/>
                <w:szCs w:val="18"/>
                <w:u w:val="none"/>
                <w:lang w:val="en-US" w:eastAsia="zh-CN" w:bidi="ar"/>
              </w:rPr>
              <w:t>与</w:t>
            </w:r>
            <w:r>
              <w:rPr>
                <w:rFonts w:hint="eastAsia" w:ascii="Times New Roman" w:hAnsi="Times New Roman" w:eastAsia="仿宋_GB2312" w:cs="仿宋_GB2312"/>
                <w:i w:val="0"/>
                <w:iCs w:val="0"/>
                <w:color w:val="000000"/>
                <w:kern w:val="0"/>
                <w:sz w:val="18"/>
                <w:szCs w:val="18"/>
                <w:u w:val="none"/>
                <w:lang w:val="en-US" w:eastAsia="zh-CN" w:bidi="ar"/>
              </w:rPr>
              <w:t>喀什市牧森图文广告部签订的《广告制作合同》《验收单》演出广告宣传资料费用为2.49万元，已全部支付完毕，指标完成率为100%，根据评分标准，该指标不扣分，得2分。</w:t>
            </w: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8A89">
            <w:pP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875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2</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1044E6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3C86B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1CE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效益（15）</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82C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项目效益（15）</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D40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实施效益</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77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提升演出质量和效果</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EFB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项目实施所产生的社会效益</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11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提升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189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F2B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财政部《关于印发〈中央部门项目支出核心绩效目标和指标设置及取值指引（试行）〉的通知》中“主要适用于情况说明类的定性指标。分为基本达成目标、部分实现目标、实现目标程度较低三个档次，并分别按照该指标对应分值区间100%—80%（含）、80%—60%（含）、60%—0%合理确定分值”</w:t>
            </w:r>
          </w:p>
        </w:tc>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B75E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分别按照该指标对应分值区间100%—80%（含）（10分）、80%—60%（含）（8分）、60%—0%（0分）合理确定分值”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C5C67">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文化体育广播电视和旅游局2025年度工作总结》及“2025年新疆是个好地方演出保障项目满意度调查问卷汇总表”调查问卷第1题：“提升演出质量和效果如何？”得出结论在提升演出质量和效果方面完成率为99.66%。借助切割灯、效果烟机、空云大雾机等设备，将舞台光影层次与氛围营造提升至专业级水准，实现色彩还原真实、动态响应精准、特效切换流畅。根据评分标准，该指标不扣分，得5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DFA9E">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C93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2E48AB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21D0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F45CA">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1867F">
            <w:pPr>
              <w:jc w:val="center"/>
              <w:rPr>
                <w:rFonts w:hint="eastAsia" w:ascii="Times New Roman" w:hAnsi="Times New Roman" w:eastAsia="仿宋_GB2312" w:cs="仿宋_GB2312"/>
                <w:i w:val="0"/>
                <w:iCs w:val="0"/>
                <w:color w:val="000000"/>
                <w:sz w:val="18"/>
                <w:szCs w:val="18"/>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FF3B">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77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满足日常演出需求</w:t>
            </w: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A5EC9">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B4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满足</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B28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D92A6">
            <w:pPr>
              <w:jc w:val="center"/>
              <w:rPr>
                <w:rFonts w:hint="eastAsia" w:ascii="Times New Roman" w:hAnsi="Times New Roman" w:eastAsia="仿宋_GB2312" w:cs="仿宋_GB2312"/>
                <w:i w:val="0"/>
                <w:iCs w:val="0"/>
                <w:color w:val="000000"/>
                <w:sz w:val="18"/>
                <w:szCs w:val="18"/>
                <w:u w:val="none"/>
              </w:rPr>
            </w:pPr>
          </w:p>
        </w:tc>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67D25">
            <w:pPr>
              <w:jc w:val="left"/>
              <w:rPr>
                <w:rFonts w:hint="eastAsia" w:ascii="Times New Roman" w:hAnsi="Times New Roman" w:eastAsia="仿宋_GB2312" w:cs="仿宋_GB2312"/>
                <w:i w:val="0"/>
                <w:iCs w:val="0"/>
                <w:color w:val="000000"/>
                <w:sz w:val="18"/>
                <w:szCs w:val="18"/>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BA73B">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根据《喀什市文化体育广播电视和旅游局2025年度工作总结》及“2025年新疆是个好地方演出保障项目满意度调查问卷汇总表”调查问卷第2题：“是否满足演出需求？”得出结论在满足日常需求方面完成率为99.66%。设备选型兼顾多场景适用性，满足高频次、长时间段日常排练需求。根据评分标准，该指标不扣分，得5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9E236">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136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23C78F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727D7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8C109">
            <w:pPr>
              <w:jc w:val="center"/>
              <w:rPr>
                <w:rFonts w:hint="eastAsia" w:ascii="Times New Roman" w:hAnsi="Times New Roman" w:eastAsia="仿宋_GB2312" w:cs="仿宋_GB2312"/>
                <w:i w:val="0"/>
                <w:iCs w:val="0"/>
                <w:color w:val="000000"/>
                <w:sz w:val="18"/>
                <w:szCs w:val="18"/>
                <w:u w:val="none"/>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D811D">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nil"/>
              <w:right w:val="single" w:color="000000" w:sz="4" w:space="0"/>
            </w:tcBorders>
            <w:shd w:val="clear" w:color="auto" w:fill="auto"/>
            <w:vAlign w:val="center"/>
          </w:tcPr>
          <w:p w14:paraId="4BD049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满意度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925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演出人员满意度</w:t>
            </w:r>
          </w:p>
        </w:tc>
        <w:tc>
          <w:tcPr>
            <w:tcW w:w="518" w:type="pct"/>
            <w:tcBorders>
              <w:top w:val="single" w:color="000000" w:sz="4" w:space="0"/>
              <w:left w:val="single" w:color="000000" w:sz="4" w:space="0"/>
              <w:bottom w:val="nil"/>
              <w:right w:val="single" w:color="000000" w:sz="4" w:space="0"/>
            </w:tcBorders>
            <w:shd w:val="clear" w:color="auto" w:fill="auto"/>
            <w:vAlign w:val="center"/>
          </w:tcPr>
          <w:p w14:paraId="6610FA0F">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社会公众或服务对象对项目实施效果的满意程度。</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27D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≥95%</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993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404815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满意度=∑样本数（“满意”×1+“基本满意”×0.8+“不满意”×0）/总样本数×100%，关于满意度调查共设置6个问题，本项目总体满意度的计算公式=∑6个问题的满意度/6，满意度超过95%得满分，不足95%的该指标得分=满意度*该指标权重分值。满意度60%以下，不得分。</w:t>
            </w:r>
          </w:p>
        </w:tc>
        <w:tc>
          <w:tcPr>
            <w:tcW w:w="683" w:type="pct"/>
            <w:tcBorders>
              <w:top w:val="single" w:color="000000" w:sz="4" w:space="0"/>
              <w:left w:val="single" w:color="000000" w:sz="4" w:space="0"/>
              <w:bottom w:val="nil"/>
              <w:right w:val="single" w:color="000000" w:sz="4" w:space="0"/>
            </w:tcBorders>
            <w:shd w:val="clear" w:color="auto" w:fill="auto"/>
            <w:vAlign w:val="center"/>
          </w:tcPr>
          <w:p w14:paraId="7ADB5722">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①指标实际完成率≥95%的，得全部权重分值；</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②80%≤指标实际完成率&lt;95%的，得分=权重分值×80%；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③60%&lt;指标实际完成率&lt;80%的，得分=权重分值×50%；</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④指标实际完成率≤60%的，得0分。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E953">
            <w:pPr>
              <w:keepNext w:val="0"/>
              <w:keepLines w:val="0"/>
              <w:widowControl/>
              <w:suppressLineNumbers w:val="0"/>
              <w:jc w:val="left"/>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演出人员满意度”指标，实际完成值为100%。根据单位提供的“2025年新疆是个好地方演出保障项目满意度调查问卷汇总表”，演出人员对2025年新疆是个好地方演出保障项目满意度=（178*1+0*0）/178*100%=100%，超过95%，该指标得5分。</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说明：本报告中“演出人员满意度”（绩效目标三级指标）与“综合满意度”（整体效益参考指标）为两个不同口径：演出人员满意度仅针对第6题单一问题计算，公式为（178×1）/178×100%=100%；综合满意度为6个问题满意度的算术平均值，计算得99.82%。</w:t>
            </w:r>
            <w:r>
              <w:rPr>
                <w:rFonts w:hint="eastAsia" w:ascii="Times New Roman" w:hAnsi="Times New Roman" w:eastAsia="仿宋_GB2312" w:cs="仿宋_GB2312"/>
                <w:i w:val="0"/>
                <w:iCs w:val="0"/>
                <w:color w:val="000000"/>
                <w:kern w:val="0"/>
                <w:sz w:val="18"/>
                <w:szCs w:val="18"/>
                <w:u w:val="none"/>
                <w:lang w:val="en-US" w:eastAsia="zh-CN" w:bidi="ar"/>
              </w:rPr>
              <w:br w:type="textWrapping"/>
            </w:r>
            <w:r>
              <w:rPr>
                <w:rFonts w:hint="eastAsia" w:ascii="Times New Roman" w:hAnsi="Times New Roman" w:eastAsia="仿宋_GB2312" w:cs="仿宋_GB2312"/>
                <w:i w:val="0"/>
                <w:iCs w:val="0"/>
                <w:color w:val="000000"/>
                <w:kern w:val="0"/>
                <w:sz w:val="18"/>
                <w:szCs w:val="18"/>
                <w:u w:val="none"/>
                <w:lang w:val="en-US" w:eastAsia="zh-CN" w:bidi="ar"/>
              </w:rPr>
              <w:t>综上，满意度指标得分5分。</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E2801">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D15AC">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5</w:t>
            </w:r>
          </w:p>
        </w:tc>
        <w:tc>
          <w:tcPr>
            <w:tcW w:w="262" w:type="pct"/>
            <w:tcBorders>
              <w:top w:val="single" w:color="000000" w:sz="4" w:space="0"/>
              <w:left w:val="single" w:color="000000" w:sz="4" w:space="0"/>
              <w:bottom w:val="nil"/>
              <w:right w:val="single" w:color="000000" w:sz="4" w:space="0"/>
            </w:tcBorders>
            <w:shd w:val="clear" w:color="auto" w:fill="auto"/>
            <w:vAlign w:val="center"/>
          </w:tcPr>
          <w:p w14:paraId="4FB23A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100.00%</w:t>
            </w:r>
          </w:p>
        </w:tc>
      </w:tr>
      <w:tr w14:paraId="354DC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EC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总分</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492D">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4B94">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B35A">
            <w:pPr>
              <w:jc w:val="center"/>
              <w:rPr>
                <w:rFonts w:hint="eastAsia" w:ascii="Times New Roman" w:hAnsi="Times New Roman" w:eastAsia="仿宋_GB2312" w:cs="仿宋_GB2312"/>
                <w:i w:val="0"/>
                <w:iCs w:val="0"/>
                <w:color w:val="000000"/>
                <w:sz w:val="18"/>
                <w:szCs w:val="18"/>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D447">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B0186">
            <w:pPr>
              <w:jc w:val="center"/>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BAB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100</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F277E">
            <w:pPr>
              <w:jc w:val="center"/>
              <w:rPr>
                <w:rFonts w:hint="eastAsia" w:ascii="Times New Roman" w:hAnsi="Times New Roman" w:eastAsia="仿宋_GB2312" w:cs="仿宋_GB2312"/>
                <w:i w:val="0"/>
                <w:iCs w:val="0"/>
                <w:color w:val="000000"/>
                <w:sz w:val="18"/>
                <w:szCs w:val="18"/>
                <w:u w:val="none"/>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69DE">
            <w:pPr>
              <w:jc w:val="left"/>
              <w:rPr>
                <w:rFonts w:hint="eastAsia" w:ascii="Times New Roman" w:hAnsi="Times New Roman" w:eastAsia="仿宋_GB2312" w:cs="仿宋_GB2312"/>
                <w:i w:val="0"/>
                <w:iCs w:val="0"/>
                <w:color w:val="000000"/>
                <w:sz w:val="18"/>
                <w:szCs w:val="18"/>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DB11">
            <w:pPr>
              <w:jc w:val="left"/>
              <w:rPr>
                <w:rFonts w:hint="eastAsia" w:ascii="Times New Roman" w:hAnsi="Times New Roman" w:eastAsia="仿宋_GB2312" w:cs="仿宋_GB2312"/>
                <w:i w:val="0"/>
                <w:iCs w:val="0"/>
                <w:color w:val="000000"/>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550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8</w:t>
            </w: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DD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92</w:t>
            </w:r>
          </w:p>
        </w:tc>
        <w:tc>
          <w:tcPr>
            <w:tcW w:w="2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E9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lang w:val="en-US" w:eastAsia="zh-CN" w:bidi="ar"/>
              </w:rPr>
              <w:t>92.00%</w:t>
            </w:r>
          </w:p>
        </w:tc>
      </w:tr>
    </w:tbl>
    <w:p w14:paraId="0A5FEE6B">
      <w:pPr>
        <w:pStyle w:val="37"/>
        <w:keepNext/>
        <w:keepLines/>
        <w:widowControl w:val="0"/>
        <w:ind w:left="0"/>
        <w:rPr>
          <w:rFonts w:ascii="Times New Roman" w:hAnsi="Times New Roman" w:eastAsia="宋体" w:cs="宋体"/>
        </w:rPr>
        <w:sectPr>
          <w:pgSz w:w="16838" w:h="11906" w:orient="landscape"/>
          <w:pgMar w:top="1531" w:right="1984" w:bottom="1531" w:left="1701" w:header="851" w:footer="992" w:gutter="0"/>
          <w:cols w:space="0" w:num="1"/>
          <w:docGrid w:type="lines" w:linePitch="408" w:charSpace="0"/>
        </w:sectPr>
      </w:pPr>
    </w:p>
    <w:bookmarkEnd w:id="793"/>
    <w:bookmarkEnd w:id="794"/>
    <w:bookmarkEnd w:id="795"/>
    <w:bookmarkEnd w:id="796"/>
    <w:bookmarkEnd w:id="797"/>
    <w:bookmarkEnd w:id="798"/>
    <w:bookmarkEnd w:id="799"/>
    <w:bookmarkEnd w:id="800"/>
    <w:p w14:paraId="118309EE">
      <w:pPr>
        <w:pStyle w:val="37"/>
        <w:spacing w:before="0" w:after="0"/>
        <w:ind w:left="0"/>
        <w:jc w:val="both"/>
        <w:rPr>
          <w:rFonts w:hint="default" w:ascii="Times New Roman" w:hAnsi="Times New Roman" w:eastAsia="仿宋_GB2312" w:cs="Times New Roman"/>
        </w:rPr>
      </w:pPr>
      <w:bookmarkStart w:id="801" w:name="_Toc8447"/>
      <w:bookmarkStart w:id="802" w:name="_Toc161"/>
      <w:bookmarkStart w:id="803" w:name="_Toc6259"/>
      <w:bookmarkStart w:id="804" w:name="_Toc7282"/>
      <w:r>
        <w:rPr>
          <w:rFonts w:hint="default" w:ascii="Times New Roman" w:hAnsi="Times New Roman" w:eastAsia="仿宋_GB2312" w:cs="Times New Roman"/>
        </w:rPr>
        <w:t>附件2：</w:t>
      </w:r>
      <w:r>
        <w:rPr>
          <w:rFonts w:hint="default" w:ascii="Times New Roman" w:hAnsi="Times New Roman" w:eastAsia="仿宋_GB2312" w:cs="Times New Roman"/>
          <w:lang w:val="zh-CN"/>
        </w:rPr>
        <w:t>满意度结果分析</w:t>
      </w:r>
      <w:bookmarkEnd w:id="801"/>
    </w:p>
    <w:p w14:paraId="04C58265">
      <w:pPr>
        <w:pStyle w:val="36"/>
        <w:ind w:firstLine="643"/>
        <w:jc w:val="center"/>
        <w:rPr>
          <w:rFonts w:hint="eastAsia" w:ascii="Times New Roman" w:hAnsi="Times New Roman" w:eastAsia="黑体" w:cs="黑体"/>
          <w:b w:val="0"/>
          <w:bCs w:val="0"/>
        </w:rPr>
      </w:pPr>
      <w:bookmarkStart w:id="805" w:name="_Toc5680"/>
      <w:bookmarkStart w:id="806" w:name="_Toc17816"/>
      <w:bookmarkStart w:id="807" w:name="_Toc5689"/>
      <w:bookmarkStart w:id="808" w:name="_Toc9066"/>
      <w:bookmarkStart w:id="809" w:name="_Toc2912"/>
      <w:r>
        <w:rPr>
          <w:rFonts w:hint="eastAsia" w:ascii="Times New Roman" w:hAnsi="Times New Roman" w:eastAsia="黑体" w:cs="黑体"/>
          <w:b w:val="0"/>
          <w:bCs w:val="0"/>
          <w:lang w:val="en-US" w:eastAsia="zh-CN"/>
        </w:rPr>
        <w:t>2025年新疆是个好地方演出保障项目</w:t>
      </w:r>
      <w:r>
        <w:rPr>
          <w:rFonts w:hint="eastAsia" w:ascii="Times New Roman" w:hAnsi="Times New Roman" w:eastAsia="黑体" w:cs="黑体"/>
          <w:b w:val="0"/>
          <w:bCs w:val="0"/>
        </w:rPr>
        <w:t>调查结果分析</w:t>
      </w:r>
      <w:bookmarkEnd w:id="805"/>
      <w:bookmarkEnd w:id="806"/>
      <w:bookmarkEnd w:id="807"/>
      <w:bookmarkEnd w:id="808"/>
      <w:bookmarkEnd w:id="809"/>
    </w:p>
    <w:p w14:paraId="3EEE5226">
      <w:pPr>
        <w:pStyle w:val="36"/>
        <w:ind w:firstLine="643"/>
        <w:jc w:val="both"/>
        <w:outlineLvl w:val="9"/>
        <w:rPr>
          <w:rFonts w:hint="eastAsia" w:ascii="Times New Roman" w:hAnsi="Times New Roman" w:eastAsia="楷体" w:cs="楷体"/>
          <w:b/>
          <w:bCs/>
        </w:rPr>
      </w:pPr>
      <w:bookmarkStart w:id="810" w:name="_Toc9850"/>
      <w:bookmarkStart w:id="811" w:name="_Toc16538"/>
      <w:bookmarkStart w:id="812" w:name="_Toc16898"/>
      <w:r>
        <w:rPr>
          <w:rFonts w:hint="eastAsia" w:ascii="Times New Roman" w:hAnsi="Times New Roman" w:eastAsia="楷体" w:cs="楷体"/>
          <w:b/>
          <w:bCs/>
        </w:rPr>
        <w:t>一、调研设计</w:t>
      </w:r>
      <w:bookmarkEnd w:id="810"/>
      <w:bookmarkEnd w:id="811"/>
      <w:bookmarkEnd w:id="812"/>
    </w:p>
    <w:p w14:paraId="0852FE14">
      <w:pPr>
        <w:pStyle w:val="36"/>
        <w:ind w:firstLine="643"/>
        <w:jc w:val="both"/>
        <w:outlineLvl w:val="9"/>
        <w:rPr>
          <w:rFonts w:hint="eastAsia" w:ascii="Times New Roman" w:hAnsi="Times New Roman" w:eastAsia="仿宋_GB2312" w:cs="仿宋_GB2312"/>
          <w:b/>
          <w:bCs/>
        </w:rPr>
      </w:pPr>
      <w:bookmarkStart w:id="813" w:name="_Toc19368"/>
      <w:bookmarkStart w:id="814" w:name="_Toc5842"/>
      <w:bookmarkStart w:id="815" w:name="_Toc24233"/>
      <w:r>
        <w:rPr>
          <w:rFonts w:hint="eastAsia" w:ascii="Times New Roman" w:hAnsi="Times New Roman" w:eastAsia="仿宋_GB2312" w:cs="仿宋_GB2312"/>
          <w:b/>
          <w:bCs/>
        </w:rPr>
        <w:t>（一）调研对象</w:t>
      </w:r>
      <w:bookmarkEnd w:id="813"/>
      <w:bookmarkEnd w:id="814"/>
      <w:bookmarkEnd w:id="815"/>
    </w:p>
    <w:p w14:paraId="5917F5E0">
      <w:pPr>
        <w:pStyle w:val="53"/>
        <w:spacing w:line="560" w:lineRule="exact"/>
        <w:ind w:firstLine="640"/>
        <w:jc w:val="left"/>
        <w:rPr>
          <w:rFonts w:hint="eastAsia" w:ascii="Times New Roman" w:hAnsi="Times New Roman" w:eastAsia="宋体" w:cs="宋体"/>
          <w:sz w:val="32"/>
          <w:szCs w:val="32"/>
        </w:rPr>
      </w:pPr>
      <w:r>
        <w:rPr>
          <w:rFonts w:hint="eastAsia" w:ascii="Times New Roman" w:hAnsi="Times New Roman" w:eastAsia="宋体" w:cs="宋体"/>
          <w:sz w:val="32"/>
          <w:szCs w:val="32"/>
        </w:rPr>
        <w:t>本次问卷调查的对象</w:t>
      </w:r>
      <w:r>
        <w:rPr>
          <w:rFonts w:hint="eastAsia" w:ascii="Times New Roman" w:hAnsi="Times New Roman" w:eastAsia="宋体" w:cs="宋体"/>
          <w:sz w:val="32"/>
          <w:szCs w:val="32"/>
          <w:lang w:val="en-US" w:eastAsia="zh-CN"/>
        </w:rPr>
        <w:t>新疆是个好地方演出人员</w:t>
      </w:r>
      <w:r>
        <w:rPr>
          <w:rFonts w:hint="eastAsia" w:ascii="Times New Roman" w:hAnsi="Times New Roman" w:eastAsia="宋体" w:cs="宋体"/>
          <w:sz w:val="32"/>
          <w:szCs w:val="32"/>
        </w:rPr>
        <w:t>。</w:t>
      </w:r>
    </w:p>
    <w:p w14:paraId="52B6169D">
      <w:pPr>
        <w:pStyle w:val="36"/>
        <w:ind w:firstLine="643"/>
        <w:jc w:val="both"/>
        <w:outlineLvl w:val="9"/>
        <w:rPr>
          <w:rFonts w:hint="eastAsia" w:ascii="Times New Roman" w:hAnsi="Times New Roman" w:eastAsia="仿宋_GB2312" w:cs="仿宋_GB2312"/>
          <w:b/>
          <w:bCs/>
        </w:rPr>
      </w:pPr>
      <w:bookmarkStart w:id="816" w:name="_Toc11013"/>
      <w:bookmarkStart w:id="817" w:name="_Toc22140"/>
      <w:bookmarkStart w:id="818" w:name="_Toc27177"/>
      <w:r>
        <w:rPr>
          <w:rFonts w:hint="eastAsia" w:ascii="Times New Roman" w:hAnsi="Times New Roman" w:eastAsia="仿宋_GB2312" w:cs="仿宋_GB2312"/>
          <w:b/>
          <w:bCs/>
        </w:rPr>
        <w:t>（二）调研方式</w:t>
      </w:r>
      <w:bookmarkEnd w:id="816"/>
      <w:bookmarkEnd w:id="817"/>
      <w:bookmarkEnd w:id="818"/>
    </w:p>
    <w:p w14:paraId="43839AE0">
      <w:pPr>
        <w:spacing w:line="560" w:lineRule="exact"/>
        <w:ind w:firstLine="640" w:firstLineChars="200"/>
        <w:rPr>
          <w:rFonts w:hint="eastAsia" w:ascii="Times New Roman" w:hAnsi="Times New Roman" w:eastAsia="宋体" w:cs="宋体"/>
          <w:sz w:val="32"/>
          <w:szCs w:val="32"/>
          <w:lang w:val="zh-CN"/>
        </w:rPr>
      </w:pPr>
      <w:r>
        <w:rPr>
          <w:rFonts w:hint="eastAsia" w:ascii="Times New Roman" w:hAnsi="Times New Roman" w:eastAsia="宋体" w:cs="宋体"/>
          <w:sz w:val="32"/>
          <w:szCs w:val="32"/>
          <w:lang w:val="zh-CN"/>
        </w:rPr>
        <w:t>本次计划采取简单随机抽样的方式，对</w:t>
      </w:r>
      <w:r>
        <w:rPr>
          <w:rFonts w:hint="eastAsia" w:ascii="Times New Roman" w:hAnsi="Times New Roman" w:eastAsia="宋体" w:cs="宋体"/>
          <w:sz w:val="32"/>
          <w:szCs w:val="32"/>
          <w:lang w:val="en-US" w:eastAsia="zh-CN"/>
        </w:rPr>
        <w:t>演出人员</w:t>
      </w:r>
      <w:r>
        <w:rPr>
          <w:rFonts w:hint="eastAsia" w:ascii="Times New Roman" w:hAnsi="Times New Roman" w:eastAsia="宋体" w:cs="宋体"/>
          <w:sz w:val="32"/>
          <w:szCs w:val="32"/>
          <w:lang w:val="zh-CN"/>
        </w:rPr>
        <w:t>进行问卷调查；在</w:t>
      </w:r>
      <w:r>
        <w:rPr>
          <w:rFonts w:hint="eastAsia" w:ascii="Times New Roman" w:hAnsi="Times New Roman" w:eastAsia="宋体" w:cs="宋体"/>
          <w:sz w:val="32"/>
          <w:szCs w:val="32"/>
          <w:lang w:val="en-US" w:eastAsia="zh-CN"/>
        </w:rPr>
        <w:t>喀什市文化体育广播电视和旅游局</w:t>
      </w:r>
      <w:r>
        <w:rPr>
          <w:rFonts w:hint="eastAsia" w:ascii="Times New Roman" w:hAnsi="Times New Roman" w:eastAsia="宋体" w:cs="宋体"/>
          <w:sz w:val="32"/>
          <w:szCs w:val="32"/>
          <w:lang w:val="zh-CN"/>
        </w:rPr>
        <w:t>的协调下，组织安排了问卷调研工作。本次问卷调查采取线下发放问卷调查表的方式，回收有效问卷共计</w:t>
      </w:r>
      <w:r>
        <w:rPr>
          <w:rFonts w:hint="eastAsia" w:ascii="Times New Roman" w:hAnsi="Times New Roman" w:eastAsia="宋体" w:cs="宋体"/>
          <w:sz w:val="32"/>
          <w:szCs w:val="32"/>
          <w:lang w:val="en-US" w:eastAsia="zh-CN"/>
        </w:rPr>
        <w:t>178</w:t>
      </w:r>
      <w:r>
        <w:rPr>
          <w:rFonts w:hint="eastAsia" w:ascii="Times New Roman" w:hAnsi="Times New Roman" w:eastAsia="宋体" w:cs="宋体"/>
          <w:sz w:val="32"/>
          <w:szCs w:val="32"/>
          <w:lang w:val="zh-CN"/>
        </w:rPr>
        <w:t>份。</w:t>
      </w:r>
    </w:p>
    <w:p w14:paraId="7EC154CD">
      <w:pPr>
        <w:pStyle w:val="36"/>
        <w:ind w:firstLine="643"/>
        <w:jc w:val="both"/>
        <w:outlineLvl w:val="9"/>
        <w:rPr>
          <w:rFonts w:hint="eastAsia" w:ascii="Times New Roman" w:hAnsi="Times New Roman" w:eastAsia="楷体" w:cs="楷体"/>
          <w:b/>
          <w:bCs/>
        </w:rPr>
      </w:pPr>
      <w:bookmarkStart w:id="819" w:name="_Toc4699"/>
      <w:bookmarkStart w:id="820" w:name="_Toc5894"/>
      <w:bookmarkStart w:id="821" w:name="_Toc19579"/>
      <w:r>
        <w:rPr>
          <w:rFonts w:hint="eastAsia" w:ascii="Times New Roman" w:hAnsi="Times New Roman" w:eastAsia="楷体" w:cs="楷体"/>
          <w:b/>
          <w:bCs/>
        </w:rPr>
        <w:t>二、满意度计算模型</w:t>
      </w:r>
      <w:bookmarkEnd w:id="819"/>
      <w:bookmarkEnd w:id="820"/>
      <w:bookmarkEnd w:id="821"/>
    </w:p>
    <w:p w14:paraId="0F43F0D4">
      <w:pPr>
        <w:spacing w:line="560" w:lineRule="exact"/>
        <w:ind w:firstLine="640" w:firstLineChars="200"/>
        <w:rPr>
          <w:rFonts w:hint="eastAsia" w:ascii="Times New Roman" w:hAnsi="Times New Roman" w:eastAsia="宋体" w:cs="宋体"/>
          <w:sz w:val="32"/>
          <w:szCs w:val="32"/>
          <w:lang w:val="zh-CN"/>
        </w:rPr>
      </w:pPr>
      <w:r>
        <w:rPr>
          <w:rFonts w:hint="eastAsia" w:ascii="Times New Roman" w:hAnsi="Times New Roman" w:eastAsia="宋体" w:cs="宋体"/>
          <w:sz w:val="32"/>
          <w:szCs w:val="32"/>
          <w:lang w:val="zh-CN"/>
        </w:rPr>
        <w:t>满意度=∑样本数（“非常满意”×1+“比较满意”×0.9+满意×0.6+“不满意”×0）/总样本数×100%。</w:t>
      </w:r>
    </w:p>
    <w:p w14:paraId="037C08B6">
      <w:pPr>
        <w:pStyle w:val="36"/>
        <w:ind w:firstLine="643"/>
        <w:jc w:val="both"/>
        <w:outlineLvl w:val="9"/>
        <w:rPr>
          <w:rFonts w:hint="eastAsia" w:ascii="Times New Roman" w:hAnsi="Times New Roman" w:eastAsia="楷体" w:cs="楷体"/>
          <w:b/>
          <w:bCs/>
        </w:rPr>
      </w:pPr>
      <w:bookmarkStart w:id="822" w:name="_Toc10074"/>
      <w:bookmarkStart w:id="823" w:name="_Toc23412"/>
      <w:bookmarkStart w:id="824" w:name="_Toc4025"/>
      <w:r>
        <w:rPr>
          <w:rFonts w:hint="eastAsia" w:ascii="Times New Roman" w:hAnsi="Times New Roman" w:eastAsia="楷体" w:cs="楷体"/>
          <w:b/>
          <w:bCs/>
        </w:rPr>
        <w:t>三、调查结果分析</w:t>
      </w:r>
      <w:bookmarkEnd w:id="822"/>
      <w:bookmarkEnd w:id="823"/>
      <w:bookmarkEnd w:id="824"/>
    </w:p>
    <w:p w14:paraId="210F6C38">
      <w:pPr>
        <w:pStyle w:val="37"/>
        <w:spacing w:before="0" w:after="0" w:line="240" w:lineRule="auto"/>
        <w:ind w:left="0"/>
        <w:jc w:val="both"/>
        <w:outlineLvl w:val="9"/>
        <w:rPr>
          <w:rFonts w:ascii="Times New Roman" w:hAnsi="Times New Roman"/>
        </w:rPr>
      </w:pPr>
      <w:r>
        <w:rPr>
          <w:rFonts w:hint="eastAsia" w:ascii="Times New Roman" w:hAnsi="Times New Roman" w:eastAsia="仿宋_GB2312" w:cs="Times New Roman"/>
          <w:lang w:eastAsia="zh-CN"/>
        </w:rPr>
        <w:drawing>
          <wp:anchor distT="0" distB="0" distL="114300" distR="114300" simplePos="0" relativeHeight="251663360" behindDoc="1" locked="0" layoutInCell="1" allowOverlap="1">
            <wp:simplePos x="0" y="0"/>
            <wp:positionH relativeFrom="column">
              <wp:posOffset>508000</wp:posOffset>
            </wp:positionH>
            <wp:positionV relativeFrom="paragraph">
              <wp:posOffset>93345</wp:posOffset>
            </wp:positionV>
            <wp:extent cx="5324475" cy="3374390"/>
            <wp:effectExtent l="0" t="0" r="0" b="8890"/>
            <wp:wrapTight wrapText="bothSides">
              <wp:wrapPolygon>
                <wp:start x="0" y="0"/>
                <wp:lineTo x="0" y="21462"/>
                <wp:lineTo x="21515" y="21462"/>
                <wp:lineTo x="21515" y="0"/>
                <wp:lineTo x="0" y="0"/>
              </wp:wrapPolygon>
            </wp:wrapTight>
            <wp:docPr id="2" name="图片 2" descr="满意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满意度"/>
                    <pic:cNvPicPr>
                      <a:picLocks noChangeAspect="1"/>
                    </pic:cNvPicPr>
                  </pic:nvPicPr>
                  <pic:blipFill>
                    <a:blip r:embed="rId9"/>
                    <a:stretch>
                      <a:fillRect/>
                    </a:stretch>
                  </pic:blipFill>
                  <pic:spPr>
                    <a:xfrm>
                      <a:off x="0" y="0"/>
                      <a:ext cx="5324475" cy="3374390"/>
                    </a:xfrm>
                    <a:prstGeom prst="rect">
                      <a:avLst/>
                    </a:prstGeom>
                  </pic:spPr>
                </pic:pic>
              </a:graphicData>
            </a:graphic>
          </wp:anchor>
        </w:drawing>
      </w:r>
    </w:p>
    <w:p w14:paraId="3B7489E0">
      <w:pPr>
        <w:pStyle w:val="37"/>
        <w:spacing w:before="0" w:after="0" w:line="240" w:lineRule="auto"/>
        <w:ind w:left="0"/>
        <w:jc w:val="both"/>
        <w:outlineLvl w:val="9"/>
        <w:rPr>
          <w:rFonts w:hint="eastAsia" w:ascii="Times New Roman" w:hAnsi="Times New Roman" w:eastAsia="仿宋_GB2312" w:cs="仿宋_GB2312"/>
          <w:lang w:eastAsia="zh-CN"/>
        </w:rPr>
      </w:pPr>
    </w:p>
    <w:p w14:paraId="0407B305">
      <w:pPr>
        <w:rPr>
          <w:rFonts w:hint="eastAsia" w:ascii="Times New Roman" w:hAnsi="Times New Roman" w:eastAsia="仿宋_GB2312" w:cs="Times New Roman"/>
          <w:lang w:eastAsia="zh-CN"/>
        </w:rPr>
      </w:pPr>
      <w:r>
        <w:rPr>
          <w:rFonts w:hint="default" w:ascii="Times New Roman" w:hAnsi="Times New Roman" w:eastAsia="仿宋_GB2312" w:cs="Times New Roman"/>
        </w:rPr>
        <w:br w:type="page"/>
      </w:r>
    </w:p>
    <w:p w14:paraId="10595104">
      <w:pPr>
        <w:pStyle w:val="37"/>
        <w:spacing w:before="0" w:after="0"/>
        <w:ind w:left="0"/>
        <w:jc w:val="both"/>
        <w:rPr>
          <w:rFonts w:ascii="Times New Roman" w:hAnsi="Times New Roman" w:eastAsia="仿宋_GB2312" w:cs="仿宋_GB2312"/>
        </w:rPr>
      </w:pPr>
      <w:bookmarkStart w:id="825" w:name="_Toc21818"/>
      <w:r>
        <w:rPr>
          <w:rFonts w:hint="default" w:ascii="Times New Roman" w:hAnsi="Times New Roman" w:eastAsia="仿宋_GB2312" w:cs="Times New Roman"/>
        </w:rPr>
        <w:t>附件3：基础信息采集表</w:t>
      </w:r>
      <w:bookmarkEnd w:id="825"/>
    </w:p>
    <w:p w14:paraId="42360DC0">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drawing>
          <wp:anchor distT="0" distB="0" distL="114300" distR="114300" simplePos="0" relativeHeight="251661312" behindDoc="0" locked="0" layoutInCell="1" allowOverlap="1">
            <wp:simplePos x="0" y="0"/>
            <wp:positionH relativeFrom="column">
              <wp:posOffset>-48895</wp:posOffset>
            </wp:positionH>
            <wp:positionV relativeFrom="paragraph">
              <wp:posOffset>177800</wp:posOffset>
            </wp:positionV>
            <wp:extent cx="5608320" cy="7185660"/>
            <wp:effectExtent l="0" t="0" r="0" b="7620"/>
            <wp:wrapSquare wrapText="bothSides"/>
            <wp:docPr id="27" name="图片 27" descr="C:/Users/llj19971120/Desktop/新建文件夹/2025年新疆是个好地方项目/基础.jpg基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llj19971120/Desktop/新建文件夹/2025年新疆是个好地方项目/基础.jpg基础"/>
                    <pic:cNvPicPr>
                      <a:picLocks noChangeAspect="1"/>
                    </pic:cNvPicPr>
                  </pic:nvPicPr>
                  <pic:blipFill>
                    <a:blip r:embed="rId10"/>
                    <a:srcRect t="4699" b="4699"/>
                    <a:stretch>
                      <a:fillRect/>
                    </a:stretch>
                  </pic:blipFill>
                  <pic:spPr>
                    <a:xfrm>
                      <a:off x="0" y="0"/>
                      <a:ext cx="5608320" cy="7185660"/>
                    </a:xfrm>
                    <a:prstGeom prst="rect">
                      <a:avLst/>
                    </a:prstGeom>
                  </pic:spPr>
                </pic:pic>
              </a:graphicData>
            </a:graphic>
          </wp:anchor>
        </w:drawing>
      </w:r>
      <w:r>
        <w:rPr>
          <w:rFonts w:hint="default" w:ascii="Times New Roman" w:hAnsi="Times New Roman" w:eastAsia="仿宋_GB2312" w:cs="Times New Roman"/>
        </w:rPr>
        <w:br w:type="page"/>
      </w:r>
    </w:p>
    <w:p w14:paraId="2801EDE8">
      <w:pPr>
        <w:pStyle w:val="37"/>
        <w:spacing w:before="0" w:after="0"/>
        <w:ind w:left="0"/>
        <w:jc w:val="both"/>
        <w:rPr>
          <w:rFonts w:hint="default" w:ascii="Times New Roman" w:hAnsi="Times New Roman" w:eastAsia="仿宋_GB2312" w:cs="Times New Roman"/>
        </w:rPr>
      </w:pPr>
      <w:bookmarkStart w:id="826" w:name="_Toc15353"/>
      <w:r>
        <w:rPr>
          <w:rFonts w:hint="default" w:ascii="Times New Roman" w:hAnsi="Times New Roman" w:eastAsia="仿宋_GB2312" w:cs="Times New Roman"/>
        </w:rPr>
        <w:t>附件4：</w:t>
      </w:r>
      <w:bookmarkEnd w:id="802"/>
      <w:bookmarkStart w:id="827" w:name="_Toc26752"/>
      <w:r>
        <w:rPr>
          <w:rFonts w:hint="default" w:ascii="Times New Roman" w:hAnsi="Times New Roman" w:eastAsia="仿宋_GB2312" w:cs="Times New Roman"/>
        </w:rPr>
        <w:t>访谈记录</w:t>
      </w:r>
      <w:bookmarkEnd w:id="803"/>
      <w:bookmarkEnd w:id="804"/>
      <w:bookmarkEnd w:id="826"/>
      <w:bookmarkEnd w:id="827"/>
    </w:p>
    <w:p w14:paraId="0118DBF9">
      <w:pPr>
        <w:rPr>
          <w:rFonts w:hint="default" w:ascii="Times New Roman" w:hAnsi="Times New Roman" w:eastAsia="仿宋_GB2312" w:cs="Times New Roman"/>
        </w:rPr>
        <w:sectPr>
          <w:pgSz w:w="11906" w:h="16838"/>
          <w:pgMar w:top="1985" w:right="1531" w:bottom="1701" w:left="1531" w:header="851" w:footer="992" w:gutter="0"/>
          <w:cols w:space="0" w:num="1"/>
          <w:docGrid w:type="linesAndChars" w:linePitch="408" w:charSpace="0"/>
        </w:sectPr>
      </w:pPr>
      <w:bookmarkStart w:id="828" w:name="_Toc140231651"/>
      <w:bookmarkStart w:id="829" w:name="_Toc19633"/>
      <w:bookmarkStart w:id="830" w:name="_Toc4818"/>
      <w:bookmarkStart w:id="831" w:name="_Toc25824"/>
      <w:r>
        <w:rPr>
          <w:rFonts w:hint="eastAsia" w:ascii="Times New Roman" w:hAnsi="Times New Roman" w:eastAsia="方正仿宋_GBK"/>
        </w:rPr>
        <w:drawing>
          <wp:inline distT="0" distB="0" distL="114300" distR="114300">
            <wp:extent cx="5485765" cy="7400290"/>
            <wp:effectExtent l="0" t="0" r="635" b="6350"/>
            <wp:docPr id="6" name="图片 6" descr="C:/Users/llj19971120/Desktop/新建文件夹/2025年新疆是个好地方项目/访谈记录.jpg访谈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lj19971120/Desktop/新建文件夹/2025年新疆是个好地方项目/访谈记录.jpg访谈记录"/>
                    <pic:cNvPicPr>
                      <a:picLocks noChangeAspect="1"/>
                    </pic:cNvPicPr>
                  </pic:nvPicPr>
                  <pic:blipFill>
                    <a:blip r:embed="rId11"/>
                    <a:srcRect l="547" r="547"/>
                    <a:stretch>
                      <a:fillRect/>
                    </a:stretch>
                  </pic:blipFill>
                  <pic:spPr>
                    <a:xfrm>
                      <a:off x="0" y="0"/>
                      <a:ext cx="5485765" cy="7400290"/>
                    </a:xfrm>
                    <a:prstGeom prst="rect">
                      <a:avLst/>
                    </a:prstGeom>
                  </pic:spPr>
                </pic:pic>
              </a:graphicData>
            </a:graphic>
          </wp:inline>
        </w:drawing>
      </w:r>
    </w:p>
    <w:p w14:paraId="66395199">
      <w:pPr>
        <w:rPr>
          <w:rFonts w:hint="default" w:ascii="Times New Roman" w:hAnsi="Times New Roman" w:eastAsia="仿宋_GB2312" w:cs="Times New Roman"/>
        </w:rPr>
      </w:pPr>
    </w:p>
    <w:p w14:paraId="042B9637">
      <w:pPr>
        <w:pStyle w:val="37"/>
        <w:spacing w:before="0" w:after="0"/>
        <w:ind w:left="0"/>
        <w:jc w:val="both"/>
        <w:rPr>
          <w:rFonts w:hint="default" w:ascii="Times New Roman" w:hAnsi="Times New Roman" w:eastAsia="仿宋_GB2312" w:cs="Times New Roman"/>
        </w:rPr>
      </w:pPr>
      <w:bookmarkStart w:id="832" w:name="_Toc23811"/>
      <w:r>
        <w:rPr>
          <w:rFonts w:hint="default" w:ascii="Times New Roman" w:hAnsi="Times New Roman" w:eastAsia="仿宋_GB2312" w:cs="Times New Roman"/>
        </w:rPr>
        <w:t>附件5：</w:t>
      </w:r>
      <w:bookmarkEnd w:id="828"/>
      <w:bookmarkEnd w:id="829"/>
      <w:bookmarkEnd w:id="830"/>
      <w:bookmarkEnd w:id="831"/>
      <w:r>
        <w:rPr>
          <w:rFonts w:hint="eastAsia" w:ascii="Times New Roman" w:hAnsi="Times New Roman" w:eastAsia="仿宋_GB2312" w:cs="Times New Roman"/>
        </w:rPr>
        <w:t>实地勘察记录</w:t>
      </w:r>
      <w:bookmarkEnd w:id="832"/>
    </w:p>
    <w:p w14:paraId="6CF8D163">
      <w:pPr>
        <w:pStyle w:val="37"/>
        <w:spacing w:before="0" w:after="0" w:line="240" w:lineRule="auto"/>
        <w:ind w:left="0"/>
        <w:jc w:val="both"/>
        <w:outlineLvl w:val="9"/>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drawing>
          <wp:anchor distT="0" distB="0" distL="114300" distR="114300" simplePos="0" relativeHeight="251662336" behindDoc="0" locked="0" layoutInCell="1" allowOverlap="1">
            <wp:simplePos x="0" y="0"/>
            <wp:positionH relativeFrom="column">
              <wp:posOffset>8255</wp:posOffset>
            </wp:positionH>
            <wp:positionV relativeFrom="paragraph">
              <wp:posOffset>281940</wp:posOffset>
            </wp:positionV>
            <wp:extent cx="5314950" cy="7383780"/>
            <wp:effectExtent l="0" t="0" r="3810" b="7620"/>
            <wp:wrapTopAndBottom/>
            <wp:docPr id="29" name="图片 29" descr="C:/Users/llj19971120/Desktop/新建文件夹/2025年新疆是个好地方项目/实地.jpg实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llj19971120/Desktop/新建文件夹/2025年新疆是个好地方项目/实地.jpg实地"/>
                    <pic:cNvPicPr>
                      <a:picLocks noChangeAspect="1"/>
                    </pic:cNvPicPr>
                  </pic:nvPicPr>
                  <pic:blipFill>
                    <a:blip r:embed="rId12"/>
                    <a:srcRect t="908" b="908"/>
                    <a:stretch>
                      <a:fillRect/>
                    </a:stretch>
                  </pic:blipFill>
                  <pic:spPr>
                    <a:xfrm>
                      <a:off x="0" y="0"/>
                      <a:ext cx="5314950" cy="7383780"/>
                    </a:xfrm>
                    <a:prstGeom prst="rect">
                      <a:avLst/>
                    </a:prstGeom>
                  </pic:spPr>
                </pic:pic>
              </a:graphicData>
            </a:graphic>
          </wp:anchor>
        </w:drawing>
      </w:r>
    </w:p>
    <w:p w14:paraId="58D413A6">
      <w:pPr>
        <w:spacing w:line="20" w:lineRule="exact"/>
        <w:rPr>
          <w:rFonts w:ascii="Times New Roman" w:hAnsi="Times New Roman"/>
        </w:rPr>
      </w:pPr>
    </w:p>
    <w:p w14:paraId="53F50DEB">
      <w:pPr>
        <w:spacing w:line="20" w:lineRule="exact"/>
        <w:rPr>
          <w:rFonts w:ascii="Times New Roman" w:hAnsi="Times New Roman"/>
        </w:rPr>
      </w:pPr>
    </w:p>
    <w:p w14:paraId="3D3A711D">
      <w:pPr>
        <w:spacing w:line="20" w:lineRule="exact"/>
        <w:rPr>
          <w:rFonts w:ascii="Times New Roman" w:hAnsi="Times New Roman"/>
        </w:rPr>
      </w:pPr>
    </w:p>
    <w:p w14:paraId="756A9900">
      <w:pPr>
        <w:spacing w:line="20" w:lineRule="exact"/>
        <w:rPr>
          <w:rFonts w:ascii="Times New Roman" w:hAnsi="Times New Roman"/>
        </w:rPr>
      </w:pPr>
    </w:p>
    <w:p w14:paraId="5F1621ED">
      <w:pPr>
        <w:spacing w:line="20" w:lineRule="exact"/>
        <w:rPr>
          <w:rFonts w:ascii="Times New Roman" w:hAnsi="Times New Roman"/>
        </w:rPr>
      </w:pPr>
    </w:p>
    <w:p w14:paraId="45B86D4A">
      <w:pPr>
        <w:pStyle w:val="37"/>
        <w:spacing w:before="0" w:after="0"/>
        <w:ind w:left="0"/>
        <w:jc w:val="both"/>
        <w:rPr>
          <w:rFonts w:hint="eastAsia" w:ascii="Times New Roman" w:hAnsi="Times New Roman" w:eastAsia="仿宋_GB2312" w:cs="Times New Roman"/>
          <w:lang w:val="en-US" w:eastAsia="zh-CN"/>
        </w:rPr>
      </w:pPr>
      <w:bookmarkStart w:id="833" w:name="_Toc11475"/>
      <w:bookmarkStart w:id="834" w:name="_Toc20683"/>
      <w:r>
        <w:rPr>
          <w:rFonts w:hint="eastAsia" w:ascii="Times New Roman" w:hAnsi="Times New Roman" w:eastAsia="仿宋_GB2312" w:cs="Times New Roman"/>
          <w:lang w:val="en-US" w:eastAsia="zh-CN"/>
        </w:rPr>
        <w:t>附件6：绩效评价报告单位反馈意见单</w:t>
      </w:r>
      <w:bookmarkEnd w:id="833"/>
      <w:bookmarkEnd w:id="834"/>
    </w:p>
    <w:p w14:paraId="0EE5ADD3">
      <w:pPr>
        <w:spacing w:line="20" w:lineRule="exact"/>
        <w:rPr>
          <w:rFonts w:ascii="Times New Roman" w:hAnsi="Times New Roman"/>
        </w:rPr>
      </w:pPr>
    </w:p>
    <w:p w14:paraId="2FCDF4BF">
      <w:pPr>
        <w:bidi w:val="0"/>
        <w:rPr>
          <w:rFonts w:ascii="Times New Roman" w:hAnsi="Times New Roman" w:eastAsia="仿宋_GB2312" w:cs="Times New Roman"/>
          <w:kern w:val="2"/>
          <w:sz w:val="30"/>
          <w:szCs w:val="24"/>
          <w:lang w:val="en-US" w:eastAsia="zh-CN" w:bidi="ar-SA"/>
        </w:rPr>
      </w:pPr>
    </w:p>
    <w:p w14:paraId="14814199">
      <w:pPr>
        <w:bidi w:val="0"/>
        <w:rPr>
          <w:rFonts w:ascii="Times New Roman" w:hAnsi="Times New Roman"/>
          <w:lang w:val="en-US" w:eastAsia="zh-CN"/>
        </w:rPr>
      </w:pPr>
      <w:r>
        <w:rPr>
          <w:rFonts w:ascii="Times New Roman" w:hAnsi="Times New Roman"/>
          <w:lang w:val="en-US" w:eastAsia="zh-CN"/>
        </w:rPr>
        <w:drawing>
          <wp:anchor distT="0" distB="0" distL="114300" distR="114300" simplePos="0" relativeHeight="251664384" behindDoc="1" locked="0" layoutInCell="1" allowOverlap="1">
            <wp:simplePos x="0" y="0"/>
            <wp:positionH relativeFrom="column">
              <wp:posOffset>-17145</wp:posOffset>
            </wp:positionH>
            <wp:positionV relativeFrom="page">
              <wp:posOffset>2042160</wp:posOffset>
            </wp:positionV>
            <wp:extent cx="5150485" cy="7289800"/>
            <wp:effectExtent l="0" t="0" r="635" b="10160"/>
            <wp:wrapTight wrapText="bothSides">
              <wp:wrapPolygon>
                <wp:start x="0" y="0"/>
                <wp:lineTo x="0" y="21540"/>
                <wp:lineTo x="21539" y="21540"/>
                <wp:lineTo x="21539" y="0"/>
                <wp:lineTo x="0" y="0"/>
              </wp:wrapPolygon>
            </wp:wrapTight>
            <wp:docPr id="1" name="图片 1" descr="文旅局反馈意见单009(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旅局反馈意见单009(2)_01"/>
                    <pic:cNvPicPr>
                      <a:picLocks noChangeAspect="1"/>
                    </pic:cNvPicPr>
                  </pic:nvPicPr>
                  <pic:blipFill>
                    <a:blip r:embed="rId13"/>
                    <a:stretch>
                      <a:fillRect/>
                    </a:stretch>
                  </pic:blipFill>
                  <pic:spPr>
                    <a:xfrm>
                      <a:off x="0" y="0"/>
                      <a:ext cx="5150485" cy="7289800"/>
                    </a:xfrm>
                    <a:prstGeom prst="rect">
                      <a:avLst/>
                    </a:prstGeom>
                  </pic:spPr>
                </pic:pic>
              </a:graphicData>
            </a:graphic>
          </wp:anchor>
        </w:drawing>
      </w:r>
    </w:p>
    <w:p w14:paraId="3FF828DD">
      <w:pPr>
        <w:bidi w:val="0"/>
        <w:rPr>
          <w:rFonts w:ascii="Times New Roman" w:hAnsi="Times New Roman"/>
          <w:lang w:val="en-US" w:eastAsia="zh-CN"/>
        </w:rPr>
      </w:pPr>
    </w:p>
    <w:p w14:paraId="0C3AC813">
      <w:pPr>
        <w:bidi w:val="0"/>
        <w:rPr>
          <w:rFonts w:ascii="Times New Roman" w:hAnsi="Times New Roman"/>
          <w:lang w:val="en-US" w:eastAsia="zh-CN"/>
        </w:rPr>
      </w:pPr>
    </w:p>
    <w:p w14:paraId="6328D376">
      <w:pPr>
        <w:bidi w:val="0"/>
        <w:rPr>
          <w:rFonts w:ascii="Times New Roman" w:hAnsi="Times New Roman"/>
          <w:lang w:val="en-US" w:eastAsia="zh-CN"/>
        </w:rPr>
      </w:pPr>
    </w:p>
    <w:p w14:paraId="6C2ECD08">
      <w:pPr>
        <w:bidi w:val="0"/>
        <w:rPr>
          <w:rFonts w:ascii="Times New Roman" w:hAnsi="Times New Roman"/>
          <w:lang w:val="en-US" w:eastAsia="zh-CN"/>
        </w:rPr>
      </w:pPr>
    </w:p>
    <w:p w14:paraId="7DD0820C">
      <w:pPr>
        <w:bidi w:val="0"/>
        <w:rPr>
          <w:rFonts w:ascii="Times New Roman" w:hAnsi="Times New Roman"/>
          <w:lang w:val="en-US" w:eastAsia="zh-CN"/>
        </w:rPr>
      </w:pPr>
    </w:p>
    <w:p w14:paraId="3A1E7B58">
      <w:pPr>
        <w:bidi w:val="0"/>
        <w:rPr>
          <w:rFonts w:ascii="Times New Roman" w:hAnsi="Times New Roman"/>
          <w:lang w:val="en-US" w:eastAsia="zh-CN"/>
        </w:rPr>
      </w:pPr>
    </w:p>
    <w:p w14:paraId="18431AFE">
      <w:pPr>
        <w:bidi w:val="0"/>
        <w:rPr>
          <w:rFonts w:ascii="Times New Roman" w:hAnsi="Times New Roman"/>
          <w:lang w:val="en-US" w:eastAsia="zh-CN"/>
        </w:rPr>
      </w:pPr>
    </w:p>
    <w:p w14:paraId="20048C4C">
      <w:pPr>
        <w:bidi w:val="0"/>
        <w:rPr>
          <w:rFonts w:ascii="Times New Roman" w:hAnsi="Times New Roman"/>
          <w:lang w:val="en-US" w:eastAsia="zh-CN"/>
        </w:rPr>
      </w:pPr>
    </w:p>
    <w:p w14:paraId="6582A811">
      <w:pPr>
        <w:bidi w:val="0"/>
        <w:rPr>
          <w:rFonts w:ascii="Times New Roman" w:hAnsi="Times New Roman"/>
          <w:lang w:val="en-US" w:eastAsia="zh-CN"/>
        </w:rPr>
      </w:pPr>
    </w:p>
    <w:p w14:paraId="2F2B98C5">
      <w:pPr>
        <w:bidi w:val="0"/>
        <w:rPr>
          <w:rFonts w:ascii="Times New Roman" w:hAnsi="Times New Roman"/>
          <w:lang w:val="en-US" w:eastAsia="zh-CN"/>
        </w:rPr>
      </w:pPr>
    </w:p>
    <w:p w14:paraId="60EB4DFF">
      <w:pPr>
        <w:bidi w:val="0"/>
        <w:rPr>
          <w:rFonts w:ascii="Times New Roman" w:hAnsi="Times New Roman"/>
          <w:lang w:val="en-US" w:eastAsia="zh-CN"/>
        </w:rPr>
      </w:pPr>
    </w:p>
    <w:p w14:paraId="239BFCD3">
      <w:pPr>
        <w:bidi w:val="0"/>
        <w:rPr>
          <w:rFonts w:ascii="Times New Roman" w:hAnsi="Times New Roman"/>
          <w:lang w:val="en-US" w:eastAsia="zh-CN"/>
        </w:rPr>
      </w:pPr>
    </w:p>
    <w:p w14:paraId="721E0254">
      <w:pPr>
        <w:bidi w:val="0"/>
        <w:rPr>
          <w:rFonts w:ascii="Times New Roman" w:hAnsi="Times New Roman"/>
          <w:lang w:val="en-US" w:eastAsia="zh-CN"/>
        </w:rPr>
      </w:pPr>
    </w:p>
    <w:p w14:paraId="08B2125F">
      <w:pPr>
        <w:bidi w:val="0"/>
        <w:rPr>
          <w:rFonts w:ascii="Times New Roman" w:hAnsi="Times New Roman"/>
          <w:lang w:val="en-US" w:eastAsia="zh-CN"/>
        </w:rPr>
      </w:pPr>
    </w:p>
    <w:p w14:paraId="600DCAAF">
      <w:pPr>
        <w:bidi w:val="0"/>
        <w:rPr>
          <w:rFonts w:ascii="Times New Roman" w:hAnsi="Times New Roman"/>
          <w:lang w:val="en-US" w:eastAsia="zh-CN"/>
        </w:rPr>
      </w:pPr>
    </w:p>
    <w:p w14:paraId="7863D1CD">
      <w:pPr>
        <w:bidi w:val="0"/>
        <w:rPr>
          <w:rFonts w:ascii="Times New Roman" w:hAnsi="Times New Roman"/>
          <w:lang w:val="en-US" w:eastAsia="zh-CN"/>
        </w:rPr>
      </w:pPr>
    </w:p>
    <w:p w14:paraId="2B2D55D9">
      <w:pPr>
        <w:bidi w:val="0"/>
        <w:rPr>
          <w:rFonts w:ascii="Times New Roman" w:hAnsi="Times New Roman"/>
          <w:lang w:val="en-US" w:eastAsia="zh-CN"/>
        </w:rPr>
      </w:pPr>
    </w:p>
    <w:p w14:paraId="67F5099C">
      <w:pPr>
        <w:bidi w:val="0"/>
        <w:rPr>
          <w:rFonts w:ascii="Times New Roman" w:hAnsi="Times New Roman"/>
          <w:lang w:val="en-US" w:eastAsia="zh-CN"/>
        </w:rPr>
      </w:pPr>
    </w:p>
    <w:p w14:paraId="4CF4A786">
      <w:pPr>
        <w:bidi w:val="0"/>
        <w:rPr>
          <w:rFonts w:ascii="Times New Roman" w:hAnsi="Times New Roman"/>
          <w:lang w:val="en-US" w:eastAsia="zh-CN"/>
        </w:rPr>
      </w:pPr>
    </w:p>
    <w:p w14:paraId="08485C97">
      <w:pPr>
        <w:bidi w:val="0"/>
        <w:rPr>
          <w:rFonts w:ascii="Times New Roman" w:hAnsi="Times New Roman"/>
          <w:lang w:val="en-US" w:eastAsia="zh-CN"/>
        </w:rPr>
      </w:pPr>
    </w:p>
    <w:p w14:paraId="21E090C8">
      <w:pPr>
        <w:bidi w:val="0"/>
        <w:rPr>
          <w:rFonts w:ascii="Times New Roman" w:hAnsi="Times New Roman"/>
          <w:lang w:val="en-US" w:eastAsia="zh-CN"/>
        </w:rPr>
      </w:pPr>
    </w:p>
    <w:p w14:paraId="459FA62B">
      <w:pPr>
        <w:bidi w:val="0"/>
        <w:rPr>
          <w:rFonts w:ascii="Times New Roman" w:hAnsi="Times New Roman"/>
          <w:lang w:val="en-US" w:eastAsia="zh-CN"/>
        </w:rPr>
      </w:pPr>
    </w:p>
    <w:p w14:paraId="27D077F0">
      <w:pPr>
        <w:bidi w:val="0"/>
        <w:rPr>
          <w:rFonts w:ascii="Times New Roman" w:hAnsi="Times New Roman"/>
          <w:lang w:val="en-US" w:eastAsia="zh-CN"/>
        </w:rPr>
      </w:pPr>
    </w:p>
    <w:p w14:paraId="6FAB4496">
      <w:pPr>
        <w:bidi w:val="0"/>
        <w:rPr>
          <w:rFonts w:ascii="Times New Roman" w:hAnsi="Times New Roman"/>
          <w:lang w:val="en-US" w:eastAsia="zh-CN"/>
        </w:rPr>
      </w:pPr>
    </w:p>
    <w:p w14:paraId="20B3628F">
      <w:pPr>
        <w:bidi w:val="0"/>
        <w:rPr>
          <w:rFonts w:ascii="Times New Roman" w:hAnsi="Times New Roman"/>
          <w:lang w:val="en-US" w:eastAsia="zh-CN"/>
        </w:rPr>
      </w:pPr>
    </w:p>
    <w:p w14:paraId="530678EA">
      <w:pPr>
        <w:bidi w:val="0"/>
        <w:rPr>
          <w:rFonts w:ascii="Times New Roman" w:hAnsi="Times New Roman"/>
          <w:lang w:val="en-US" w:eastAsia="zh-CN"/>
        </w:rPr>
      </w:pPr>
    </w:p>
    <w:p w14:paraId="78A1A5AE">
      <w:pPr>
        <w:bidi w:val="0"/>
        <w:rPr>
          <w:rFonts w:ascii="Times New Roman" w:hAnsi="Times New Roman"/>
          <w:lang w:val="en-US" w:eastAsia="zh-CN"/>
        </w:rPr>
      </w:pPr>
    </w:p>
    <w:p w14:paraId="3E77E67F">
      <w:pPr>
        <w:bidi w:val="0"/>
        <w:jc w:val="left"/>
        <w:rPr>
          <w:rFonts w:ascii="Times New Roman" w:hAnsi="Times New Roman"/>
          <w:lang w:val="en-US" w:eastAsia="zh-CN"/>
        </w:rPr>
      </w:pPr>
    </w:p>
    <w:p w14:paraId="73E52E1B">
      <w:pPr>
        <w:pStyle w:val="37"/>
        <w:spacing w:before="0" w:after="0"/>
        <w:ind w:left="0"/>
        <w:jc w:val="both"/>
        <w:rPr>
          <w:rFonts w:hint="default" w:ascii="Times New Roman" w:hAnsi="Times New Roman" w:eastAsia="仿宋_GB2312" w:cs="Times New Roman"/>
          <w:lang w:val="en-US" w:eastAsia="zh-CN"/>
        </w:rPr>
      </w:pPr>
      <w:bookmarkStart w:id="835" w:name="_Toc32473"/>
      <w:bookmarkStart w:id="836" w:name="_Toc20244"/>
      <w:r>
        <w:rPr>
          <w:rFonts w:hint="eastAsia" w:ascii="Times New Roman" w:hAnsi="Times New Roman" w:eastAsia="仿宋_GB2312" w:cs="Times New Roman"/>
          <w:lang w:val="en-US" w:eastAsia="zh-CN"/>
        </w:rPr>
        <w:t>附件7：绩效评价报告财政</w:t>
      </w:r>
      <w:bookmarkEnd w:id="835"/>
      <w:bookmarkEnd w:id="836"/>
      <w:r>
        <w:rPr>
          <w:rFonts w:hint="eastAsia" w:ascii="Times New Roman" w:hAnsi="Times New Roman" w:eastAsia="仿宋_GB2312" w:cs="Times New Roman"/>
          <w:lang w:val="en-US" w:eastAsia="zh-CN"/>
        </w:rPr>
        <w:t>部门意见反馈表</w:t>
      </w:r>
    </w:p>
    <w:p w14:paraId="0257207E">
      <w:pPr>
        <w:bidi w:val="0"/>
        <w:jc w:val="left"/>
        <w:rPr>
          <w:rFonts w:ascii="Times New Roman" w:hAnsi="Times New Roman"/>
          <w:lang w:val="en-US" w:eastAsia="zh-CN"/>
        </w:rPr>
      </w:pPr>
      <w:r>
        <w:rPr>
          <w:rFonts w:ascii="Times New Roman" w:hAnsi="Times New Roman"/>
          <w:lang w:val="en-US" w:eastAsia="zh-CN"/>
        </w:rPr>
        <w:drawing>
          <wp:anchor distT="0" distB="0" distL="114300" distR="114300" simplePos="0" relativeHeight="251665408" behindDoc="1" locked="0" layoutInCell="1" allowOverlap="1">
            <wp:simplePos x="0" y="0"/>
            <wp:positionH relativeFrom="column">
              <wp:posOffset>99060</wp:posOffset>
            </wp:positionH>
            <wp:positionV relativeFrom="page">
              <wp:posOffset>2000250</wp:posOffset>
            </wp:positionV>
            <wp:extent cx="5191125" cy="7343140"/>
            <wp:effectExtent l="0" t="0" r="5715" b="2540"/>
            <wp:wrapTight wrapText="bothSides">
              <wp:wrapPolygon>
                <wp:start x="0" y="0"/>
                <wp:lineTo x="0" y="21563"/>
                <wp:lineTo x="21560" y="21563"/>
                <wp:lineTo x="21560" y="0"/>
                <wp:lineTo x="0" y="0"/>
              </wp:wrapPolygon>
            </wp:wrapTight>
            <wp:docPr id="3" name="图片 3" descr="文旅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旅局"/>
                    <pic:cNvPicPr>
                      <a:picLocks noChangeAspect="1"/>
                    </pic:cNvPicPr>
                  </pic:nvPicPr>
                  <pic:blipFill>
                    <a:blip r:embed="rId14"/>
                    <a:stretch>
                      <a:fillRect/>
                    </a:stretch>
                  </pic:blipFill>
                  <pic:spPr>
                    <a:xfrm>
                      <a:off x="0" y="0"/>
                      <a:ext cx="5191125" cy="7343140"/>
                    </a:xfrm>
                    <a:prstGeom prst="rect">
                      <a:avLst/>
                    </a:prstGeom>
                  </pic:spPr>
                </pic:pic>
              </a:graphicData>
            </a:graphic>
          </wp:anchor>
        </w:drawing>
      </w:r>
    </w:p>
    <w:sectPr>
      <w:pgSz w:w="11906" w:h="16838"/>
      <w:pgMar w:top="1985" w:right="1531" w:bottom="1701" w:left="1531" w:header="851" w:footer="992" w:gutter="0"/>
      <w:cols w:space="0" w:num="1"/>
      <w:docGrid w:type="linesAndChar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粗黑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3E8E">
    <w:pPr>
      <w:pStyle w:val="10"/>
      <w:jc w:val="center"/>
    </w:pPr>
  </w:p>
  <w:p w14:paraId="6853B42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B8431">
    <w:pPr>
      <w:pStyle w:val="10"/>
      <w:jc w:val="center"/>
    </w:pPr>
  </w:p>
  <w:p w14:paraId="1C36DBF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23D9A">
    <w:pPr>
      <w:pStyle w:val="10"/>
      <w:tabs>
        <w:tab w:val="clear" w:pos="4153"/>
        <w:tab w:val="clear" w:pos="8306"/>
      </w:tabs>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8" name="文本框 2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AF73C0">
                          <w:pPr>
                            <w:pStyle w:val="10"/>
                          </w:pPr>
                          <w:r>
                            <w:t>—</w:t>
                          </w:r>
                          <w:r>
                            <w:fldChar w:fldCharType="begin"/>
                          </w:r>
                          <w:r>
                            <w:instrText xml:space="preserve"> PAGE  \* MERGEFORMAT </w:instrText>
                          </w:r>
                          <w:r>
                            <w:fldChar w:fldCharType="separate"/>
                          </w:r>
                          <w:r>
                            <w:t>45</w:t>
                          </w:r>
                          <w:r>
                            <w:fldChar w:fldCharType="end"/>
                          </w:r>
                          <w:r>
                            <w:t>—</w:t>
                          </w:r>
                        </w:p>
                      </w:txbxContent>
                    </wps:txbx>
                    <wps:bodyPr vert="horz" wrap="none" lIns="0" tIns="0" rIns="0" bIns="0" anchor="t">
                      <a:spAutoFit/>
                    </wps:bodyPr>
                  </wps:wsp>
                </a:graphicData>
              </a:graphic>
            </wp:anchor>
          </w:drawing>
        </mc:Choice>
        <mc:Fallback>
          <w:pict>
            <v:rect id="文本框 220" o:spid="_x0000_s1026" o:spt="1"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KR93S/KAQAAlAMAAA4AAAAAAAAAAQAgAAAAHwEAAGRycy9lMm9E&#10;b2MueG1sUEsFBgAAAAAGAAYAWQEAAFsFAAAAAA==&#10;">
              <v:fill on="f" focussize="0,0"/>
              <v:stroke on="f"/>
              <v:imagedata o:title=""/>
              <o:lock v:ext="edit" aspectratio="f"/>
              <v:textbox inset="0mm,0mm,0mm,0mm" style="mso-fit-shape-to-text:t;">
                <w:txbxContent>
                  <w:p w14:paraId="7FAF73C0">
                    <w:pPr>
                      <w:pStyle w:val="10"/>
                    </w:pPr>
                    <w:r>
                      <w:t>—</w:t>
                    </w:r>
                    <w:r>
                      <w:fldChar w:fldCharType="begin"/>
                    </w:r>
                    <w:r>
                      <w:instrText xml:space="preserve"> PAGE  \* MERGEFORMAT </w:instrText>
                    </w:r>
                    <w:r>
                      <w:fldChar w:fldCharType="separate"/>
                    </w:r>
                    <w:r>
                      <w:t>45</w:t>
                    </w:r>
                    <w:r>
                      <w:fldChar w:fldCharType="end"/>
                    </w:r>
                    <w:r>
                      <w:t>—</w:t>
                    </w:r>
                  </w:p>
                </w:txbxContent>
              </v:textbox>
            </v:rect>
          </w:pict>
        </mc:Fallback>
      </mc:AlternateContent>
    </w: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2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CFE47AA">
                          <w:pPr>
                            <w:pStyle w:val="10"/>
                          </w:pPr>
                        </w:p>
                      </w:txbxContent>
                    </wps:txbx>
                    <wps:bodyPr vert="horz" wrap="none" lIns="0" tIns="0" rIns="0" bIns="0" anchor="t">
                      <a:spAutoFit/>
                    </wps:bodyPr>
                  </wps:wsp>
                </a:graphicData>
              </a:graphic>
            </wp:anchor>
          </w:drawing>
        </mc:Choice>
        <mc:Fallback>
          <w:pict>
            <v:rect id="文本框 28"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IfsRoywEAAJMDAAAOAAAAAAAAAAEAIAAAAB8BAABkcnMvZTJv&#10;RG9jLnhtbFBLBQYAAAAABgAGAFkBAABcBQAAAAA=&#10;">
              <v:fill on="f" focussize="0,0"/>
              <v:stroke on="f"/>
              <v:imagedata o:title=""/>
              <o:lock v:ext="edit" aspectratio="f"/>
              <v:textbox inset="0mm,0mm,0mm,0mm" style="mso-fit-shape-to-text:t;">
                <w:txbxContent>
                  <w:p w14:paraId="0CFE47AA">
                    <w:pPr>
                      <w:pStyle w:val="10"/>
                    </w:pPr>
                  </w:p>
                </w:txbxContent>
              </v:textbox>
            </v:rect>
          </w:pict>
        </mc:Fallback>
      </mc:AlternateContent>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D214">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5408"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5" name="图片 5"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8085ACD">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2987CAA9">
    <w:pPr>
      <w:pStyle w:val="11"/>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4CF00917">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E23C6">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7456"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8" name="图片 8"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C9D5DE4">
    <w:pPr>
      <w:pStyle w:val="11"/>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48213102">
    <w:pPr>
      <w:pStyle w:val="11"/>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273DA42C">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380162"/>
    <w:multiLevelType w:val="singleLevel"/>
    <w:tmpl w:val="EF380162"/>
    <w:lvl w:ilvl="0" w:tentative="0">
      <w:start w:val="3"/>
      <w:numFmt w:val="decimal"/>
      <w:suff w:val="nothing"/>
      <w:lvlText w:val="（%1）"/>
      <w:lvlJc w:val="left"/>
    </w:lvl>
  </w:abstractNum>
  <w:abstractNum w:abstractNumId="1">
    <w:nsid w:val="2A25B7D7"/>
    <w:multiLevelType w:val="singleLevel"/>
    <w:tmpl w:val="2A25B7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footnotePr>
    <w:numFmt w:val="decimalEnclosedCircleChines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yZmNhZmMwYTRkMzdjNDc0ZDBiODA4ZTNmNjg2YzYifQ=="/>
  </w:docVars>
  <w:rsids>
    <w:rsidRoot w:val="00172A27"/>
    <w:rsid w:val="0000200E"/>
    <w:rsid w:val="00007FB7"/>
    <w:rsid w:val="00022D0C"/>
    <w:rsid w:val="00046302"/>
    <w:rsid w:val="00050A50"/>
    <w:rsid w:val="00053520"/>
    <w:rsid w:val="00053CBF"/>
    <w:rsid w:val="000675B9"/>
    <w:rsid w:val="000719BC"/>
    <w:rsid w:val="0007628C"/>
    <w:rsid w:val="00082ADA"/>
    <w:rsid w:val="00083862"/>
    <w:rsid w:val="00095ACD"/>
    <w:rsid w:val="000A15D9"/>
    <w:rsid w:val="000A56FB"/>
    <w:rsid w:val="000A596C"/>
    <w:rsid w:val="000B5AD1"/>
    <w:rsid w:val="000C00C5"/>
    <w:rsid w:val="000D12E7"/>
    <w:rsid w:val="000D1BED"/>
    <w:rsid w:val="000D33AE"/>
    <w:rsid w:val="000E1307"/>
    <w:rsid w:val="000F6887"/>
    <w:rsid w:val="001134A9"/>
    <w:rsid w:val="00124C87"/>
    <w:rsid w:val="00124E35"/>
    <w:rsid w:val="00133969"/>
    <w:rsid w:val="0017011B"/>
    <w:rsid w:val="00172CAE"/>
    <w:rsid w:val="00175D05"/>
    <w:rsid w:val="00182EE5"/>
    <w:rsid w:val="00185B2B"/>
    <w:rsid w:val="00187108"/>
    <w:rsid w:val="001A0F39"/>
    <w:rsid w:val="001B4FFD"/>
    <w:rsid w:val="001B52D4"/>
    <w:rsid w:val="001B5C59"/>
    <w:rsid w:val="001C2D17"/>
    <w:rsid w:val="001C7F4C"/>
    <w:rsid w:val="001E0F7E"/>
    <w:rsid w:val="001E4F82"/>
    <w:rsid w:val="001F2D61"/>
    <w:rsid w:val="00201507"/>
    <w:rsid w:val="00213D39"/>
    <w:rsid w:val="00223781"/>
    <w:rsid w:val="00245432"/>
    <w:rsid w:val="00265FB9"/>
    <w:rsid w:val="002721E8"/>
    <w:rsid w:val="002A1D3C"/>
    <w:rsid w:val="002A5473"/>
    <w:rsid w:val="002B18D2"/>
    <w:rsid w:val="002B503C"/>
    <w:rsid w:val="002B65A6"/>
    <w:rsid w:val="002B68B1"/>
    <w:rsid w:val="002C4449"/>
    <w:rsid w:val="002E37DE"/>
    <w:rsid w:val="002E3A27"/>
    <w:rsid w:val="002E53E5"/>
    <w:rsid w:val="00313ECA"/>
    <w:rsid w:val="00314703"/>
    <w:rsid w:val="00321F0D"/>
    <w:rsid w:val="00343BD4"/>
    <w:rsid w:val="00345A9D"/>
    <w:rsid w:val="003470F1"/>
    <w:rsid w:val="0035702D"/>
    <w:rsid w:val="003614E5"/>
    <w:rsid w:val="00381B95"/>
    <w:rsid w:val="00386300"/>
    <w:rsid w:val="0039219A"/>
    <w:rsid w:val="0039355F"/>
    <w:rsid w:val="003A4AD9"/>
    <w:rsid w:val="003A5249"/>
    <w:rsid w:val="003A6DD9"/>
    <w:rsid w:val="003B532E"/>
    <w:rsid w:val="003B5C89"/>
    <w:rsid w:val="003B6D2F"/>
    <w:rsid w:val="003B77FD"/>
    <w:rsid w:val="003D3C55"/>
    <w:rsid w:val="003E3217"/>
    <w:rsid w:val="003E3CCC"/>
    <w:rsid w:val="003E5B9C"/>
    <w:rsid w:val="00416338"/>
    <w:rsid w:val="0042458C"/>
    <w:rsid w:val="004251AE"/>
    <w:rsid w:val="004339C0"/>
    <w:rsid w:val="00442835"/>
    <w:rsid w:val="00444E7A"/>
    <w:rsid w:val="00447684"/>
    <w:rsid w:val="00450716"/>
    <w:rsid w:val="004524A9"/>
    <w:rsid w:val="00452E0F"/>
    <w:rsid w:val="00455E83"/>
    <w:rsid w:val="004666A9"/>
    <w:rsid w:val="00475886"/>
    <w:rsid w:val="004822BE"/>
    <w:rsid w:val="00484D02"/>
    <w:rsid w:val="00484F83"/>
    <w:rsid w:val="00494523"/>
    <w:rsid w:val="004B3084"/>
    <w:rsid w:val="004C50E9"/>
    <w:rsid w:val="004C7E22"/>
    <w:rsid w:val="004E2D79"/>
    <w:rsid w:val="004E6E48"/>
    <w:rsid w:val="004F6AC4"/>
    <w:rsid w:val="00502432"/>
    <w:rsid w:val="00505BDB"/>
    <w:rsid w:val="005079DF"/>
    <w:rsid w:val="00527BC9"/>
    <w:rsid w:val="005314ED"/>
    <w:rsid w:val="00533927"/>
    <w:rsid w:val="00536DFF"/>
    <w:rsid w:val="00547CB2"/>
    <w:rsid w:val="005557D4"/>
    <w:rsid w:val="005A2A68"/>
    <w:rsid w:val="005A2F28"/>
    <w:rsid w:val="005A3985"/>
    <w:rsid w:val="005E0313"/>
    <w:rsid w:val="005E4F5C"/>
    <w:rsid w:val="005E51EE"/>
    <w:rsid w:val="005F51DD"/>
    <w:rsid w:val="005F6500"/>
    <w:rsid w:val="00625C43"/>
    <w:rsid w:val="0064571B"/>
    <w:rsid w:val="006513AF"/>
    <w:rsid w:val="00663978"/>
    <w:rsid w:val="0067463E"/>
    <w:rsid w:val="00677003"/>
    <w:rsid w:val="006805F1"/>
    <w:rsid w:val="00681630"/>
    <w:rsid w:val="00685C32"/>
    <w:rsid w:val="00695442"/>
    <w:rsid w:val="006A2CB5"/>
    <w:rsid w:val="006B6861"/>
    <w:rsid w:val="006C200F"/>
    <w:rsid w:val="006C5619"/>
    <w:rsid w:val="006D723D"/>
    <w:rsid w:val="006E416C"/>
    <w:rsid w:val="006F3DD6"/>
    <w:rsid w:val="007069CF"/>
    <w:rsid w:val="00711195"/>
    <w:rsid w:val="00712003"/>
    <w:rsid w:val="00723259"/>
    <w:rsid w:val="007267EB"/>
    <w:rsid w:val="00734FC9"/>
    <w:rsid w:val="00745015"/>
    <w:rsid w:val="0075075C"/>
    <w:rsid w:val="00757B9E"/>
    <w:rsid w:val="00764A8D"/>
    <w:rsid w:val="00775DBD"/>
    <w:rsid w:val="007853C7"/>
    <w:rsid w:val="0078672C"/>
    <w:rsid w:val="00795D50"/>
    <w:rsid w:val="007960EE"/>
    <w:rsid w:val="007A2EAD"/>
    <w:rsid w:val="007A51B4"/>
    <w:rsid w:val="007A5AC6"/>
    <w:rsid w:val="007A6DBE"/>
    <w:rsid w:val="007B42D6"/>
    <w:rsid w:val="007B5933"/>
    <w:rsid w:val="007B5ECC"/>
    <w:rsid w:val="007C2D8B"/>
    <w:rsid w:val="007D3883"/>
    <w:rsid w:val="007F0989"/>
    <w:rsid w:val="007F240A"/>
    <w:rsid w:val="007F2F87"/>
    <w:rsid w:val="008135BC"/>
    <w:rsid w:val="00820F0F"/>
    <w:rsid w:val="00823E51"/>
    <w:rsid w:val="008356E7"/>
    <w:rsid w:val="00844B42"/>
    <w:rsid w:val="00860FBA"/>
    <w:rsid w:val="008714CD"/>
    <w:rsid w:val="00871845"/>
    <w:rsid w:val="00885B23"/>
    <w:rsid w:val="00890699"/>
    <w:rsid w:val="00892797"/>
    <w:rsid w:val="008B4129"/>
    <w:rsid w:val="008C473B"/>
    <w:rsid w:val="008D001B"/>
    <w:rsid w:val="008E292E"/>
    <w:rsid w:val="008E4D4C"/>
    <w:rsid w:val="008F3E6B"/>
    <w:rsid w:val="008F6638"/>
    <w:rsid w:val="00903AAE"/>
    <w:rsid w:val="0090694D"/>
    <w:rsid w:val="009126A1"/>
    <w:rsid w:val="009246B5"/>
    <w:rsid w:val="00926C89"/>
    <w:rsid w:val="009303F1"/>
    <w:rsid w:val="00932DBB"/>
    <w:rsid w:val="009429D7"/>
    <w:rsid w:val="00943F72"/>
    <w:rsid w:val="00957F45"/>
    <w:rsid w:val="00985DA6"/>
    <w:rsid w:val="00996710"/>
    <w:rsid w:val="00997FD4"/>
    <w:rsid w:val="009A68E2"/>
    <w:rsid w:val="009A7C4A"/>
    <w:rsid w:val="009B5D88"/>
    <w:rsid w:val="009C08A6"/>
    <w:rsid w:val="009E7DAA"/>
    <w:rsid w:val="009F449E"/>
    <w:rsid w:val="00A04CC0"/>
    <w:rsid w:val="00A14D8C"/>
    <w:rsid w:val="00A15895"/>
    <w:rsid w:val="00A164D9"/>
    <w:rsid w:val="00A1674E"/>
    <w:rsid w:val="00A2352B"/>
    <w:rsid w:val="00A31E7B"/>
    <w:rsid w:val="00A40E12"/>
    <w:rsid w:val="00A4546A"/>
    <w:rsid w:val="00A47A74"/>
    <w:rsid w:val="00A50C03"/>
    <w:rsid w:val="00A51C3F"/>
    <w:rsid w:val="00A5549F"/>
    <w:rsid w:val="00A70E45"/>
    <w:rsid w:val="00A72EE0"/>
    <w:rsid w:val="00A766DC"/>
    <w:rsid w:val="00A83789"/>
    <w:rsid w:val="00A841F1"/>
    <w:rsid w:val="00A97453"/>
    <w:rsid w:val="00AB234E"/>
    <w:rsid w:val="00AC4BBB"/>
    <w:rsid w:val="00AD6070"/>
    <w:rsid w:val="00AE04D8"/>
    <w:rsid w:val="00AF0987"/>
    <w:rsid w:val="00B023D9"/>
    <w:rsid w:val="00B041C7"/>
    <w:rsid w:val="00B13D8D"/>
    <w:rsid w:val="00B33013"/>
    <w:rsid w:val="00B4445D"/>
    <w:rsid w:val="00B724E1"/>
    <w:rsid w:val="00B739A4"/>
    <w:rsid w:val="00B76F3F"/>
    <w:rsid w:val="00B77837"/>
    <w:rsid w:val="00B90D1C"/>
    <w:rsid w:val="00B93160"/>
    <w:rsid w:val="00BC32AC"/>
    <w:rsid w:val="00BC36C7"/>
    <w:rsid w:val="00BC466C"/>
    <w:rsid w:val="00BF4E10"/>
    <w:rsid w:val="00C1139C"/>
    <w:rsid w:val="00C16183"/>
    <w:rsid w:val="00C205DD"/>
    <w:rsid w:val="00C25479"/>
    <w:rsid w:val="00C327F5"/>
    <w:rsid w:val="00C44EE0"/>
    <w:rsid w:val="00C8065E"/>
    <w:rsid w:val="00C809EF"/>
    <w:rsid w:val="00C87B2C"/>
    <w:rsid w:val="00C90805"/>
    <w:rsid w:val="00CB132D"/>
    <w:rsid w:val="00CB590C"/>
    <w:rsid w:val="00CC5BDF"/>
    <w:rsid w:val="00CC738B"/>
    <w:rsid w:val="00CE02FC"/>
    <w:rsid w:val="00CE210B"/>
    <w:rsid w:val="00CE473F"/>
    <w:rsid w:val="00CF03AD"/>
    <w:rsid w:val="00CF35C3"/>
    <w:rsid w:val="00D2217B"/>
    <w:rsid w:val="00D239EC"/>
    <w:rsid w:val="00D25BF4"/>
    <w:rsid w:val="00D25F06"/>
    <w:rsid w:val="00D305BD"/>
    <w:rsid w:val="00D35AFE"/>
    <w:rsid w:val="00D52B21"/>
    <w:rsid w:val="00D554A3"/>
    <w:rsid w:val="00D662FF"/>
    <w:rsid w:val="00D67C8F"/>
    <w:rsid w:val="00D9134C"/>
    <w:rsid w:val="00D94214"/>
    <w:rsid w:val="00DA04B1"/>
    <w:rsid w:val="00DB4CBD"/>
    <w:rsid w:val="00DC050C"/>
    <w:rsid w:val="00DD35C4"/>
    <w:rsid w:val="00DE063D"/>
    <w:rsid w:val="00DF401D"/>
    <w:rsid w:val="00DF616B"/>
    <w:rsid w:val="00E1101A"/>
    <w:rsid w:val="00E1374A"/>
    <w:rsid w:val="00E16835"/>
    <w:rsid w:val="00E42343"/>
    <w:rsid w:val="00E51939"/>
    <w:rsid w:val="00E55A38"/>
    <w:rsid w:val="00E62580"/>
    <w:rsid w:val="00E77592"/>
    <w:rsid w:val="00E823F8"/>
    <w:rsid w:val="00E82F7E"/>
    <w:rsid w:val="00E94E99"/>
    <w:rsid w:val="00E95306"/>
    <w:rsid w:val="00E959F0"/>
    <w:rsid w:val="00EA1BA7"/>
    <w:rsid w:val="00EA3562"/>
    <w:rsid w:val="00EB7301"/>
    <w:rsid w:val="00EE51F4"/>
    <w:rsid w:val="00EF0AF8"/>
    <w:rsid w:val="00F05BA2"/>
    <w:rsid w:val="00F125BE"/>
    <w:rsid w:val="00F132A6"/>
    <w:rsid w:val="00F36CFB"/>
    <w:rsid w:val="00F50C06"/>
    <w:rsid w:val="00F51465"/>
    <w:rsid w:val="00F51E39"/>
    <w:rsid w:val="00F6175B"/>
    <w:rsid w:val="00F66CC9"/>
    <w:rsid w:val="00F83928"/>
    <w:rsid w:val="00F872F8"/>
    <w:rsid w:val="00F87F4A"/>
    <w:rsid w:val="00F959CB"/>
    <w:rsid w:val="00FA1620"/>
    <w:rsid w:val="00FA370C"/>
    <w:rsid w:val="00FA6ED2"/>
    <w:rsid w:val="00FA745C"/>
    <w:rsid w:val="00FB1604"/>
    <w:rsid w:val="00FC2C34"/>
    <w:rsid w:val="00FC3E1B"/>
    <w:rsid w:val="00FD0FCA"/>
    <w:rsid w:val="00FD4F13"/>
    <w:rsid w:val="00FE0E78"/>
    <w:rsid w:val="00FF1781"/>
    <w:rsid w:val="00FF3D1C"/>
    <w:rsid w:val="01155C0E"/>
    <w:rsid w:val="01447ACE"/>
    <w:rsid w:val="014F03EF"/>
    <w:rsid w:val="01556EA9"/>
    <w:rsid w:val="01695955"/>
    <w:rsid w:val="017E6F26"/>
    <w:rsid w:val="018B1D32"/>
    <w:rsid w:val="01CA4D81"/>
    <w:rsid w:val="020B3FF9"/>
    <w:rsid w:val="025263E9"/>
    <w:rsid w:val="0264611C"/>
    <w:rsid w:val="02745A8B"/>
    <w:rsid w:val="027D71DE"/>
    <w:rsid w:val="02A31C98"/>
    <w:rsid w:val="02CB619B"/>
    <w:rsid w:val="02E07482"/>
    <w:rsid w:val="02F73BCC"/>
    <w:rsid w:val="02F74BED"/>
    <w:rsid w:val="03321D76"/>
    <w:rsid w:val="03805A4B"/>
    <w:rsid w:val="038C2433"/>
    <w:rsid w:val="03D9024D"/>
    <w:rsid w:val="03E40A2C"/>
    <w:rsid w:val="03F8416C"/>
    <w:rsid w:val="03FB485E"/>
    <w:rsid w:val="04283702"/>
    <w:rsid w:val="042E253E"/>
    <w:rsid w:val="04351B1E"/>
    <w:rsid w:val="04485493"/>
    <w:rsid w:val="04632AE5"/>
    <w:rsid w:val="04633ABF"/>
    <w:rsid w:val="04800CEC"/>
    <w:rsid w:val="0484760E"/>
    <w:rsid w:val="048C5A1D"/>
    <w:rsid w:val="04A85265"/>
    <w:rsid w:val="04AB3B8E"/>
    <w:rsid w:val="04C0441A"/>
    <w:rsid w:val="04CC1F8E"/>
    <w:rsid w:val="04F570F2"/>
    <w:rsid w:val="050A007D"/>
    <w:rsid w:val="052878D5"/>
    <w:rsid w:val="0531798F"/>
    <w:rsid w:val="05370EB3"/>
    <w:rsid w:val="05464C88"/>
    <w:rsid w:val="05846DFE"/>
    <w:rsid w:val="05882122"/>
    <w:rsid w:val="05A056BD"/>
    <w:rsid w:val="05BB6053"/>
    <w:rsid w:val="05BD626F"/>
    <w:rsid w:val="05C84C14"/>
    <w:rsid w:val="05CC6E20"/>
    <w:rsid w:val="05E076C8"/>
    <w:rsid w:val="05FB491E"/>
    <w:rsid w:val="06376750"/>
    <w:rsid w:val="064E5119"/>
    <w:rsid w:val="06585F98"/>
    <w:rsid w:val="06712BB6"/>
    <w:rsid w:val="06744454"/>
    <w:rsid w:val="067C430D"/>
    <w:rsid w:val="06A25465"/>
    <w:rsid w:val="06A765D7"/>
    <w:rsid w:val="06AF2326"/>
    <w:rsid w:val="06D0266B"/>
    <w:rsid w:val="06F122AC"/>
    <w:rsid w:val="07082BD4"/>
    <w:rsid w:val="070847B9"/>
    <w:rsid w:val="07256B46"/>
    <w:rsid w:val="072B0FB7"/>
    <w:rsid w:val="07571DAC"/>
    <w:rsid w:val="075C3866"/>
    <w:rsid w:val="07940AA9"/>
    <w:rsid w:val="07A019A5"/>
    <w:rsid w:val="07BF007D"/>
    <w:rsid w:val="07CA50D5"/>
    <w:rsid w:val="07CB0946"/>
    <w:rsid w:val="07CC05D8"/>
    <w:rsid w:val="07EA4488"/>
    <w:rsid w:val="07FE66CB"/>
    <w:rsid w:val="08060F15"/>
    <w:rsid w:val="082F4AD6"/>
    <w:rsid w:val="0869623A"/>
    <w:rsid w:val="0880680D"/>
    <w:rsid w:val="08931509"/>
    <w:rsid w:val="08A34DB8"/>
    <w:rsid w:val="08B96F5C"/>
    <w:rsid w:val="08E80D87"/>
    <w:rsid w:val="08F54A4A"/>
    <w:rsid w:val="08FD6FB7"/>
    <w:rsid w:val="09034A18"/>
    <w:rsid w:val="092263E9"/>
    <w:rsid w:val="09511A59"/>
    <w:rsid w:val="09565B9A"/>
    <w:rsid w:val="097A1598"/>
    <w:rsid w:val="09974067"/>
    <w:rsid w:val="099C263F"/>
    <w:rsid w:val="09B22833"/>
    <w:rsid w:val="09CB009E"/>
    <w:rsid w:val="09DF0839"/>
    <w:rsid w:val="0A0A57FB"/>
    <w:rsid w:val="0A36299B"/>
    <w:rsid w:val="0A560A40"/>
    <w:rsid w:val="0A58461D"/>
    <w:rsid w:val="0A760AE0"/>
    <w:rsid w:val="0A8C710E"/>
    <w:rsid w:val="0AB45767"/>
    <w:rsid w:val="0AB94B2B"/>
    <w:rsid w:val="0ADB7197"/>
    <w:rsid w:val="0AF750AC"/>
    <w:rsid w:val="0B00275A"/>
    <w:rsid w:val="0B077F8D"/>
    <w:rsid w:val="0B275F39"/>
    <w:rsid w:val="0B550CF8"/>
    <w:rsid w:val="0B6E1EE8"/>
    <w:rsid w:val="0B732F2C"/>
    <w:rsid w:val="0B82196E"/>
    <w:rsid w:val="0B8B296C"/>
    <w:rsid w:val="0B8B2FC0"/>
    <w:rsid w:val="0BCD59D1"/>
    <w:rsid w:val="0BD7795F"/>
    <w:rsid w:val="0BD87233"/>
    <w:rsid w:val="0BDE0CED"/>
    <w:rsid w:val="0BE45BD8"/>
    <w:rsid w:val="0C02646C"/>
    <w:rsid w:val="0C110524"/>
    <w:rsid w:val="0C120EAA"/>
    <w:rsid w:val="0C2561FD"/>
    <w:rsid w:val="0C3D20A1"/>
    <w:rsid w:val="0C670CE3"/>
    <w:rsid w:val="0C6C2BF0"/>
    <w:rsid w:val="0C764185"/>
    <w:rsid w:val="0C790A16"/>
    <w:rsid w:val="0C9A488B"/>
    <w:rsid w:val="0C9C1AB2"/>
    <w:rsid w:val="0CB71D8B"/>
    <w:rsid w:val="0CC21F7E"/>
    <w:rsid w:val="0CE20369"/>
    <w:rsid w:val="0D140AB5"/>
    <w:rsid w:val="0D6D4513"/>
    <w:rsid w:val="0D7511DD"/>
    <w:rsid w:val="0D814B78"/>
    <w:rsid w:val="0D927FE1"/>
    <w:rsid w:val="0E2A36F8"/>
    <w:rsid w:val="0E301687"/>
    <w:rsid w:val="0E6B427E"/>
    <w:rsid w:val="0E79744D"/>
    <w:rsid w:val="0E8D69FB"/>
    <w:rsid w:val="0E8E2093"/>
    <w:rsid w:val="0E927B6D"/>
    <w:rsid w:val="0E981627"/>
    <w:rsid w:val="0EB25028"/>
    <w:rsid w:val="0EC97439"/>
    <w:rsid w:val="0EDB3A0C"/>
    <w:rsid w:val="0F056591"/>
    <w:rsid w:val="0F1C2FA0"/>
    <w:rsid w:val="0F24110D"/>
    <w:rsid w:val="0F29494E"/>
    <w:rsid w:val="0F2E01F5"/>
    <w:rsid w:val="0F386586"/>
    <w:rsid w:val="0F39623B"/>
    <w:rsid w:val="0F7B4953"/>
    <w:rsid w:val="0F865924"/>
    <w:rsid w:val="0FCA42ED"/>
    <w:rsid w:val="0FD43E0E"/>
    <w:rsid w:val="0FEF02B3"/>
    <w:rsid w:val="103510F8"/>
    <w:rsid w:val="105D40D7"/>
    <w:rsid w:val="10A87B1C"/>
    <w:rsid w:val="10CD5241"/>
    <w:rsid w:val="10EA0134"/>
    <w:rsid w:val="10ED52A4"/>
    <w:rsid w:val="11186A50"/>
    <w:rsid w:val="112278CE"/>
    <w:rsid w:val="11357601"/>
    <w:rsid w:val="114E0FFF"/>
    <w:rsid w:val="116E48C1"/>
    <w:rsid w:val="11763776"/>
    <w:rsid w:val="11CC15E8"/>
    <w:rsid w:val="120668A8"/>
    <w:rsid w:val="12160F3D"/>
    <w:rsid w:val="12356491"/>
    <w:rsid w:val="12372F05"/>
    <w:rsid w:val="124E53FA"/>
    <w:rsid w:val="1260110A"/>
    <w:rsid w:val="1272342E"/>
    <w:rsid w:val="12883761"/>
    <w:rsid w:val="12AA1929"/>
    <w:rsid w:val="12C15382"/>
    <w:rsid w:val="1303728B"/>
    <w:rsid w:val="13054DB2"/>
    <w:rsid w:val="131319FC"/>
    <w:rsid w:val="13143247"/>
    <w:rsid w:val="13257202"/>
    <w:rsid w:val="134E6759"/>
    <w:rsid w:val="135D1254"/>
    <w:rsid w:val="136D43B7"/>
    <w:rsid w:val="13830445"/>
    <w:rsid w:val="13A22600"/>
    <w:rsid w:val="13C407C9"/>
    <w:rsid w:val="13C819BA"/>
    <w:rsid w:val="13CD4D8B"/>
    <w:rsid w:val="13E425D7"/>
    <w:rsid w:val="13F45CBF"/>
    <w:rsid w:val="141E40BC"/>
    <w:rsid w:val="14262E9B"/>
    <w:rsid w:val="143040B0"/>
    <w:rsid w:val="14403A45"/>
    <w:rsid w:val="1457788F"/>
    <w:rsid w:val="145943D0"/>
    <w:rsid w:val="145C01B3"/>
    <w:rsid w:val="146B158C"/>
    <w:rsid w:val="1499542D"/>
    <w:rsid w:val="14A3156B"/>
    <w:rsid w:val="14A64372"/>
    <w:rsid w:val="14BA1BCC"/>
    <w:rsid w:val="14C461C8"/>
    <w:rsid w:val="14CB202B"/>
    <w:rsid w:val="14E427F5"/>
    <w:rsid w:val="150B4413"/>
    <w:rsid w:val="150F0169"/>
    <w:rsid w:val="155B6F0B"/>
    <w:rsid w:val="155E04E8"/>
    <w:rsid w:val="15631831"/>
    <w:rsid w:val="15671D54"/>
    <w:rsid w:val="15BB1337"/>
    <w:rsid w:val="15EB1F18"/>
    <w:rsid w:val="15F1161D"/>
    <w:rsid w:val="15F1786F"/>
    <w:rsid w:val="161F618A"/>
    <w:rsid w:val="162C3A84"/>
    <w:rsid w:val="16563130"/>
    <w:rsid w:val="16573B76"/>
    <w:rsid w:val="165E505A"/>
    <w:rsid w:val="168D108C"/>
    <w:rsid w:val="16BF796D"/>
    <w:rsid w:val="16C531D6"/>
    <w:rsid w:val="16D328CA"/>
    <w:rsid w:val="16DB6903"/>
    <w:rsid w:val="16E64EFA"/>
    <w:rsid w:val="16FB6BF7"/>
    <w:rsid w:val="17051824"/>
    <w:rsid w:val="17233A58"/>
    <w:rsid w:val="17306175"/>
    <w:rsid w:val="173C4C06"/>
    <w:rsid w:val="176768F5"/>
    <w:rsid w:val="17791F9C"/>
    <w:rsid w:val="178D2BD4"/>
    <w:rsid w:val="17927AC3"/>
    <w:rsid w:val="17A675DA"/>
    <w:rsid w:val="17BA130C"/>
    <w:rsid w:val="17DD3619"/>
    <w:rsid w:val="17DF7190"/>
    <w:rsid w:val="1811526D"/>
    <w:rsid w:val="18253800"/>
    <w:rsid w:val="185C36C6"/>
    <w:rsid w:val="187106C9"/>
    <w:rsid w:val="187248BF"/>
    <w:rsid w:val="189E4367"/>
    <w:rsid w:val="18A5555C"/>
    <w:rsid w:val="18BC4BA4"/>
    <w:rsid w:val="18E65685"/>
    <w:rsid w:val="1914278E"/>
    <w:rsid w:val="192009C5"/>
    <w:rsid w:val="19235C4C"/>
    <w:rsid w:val="192373DC"/>
    <w:rsid w:val="192C753C"/>
    <w:rsid w:val="19404D95"/>
    <w:rsid w:val="195B59A7"/>
    <w:rsid w:val="197607B7"/>
    <w:rsid w:val="198B3B37"/>
    <w:rsid w:val="199C6C18"/>
    <w:rsid w:val="19B36BD2"/>
    <w:rsid w:val="19C111ED"/>
    <w:rsid w:val="19C92FDD"/>
    <w:rsid w:val="19DE010A"/>
    <w:rsid w:val="19FA0027"/>
    <w:rsid w:val="1A1D2DB6"/>
    <w:rsid w:val="1A242F35"/>
    <w:rsid w:val="1A32132F"/>
    <w:rsid w:val="1A41015D"/>
    <w:rsid w:val="1A5B5BFF"/>
    <w:rsid w:val="1A734275"/>
    <w:rsid w:val="1A7935F0"/>
    <w:rsid w:val="1A7D3DC7"/>
    <w:rsid w:val="1A8B64E4"/>
    <w:rsid w:val="1A8E701D"/>
    <w:rsid w:val="1A935399"/>
    <w:rsid w:val="1A97792D"/>
    <w:rsid w:val="1AC82203"/>
    <w:rsid w:val="1AF63BE2"/>
    <w:rsid w:val="1B0867D3"/>
    <w:rsid w:val="1B18764C"/>
    <w:rsid w:val="1B285AE1"/>
    <w:rsid w:val="1B3F4452"/>
    <w:rsid w:val="1B50588D"/>
    <w:rsid w:val="1B650AE3"/>
    <w:rsid w:val="1B661B3D"/>
    <w:rsid w:val="1B670870"/>
    <w:rsid w:val="1B79633D"/>
    <w:rsid w:val="1B860A5A"/>
    <w:rsid w:val="1B8A054A"/>
    <w:rsid w:val="1B920970"/>
    <w:rsid w:val="1BB47800"/>
    <w:rsid w:val="1BD017F2"/>
    <w:rsid w:val="1BDC2202"/>
    <w:rsid w:val="1C3B5CE8"/>
    <w:rsid w:val="1C4344EA"/>
    <w:rsid w:val="1C6012AB"/>
    <w:rsid w:val="1C76287C"/>
    <w:rsid w:val="1C8361D3"/>
    <w:rsid w:val="1C8D750E"/>
    <w:rsid w:val="1C8E5E18"/>
    <w:rsid w:val="1CB515F6"/>
    <w:rsid w:val="1CB966AD"/>
    <w:rsid w:val="1CCE090A"/>
    <w:rsid w:val="1CD04CA8"/>
    <w:rsid w:val="1CD4055C"/>
    <w:rsid w:val="1CDF06FA"/>
    <w:rsid w:val="1D136AE0"/>
    <w:rsid w:val="1D50131F"/>
    <w:rsid w:val="1D6B43AB"/>
    <w:rsid w:val="1D76712D"/>
    <w:rsid w:val="1D903E12"/>
    <w:rsid w:val="1DAF24EA"/>
    <w:rsid w:val="1DB16A76"/>
    <w:rsid w:val="1DFD79FA"/>
    <w:rsid w:val="1E195BB5"/>
    <w:rsid w:val="1E1D3D89"/>
    <w:rsid w:val="1E2910EE"/>
    <w:rsid w:val="1E4806DA"/>
    <w:rsid w:val="1E543ED0"/>
    <w:rsid w:val="1E592455"/>
    <w:rsid w:val="1E594203"/>
    <w:rsid w:val="1E675520"/>
    <w:rsid w:val="1E9419D9"/>
    <w:rsid w:val="1E9E60BA"/>
    <w:rsid w:val="1EA0326A"/>
    <w:rsid w:val="1EB3718E"/>
    <w:rsid w:val="1F271CAA"/>
    <w:rsid w:val="1F2E5690"/>
    <w:rsid w:val="1F612DD4"/>
    <w:rsid w:val="1F786535"/>
    <w:rsid w:val="1F8A7C85"/>
    <w:rsid w:val="1FA6791C"/>
    <w:rsid w:val="1FBF278C"/>
    <w:rsid w:val="1FCA53B9"/>
    <w:rsid w:val="1FCD4EA9"/>
    <w:rsid w:val="1FCF11BE"/>
    <w:rsid w:val="1FE16BA6"/>
    <w:rsid w:val="20084133"/>
    <w:rsid w:val="20126355"/>
    <w:rsid w:val="201C7BDE"/>
    <w:rsid w:val="201E384D"/>
    <w:rsid w:val="20453B84"/>
    <w:rsid w:val="205E1FA5"/>
    <w:rsid w:val="206155F1"/>
    <w:rsid w:val="208611A9"/>
    <w:rsid w:val="20A420AE"/>
    <w:rsid w:val="20B67C34"/>
    <w:rsid w:val="20C023B4"/>
    <w:rsid w:val="20C46F55"/>
    <w:rsid w:val="20F26920"/>
    <w:rsid w:val="20F52909"/>
    <w:rsid w:val="20F84124"/>
    <w:rsid w:val="21045244"/>
    <w:rsid w:val="210C1A01"/>
    <w:rsid w:val="21195F72"/>
    <w:rsid w:val="21552F6B"/>
    <w:rsid w:val="215762BB"/>
    <w:rsid w:val="216F6280"/>
    <w:rsid w:val="217C217E"/>
    <w:rsid w:val="21906A71"/>
    <w:rsid w:val="21A06EBB"/>
    <w:rsid w:val="21AC399A"/>
    <w:rsid w:val="21C44FBB"/>
    <w:rsid w:val="21D502CC"/>
    <w:rsid w:val="21EF7359"/>
    <w:rsid w:val="22121299"/>
    <w:rsid w:val="22172057"/>
    <w:rsid w:val="221D0C98"/>
    <w:rsid w:val="2220426F"/>
    <w:rsid w:val="222334A6"/>
    <w:rsid w:val="22391BFD"/>
    <w:rsid w:val="22561186"/>
    <w:rsid w:val="22644EBF"/>
    <w:rsid w:val="227925E0"/>
    <w:rsid w:val="228434A8"/>
    <w:rsid w:val="22847DBF"/>
    <w:rsid w:val="229D6DB5"/>
    <w:rsid w:val="22D3031E"/>
    <w:rsid w:val="22D36C7A"/>
    <w:rsid w:val="22DD18A7"/>
    <w:rsid w:val="22E91CD0"/>
    <w:rsid w:val="22ED7E98"/>
    <w:rsid w:val="232442AC"/>
    <w:rsid w:val="23403BE4"/>
    <w:rsid w:val="23503E27"/>
    <w:rsid w:val="235D02F2"/>
    <w:rsid w:val="235F6EB5"/>
    <w:rsid w:val="23A336AC"/>
    <w:rsid w:val="23C24BFB"/>
    <w:rsid w:val="244107CE"/>
    <w:rsid w:val="24681644"/>
    <w:rsid w:val="246D02D3"/>
    <w:rsid w:val="24883A94"/>
    <w:rsid w:val="24991B45"/>
    <w:rsid w:val="24F429C6"/>
    <w:rsid w:val="251610A0"/>
    <w:rsid w:val="252C7085"/>
    <w:rsid w:val="25407ECB"/>
    <w:rsid w:val="254E2E44"/>
    <w:rsid w:val="257106BE"/>
    <w:rsid w:val="25956469"/>
    <w:rsid w:val="25C855DC"/>
    <w:rsid w:val="25CD79B1"/>
    <w:rsid w:val="25DE45E5"/>
    <w:rsid w:val="261B4984"/>
    <w:rsid w:val="26526108"/>
    <w:rsid w:val="2683543F"/>
    <w:rsid w:val="26993F89"/>
    <w:rsid w:val="269B7AAF"/>
    <w:rsid w:val="26B648E9"/>
    <w:rsid w:val="26BC7A25"/>
    <w:rsid w:val="27080D80"/>
    <w:rsid w:val="27123BEA"/>
    <w:rsid w:val="271D6716"/>
    <w:rsid w:val="27321A96"/>
    <w:rsid w:val="273916EB"/>
    <w:rsid w:val="276E51C4"/>
    <w:rsid w:val="277E3046"/>
    <w:rsid w:val="278861DB"/>
    <w:rsid w:val="27CB43C4"/>
    <w:rsid w:val="27D52DDE"/>
    <w:rsid w:val="27DD21FD"/>
    <w:rsid w:val="27F91143"/>
    <w:rsid w:val="28037FA1"/>
    <w:rsid w:val="2829733C"/>
    <w:rsid w:val="283A3075"/>
    <w:rsid w:val="28441A80"/>
    <w:rsid w:val="28606A11"/>
    <w:rsid w:val="28793E20"/>
    <w:rsid w:val="28842327"/>
    <w:rsid w:val="28932267"/>
    <w:rsid w:val="28C62DB5"/>
    <w:rsid w:val="28DA679A"/>
    <w:rsid w:val="28DD25A7"/>
    <w:rsid w:val="292E501E"/>
    <w:rsid w:val="29437F8A"/>
    <w:rsid w:val="29450E71"/>
    <w:rsid w:val="29467199"/>
    <w:rsid w:val="29720E17"/>
    <w:rsid w:val="29780755"/>
    <w:rsid w:val="29841AA0"/>
    <w:rsid w:val="29CF0977"/>
    <w:rsid w:val="29DF4157"/>
    <w:rsid w:val="29F05DD9"/>
    <w:rsid w:val="29FF0355"/>
    <w:rsid w:val="2A15081D"/>
    <w:rsid w:val="2A336250"/>
    <w:rsid w:val="2A4915D0"/>
    <w:rsid w:val="2A53597C"/>
    <w:rsid w:val="2A5A3D62"/>
    <w:rsid w:val="2A655940"/>
    <w:rsid w:val="2A6D3510"/>
    <w:rsid w:val="2A73489F"/>
    <w:rsid w:val="2A84085A"/>
    <w:rsid w:val="2A9443C1"/>
    <w:rsid w:val="2AA812D6"/>
    <w:rsid w:val="2AAB4039"/>
    <w:rsid w:val="2AC33407"/>
    <w:rsid w:val="2AD27817"/>
    <w:rsid w:val="2AE90C7A"/>
    <w:rsid w:val="2AEA3261"/>
    <w:rsid w:val="2AFA0B1C"/>
    <w:rsid w:val="2B22254D"/>
    <w:rsid w:val="2B6A23CA"/>
    <w:rsid w:val="2B891498"/>
    <w:rsid w:val="2B9603B4"/>
    <w:rsid w:val="2B9B22FF"/>
    <w:rsid w:val="2BBC3D43"/>
    <w:rsid w:val="2BD001FB"/>
    <w:rsid w:val="2BE05F64"/>
    <w:rsid w:val="2BE4765A"/>
    <w:rsid w:val="2C0566A8"/>
    <w:rsid w:val="2C131E96"/>
    <w:rsid w:val="2C1837DA"/>
    <w:rsid w:val="2C206E2E"/>
    <w:rsid w:val="2C29790B"/>
    <w:rsid w:val="2C3C0C3E"/>
    <w:rsid w:val="2C481E3B"/>
    <w:rsid w:val="2C532BDA"/>
    <w:rsid w:val="2C5807BB"/>
    <w:rsid w:val="2C931228"/>
    <w:rsid w:val="2CB76CC5"/>
    <w:rsid w:val="2CC43190"/>
    <w:rsid w:val="2CCF0D4F"/>
    <w:rsid w:val="2CCF2ED3"/>
    <w:rsid w:val="2CD00FF0"/>
    <w:rsid w:val="2CF47F19"/>
    <w:rsid w:val="2D0143E4"/>
    <w:rsid w:val="2D09157D"/>
    <w:rsid w:val="2D283624"/>
    <w:rsid w:val="2D2B320F"/>
    <w:rsid w:val="2D320A41"/>
    <w:rsid w:val="2D450775"/>
    <w:rsid w:val="2D595579"/>
    <w:rsid w:val="2D5E5392"/>
    <w:rsid w:val="2D8F19F0"/>
    <w:rsid w:val="2DA03BFD"/>
    <w:rsid w:val="2DA37249"/>
    <w:rsid w:val="2DAF2092"/>
    <w:rsid w:val="2DB3100A"/>
    <w:rsid w:val="2DCA5E14"/>
    <w:rsid w:val="2DDF34B3"/>
    <w:rsid w:val="2E140F22"/>
    <w:rsid w:val="2E772BB0"/>
    <w:rsid w:val="2E9372BE"/>
    <w:rsid w:val="2E982C52"/>
    <w:rsid w:val="2EC934BB"/>
    <w:rsid w:val="2ED7364E"/>
    <w:rsid w:val="2EDE6786"/>
    <w:rsid w:val="2F0055DA"/>
    <w:rsid w:val="2F036FFA"/>
    <w:rsid w:val="2F126434"/>
    <w:rsid w:val="2F266384"/>
    <w:rsid w:val="2F37233F"/>
    <w:rsid w:val="2F5243F3"/>
    <w:rsid w:val="2F912493"/>
    <w:rsid w:val="2F963509"/>
    <w:rsid w:val="2FE272F9"/>
    <w:rsid w:val="301452F1"/>
    <w:rsid w:val="302C1778"/>
    <w:rsid w:val="302E54F0"/>
    <w:rsid w:val="30455AC0"/>
    <w:rsid w:val="304830E0"/>
    <w:rsid w:val="304D2506"/>
    <w:rsid w:val="30534C7B"/>
    <w:rsid w:val="305C56E5"/>
    <w:rsid w:val="305C71C0"/>
    <w:rsid w:val="30CC3BFA"/>
    <w:rsid w:val="30D003CA"/>
    <w:rsid w:val="30F07F5D"/>
    <w:rsid w:val="310E0E7D"/>
    <w:rsid w:val="313905F0"/>
    <w:rsid w:val="313C14C0"/>
    <w:rsid w:val="31634333"/>
    <w:rsid w:val="318E4E10"/>
    <w:rsid w:val="31C547E8"/>
    <w:rsid w:val="31CA56EC"/>
    <w:rsid w:val="31D40319"/>
    <w:rsid w:val="31EF3151"/>
    <w:rsid w:val="31F92DF5"/>
    <w:rsid w:val="3202689B"/>
    <w:rsid w:val="32242AD2"/>
    <w:rsid w:val="32254D18"/>
    <w:rsid w:val="32323B25"/>
    <w:rsid w:val="323F6B54"/>
    <w:rsid w:val="32426DFF"/>
    <w:rsid w:val="326A2A2B"/>
    <w:rsid w:val="32725326"/>
    <w:rsid w:val="3297178C"/>
    <w:rsid w:val="32BA1E25"/>
    <w:rsid w:val="32C043F9"/>
    <w:rsid w:val="32CA0CE2"/>
    <w:rsid w:val="32CE4D68"/>
    <w:rsid w:val="32D85BE7"/>
    <w:rsid w:val="32D9189F"/>
    <w:rsid w:val="32DF6F75"/>
    <w:rsid w:val="32E53E60"/>
    <w:rsid w:val="32EB591A"/>
    <w:rsid w:val="33031E69"/>
    <w:rsid w:val="331309CD"/>
    <w:rsid w:val="33185FE3"/>
    <w:rsid w:val="332E1CAB"/>
    <w:rsid w:val="333462FB"/>
    <w:rsid w:val="335214F5"/>
    <w:rsid w:val="336E3E55"/>
    <w:rsid w:val="336F76D2"/>
    <w:rsid w:val="33732CDF"/>
    <w:rsid w:val="337A5602"/>
    <w:rsid w:val="33A31D51"/>
    <w:rsid w:val="33BE6B8B"/>
    <w:rsid w:val="33E04D53"/>
    <w:rsid w:val="33EF143A"/>
    <w:rsid w:val="34030A42"/>
    <w:rsid w:val="340A6274"/>
    <w:rsid w:val="34193732"/>
    <w:rsid w:val="344277BC"/>
    <w:rsid w:val="344D74FD"/>
    <w:rsid w:val="344E43B3"/>
    <w:rsid w:val="345532F9"/>
    <w:rsid w:val="3474329C"/>
    <w:rsid w:val="34A578FA"/>
    <w:rsid w:val="34AA3116"/>
    <w:rsid w:val="34C957E7"/>
    <w:rsid w:val="34E42621"/>
    <w:rsid w:val="35074561"/>
    <w:rsid w:val="35134CB4"/>
    <w:rsid w:val="352B0250"/>
    <w:rsid w:val="353F5AA9"/>
    <w:rsid w:val="354C51AA"/>
    <w:rsid w:val="356A4AAD"/>
    <w:rsid w:val="356F1BE0"/>
    <w:rsid w:val="3572617F"/>
    <w:rsid w:val="358838F4"/>
    <w:rsid w:val="35AB26DA"/>
    <w:rsid w:val="35B0241C"/>
    <w:rsid w:val="35BE10C4"/>
    <w:rsid w:val="35F42D38"/>
    <w:rsid w:val="35F44A12"/>
    <w:rsid w:val="35FA7C22"/>
    <w:rsid w:val="362430BF"/>
    <w:rsid w:val="362638ED"/>
    <w:rsid w:val="3629686E"/>
    <w:rsid w:val="36327786"/>
    <w:rsid w:val="367E35B2"/>
    <w:rsid w:val="367F23F7"/>
    <w:rsid w:val="36886EDD"/>
    <w:rsid w:val="36A77DAA"/>
    <w:rsid w:val="36B5678E"/>
    <w:rsid w:val="36D047A4"/>
    <w:rsid w:val="36E77973"/>
    <w:rsid w:val="36EB7528"/>
    <w:rsid w:val="36F86858"/>
    <w:rsid w:val="3708072C"/>
    <w:rsid w:val="37115340"/>
    <w:rsid w:val="371D62BE"/>
    <w:rsid w:val="372A4537"/>
    <w:rsid w:val="37405B09"/>
    <w:rsid w:val="375F57F0"/>
    <w:rsid w:val="376850D3"/>
    <w:rsid w:val="37922808"/>
    <w:rsid w:val="379759D6"/>
    <w:rsid w:val="37A34A15"/>
    <w:rsid w:val="37AA33E4"/>
    <w:rsid w:val="37B101EB"/>
    <w:rsid w:val="37C60704"/>
    <w:rsid w:val="37E07842"/>
    <w:rsid w:val="37E8067A"/>
    <w:rsid w:val="37F214F9"/>
    <w:rsid w:val="37F52D28"/>
    <w:rsid w:val="37F54B45"/>
    <w:rsid w:val="37FA18E4"/>
    <w:rsid w:val="3805122C"/>
    <w:rsid w:val="3848736B"/>
    <w:rsid w:val="384D70E0"/>
    <w:rsid w:val="38547ABE"/>
    <w:rsid w:val="385E26EA"/>
    <w:rsid w:val="386A5533"/>
    <w:rsid w:val="388008B3"/>
    <w:rsid w:val="3898142C"/>
    <w:rsid w:val="38984519"/>
    <w:rsid w:val="38A87E0A"/>
    <w:rsid w:val="38AA5930"/>
    <w:rsid w:val="38B51BBB"/>
    <w:rsid w:val="38C75250"/>
    <w:rsid w:val="38CE5AC2"/>
    <w:rsid w:val="391F199F"/>
    <w:rsid w:val="39253208"/>
    <w:rsid w:val="392B4CC2"/>
    <w:rsid w:val="3930376D"/>
    <w:rsid w:val="396401AD"/>
    <w:rsid w:val="396C04C1"/>
    <w:rsid w:val="39701965"/>
    <w:rsid w:val="39A607ED"/>
    <w:rsid w:val="39AD1B7B"/>
    <w:rsid w:val="39CE1AF2"/>
    <w:rsid w:val="39E10461"/>
    <w:rsid w:val="39EC5228"/>
    <w:rsid w:val="39F96B6F"/>
    <w:rsid w:val="3A03773A"/>
    <w:rsid w:val="3A092B2A"/>
    <w:rsid w:val="3A2A4F7A"/>
    <w:rsid w:val="3A3E27D3"/>
    <w:rsid w:val="3A570DDB"/>
    <w:rsid w:val="3A606BEE"/>
    <w:rsid w:val="3A904DA0"/>
    <w:rsid w:val="3ACD59CC"/>
    <w:rsid w:val="3AD00993"/>
    <w:rsid w:val="3AD2116E"/>
    <w:rsid w:val="3AD9074E"/>
    <w:rsid w:val="3ADB0022"/>
    <w:rsid w:val="3AFC368E"/>
    <w:rsid w:val="3B0C4680"/>
    <w:rsid w:val="3B0F4170"/>
    <w:rsid w:val="3B36794F"/>
    <w:rsid w:val="3B543C9F"/>
    <w:rsid w:val="3B5B576D"/>
    <w:rsid w:val="3B714E2B"/>
    <w:rsid w:val="3BAF51F7"/>
    <w:rsid w:val="3BD10A61"/>
    <w:rsid w:val="3BEF38F1"/>
    <w:rsid w:val="3BF5665D"/>
    <w:rsid w:val="3BFA4E20"/>
    <w:rsid w:val="3BFC2946"/>
    <w:rsid w:val="3BFD046C"/>
    <w:rsid w:val="3C027831"/>
    <w:rsid w:val="3C0B0DDB"/>
    <w:rsid w:val="3C1001A0"/>
    <w:rsid w:val="3C213BAF"/>
    <w:rsid w:val="3C3C1242"/>
    <w:rsid w:val="3C4C6036"/>
    <w:rsid w:val="3C666012"/>
    <w:rsid w:val="3C6E6450"/>
    <w:rsid w:val="3C771FCD"/>
    <w:rsid w:val="3C7E7E4E"/>
    <w:rsid w:val="3C8C1F1C"/>
    <w:rsid w:val="3CA52FDE"/>
    <w:rsid w:val="3CDB50AA"/>
    <w:rsid w:val="3CEA434F"/>
    <w:rsid w:val="3CFC24D2"/>
    <w:rsid w:val="3CFF178B"/>
    <w:rsid w:val="3D0D512E"/>
    <w:rsid w:val="3D1D0DC6"/>
    <w:rsid w:val="3D5123A5"/>
    <w:rsid w:val="3D6B0D43"/>
    <w:rsid w:val="3D7467DA"/>
    <w:rsid w:val="3D791D75"/>
    <w:rsid w:val="3D992977"/>
    <w:rsid w:val="3DA9265A"/>
    <w:rsid w:val="3DBC4714"/>
    <w:rsid w:val="3DCD2FF3"/>
    <w:rsid w:val="3DD1395F"/>
    <w:rsid w:val="3DE21FBD"/>
    <w:rsid w:val="3E111FAD"/>
    <w:rsid w:val="3E2148E6"/>
    <w:rsid w:val="3E23065E"/>
    <w:rsid w:val="3E2A085F"/>
    <w:rsid w:val="3E573E64"/>
    <w:rsid w:val="3E9E5F37"/>
    <w:rsid w:val="3EA4203A"/>
    <w:rsid w:val="3EAA48DB"/>
    <w:rsid w:val="3EC62D97"/>
    <w:rsid w:val="3ECC2AA4"/>
    <w:rsid w:val="3EE71F8C"/>
    <w:rsid w:val="3F075CC4"/>
    <w:rsid w:val="3F0B2EA0"/>
    <w:rsid w:val="3F23578A"/>
    <w:rsid w:val="3F285800"/>
    <w:rsid w:val="3F2D2E17"/>
    <w:rsid w:val="3F3228BB"/>
    <w:rsid w:val="3F400D9C"/>
    <w:rsid w:val="3F436D2C"/>
    <w:rsid w:val="3F476FDD"/>
    <w:rsid w:val="3F607079"/>
    <w:rsid w:val="3F6C393F"/>
    <w:rsid w:val="3F6F342F"/>
    <w:rsid w:val="3F797C95"/>
    <w:rsid w:val="3FA0741C"/>
    <w:rsid w:val="3FA4757D"/>
    <w:rsid w:val="3FB03E19"/>
    <w:rsid w:val="3FB1125B"/>
    <w:rsid w:val="3FB47094"/>
    <w:rsid w:val="3FD1113F"/>
    <w:rsid w:val="3FE060DB"/>
    <w:rsid w:val="40071619"/>
    <w:rsid w:val="40104C12"/>
    <w:rsid w:val="40435CA6"/>
    <w:rsid w:val="40642868"/>
    <w:rsid w:val="406B38BC"/>
    <w:rsid w:val="40747CE6"/>
    <w:rsid w:val="4076211C"/>
    <w:rsid w:val="407D392A"/>
    <w:rsid w:val="40A97E53"/>
    <w:rsid w:val="40BC4452"/>
    <w:rsid w:val="40C05C4E"/>
    <w:rsid w:val="40C068B6"/>
    <w:rsid w:val="40D16AE4"/>
    <w:rsid w:val="40D31FE7"/>
    <w:rsid w:val="4105381B"/>
    <w:rsid w:val="415E375B"/>
    <w:rsid w:val="416E7E42"/>
    <w:rsid w:val="41717932"/>
    <w:rsid w:val="41832BC7"/>
    <w:rsid w:val="41BB6E00"/>
    <w:rsid w:val="41D34BA9"/>
    <w:rsid w:val="41D9033A"/>
    <w:rsid w:val="41EE2D31"/>
    <w:rsid w:val="41FF4F3E"/>
    <w:rsid w:val="421502BE"/>
    <w:rsid w:val="422363B0"/>
    <w:rsid w:val="42580EE9"/>
    <w:rsid w:val="42723962"/>
    <w:rsid w:val="42A866EA"/>
    <w:rsid w:val="42B555FD"/>
    <w:rsid w:val="42B64416"/>
    <w:rsid w:val="42F02098"/>
    <w:rsid w:val="42F6749F"/>
    <w:rsid w:val="42F75C15"/>
    <w:rsid w:val="430F2F5F"/>
    <w:rsid w:val="431E7646"/>
    <w:rsid w:val="431F63BB"/>
    <w:rsid w:val="432E715D"/>
    <w:rsid w:val="434150E2"/>
    <w:rsid w:val="43572B58"/>
    <w:rsid w:val="43801683"/>
    <w:rsid w:val="4387343D"/>
    <w:rsid w:val="438A4CDB"/>
    <w:rsid w:val="43A75913"/>
    <w:rsid w:val="43CA50D8"/>
    <w:rsid w:val="43D47D05"/>
    <w:rsid w:val="44004F9E"/>
    <w:rsid w:val="440202B5"/>
    <w:rsid w:val="440920A4"/>
    <w:rsid w:val="44106510"/>
    <w:rsid w:val="444F5470"/>
    <w:rsid w:val="44536725"/>
    <w:rsid w:val="44860528"/>
    <w:rsid w:val="448D47E5"/>
    <w:rsid w:val="44C37953"/>
    <w:rsid w:val="44DD0E3B"/>
    <w:rsid w:val="44FE2F30"/>
    <w:rsid w:val="45177768"/>
    <w:rsid w:val="45392A30"/>
    <w:rsid w:val="45603F14"/>
    <w:rsid w:val="45717F01"/>
    <w:rsid w:val="45726089"/>
    <w:rsid w:val="45842662"/>
    <w:rsid w:val="4597723C"/>
    <w:rsid w:val="45977244"/>
    <w:rsid w:val="459C3ECB"/>
    <w:rsid w:val="45A5551C"/>
    <w:rsid w:val="45C21DFF"/>
    <w:rsid w:val="45F06817"/>
    <w:rsid w:val="45FB5A1D"/>
    <w:rsid w:val="46050649"/>
    <w:rsid w:val="460E0283"/>
    <w:rsid w:val="4613720A"/>
    <w:rsid w:val="46405B25"/>
    <w:rsid w:val="4661564E"/>
    <w:rsid w:val="467F5A7B"/>
    <w:rsid w:val="46811E44"/>
    <w:rsid w:val="46881C14"/>
    <w:rsid w:val="468C48C7"/>
    <w:rsid w:val="469320F9"/>
    <w:rsid w:val="469D6AD4"/>
    <w:rsid w:val="46A75483"/>
    <w:rsid w:val="46EB5A91"/>
    <w:rsid w:val="46F74436"/>
    <w:rsid w:val="47060B1D"/>
    <w:rsid w:val="470E79D1"/>
    <w:rsid w:val="472258E4"/>
    <w:rsid w:val="47306EFC"/>
    <w:rsid w:val="474358CD"/>
    <w:rsid w:val="47563CF8"/>
    <w:rsid w:val="476D64A6"/>
    <w:rsid w:val="476F66C2"/>
    <w:rsid w:val="47867568"/>
    <w:rsid w:val="478D4D9A"/>
    <w:rsid w:val="479C6D8B"/>
    <w:rsid w:val="47A47D96"/>
    <w:rsid w:val="47BC7203"/>
    <w:rsid w:val="47EF7803"/>
    <w:rsid w:val="47FC782A"/>
    <w:rsid w:val="480C64C1"/>
    <w:rsid w:val="48284671"/>
    <w:rsid w:val="482A5323"/>
    <w:rsid w:val="482F4BFF"/>
    <w:rsid w:val="48352B96"/>
    <w:rsid w:val="48852288"/>
    <w:rsid w:val="4890451C"/>
    <w:rsid w:val="48995029"/>
    <w:rsid w:val="489F2FD7"/>
    <w:rsid w:val="48C400C8"/>
    <w:rsid w:val="48CA1AC2"/>
    <w:rsid w:val="48CD0AFD"/>
    <w:rsid w:val="48D05305"/>
    <w:rsid w:val="48FA020D"/>
    <w:rsid w:val="49124582"/>
    <w:rsid w:val="4937326A"/>
    <w:rsid w:val="495A096D"/>
    <w:rsid w:val="49787384"/>
    <w:rsid w:val="498F5F96"/>
    <w:rsid w:val="499618AE"/>
    <w:rsid w:val="49B23A7F"/>
    <w:rsid w:val="49B368B7"/>
    <w:rsid w:val="49BF3909"/>
    <w:rsid w:val="49C23456"/>
    <w:rsid w:val="49ED1E3B"/>
    <w:rsid w:val="4A154318"/>
    <w:rsid w:val="4A280DAA"/>
    <w:rsid w:val="4A2F038B"/>
    <w:rsid w:val="4A337EBE"/>
    <w:rsid w:val="4A3F3600"/>
    <w:rsid w:val="4A827A02"/>
    <w:rsid w:val="4A837093"/>
    <w:rsid w:val="4A8423CD"/>
    <w:rsid w:val="4AA2226B"/>
    <w:rsid w:val="4AC960E9"/>
    <w:rsid w:val="4B0D3952"/>
    <w:rsid w:val="4B176F5F"/>
    <w:rsid w:val="4B1B7193"/>
    <w:rsid w:val="4B35552D"/>
    <w:rsid w:val="4B583E70"/>
    <w:rsid w:val="4B91799E"/>
    <w:rsid w:val="4BA9349E"/>
    <w:rsid w:val="4BDE3E16"/>
    <w:rsid w:val="4BF944CE"/>
    <w:rsid w:val="4C07336D"/>
    <w:rsid w:val="4C2C3F0A"/>
    <w:rsid w:val="4C453E95"/>
    <w:rsid w:val="4C681932"/>
    <w:rsid w:val="4C83471F"/>
    <w:rsid w:val="4C8A6922"/>
    <w:rsid w:val="4C8D3147"/>
    <w:rsid w:val="4CA3648E"/>
    <w:rsid w:val="4CB116CD"/>
    <w:rsid w:val="4CB558B7"/>
    <w:rsid w:val="4CCA6D92"/>
    <w:rsid w:val="4CD46FC7"/>
    <w:rsid w:val="4CEA67EB"/>
    <w:rsid w:val="4CF27D6B"/>
    <w:rsid w:val="4CF970E6"/>
    <w:rsid w:val="4D137CC5"/>
    <w:rsid w:val="4D1F0243"/>
    <w:rsid w:val="4D4203D5"/>
    <w:rsid w:val="4D450975"/>
    <w:rsid w:val="4D5F0F87"/>
    <w:rsid w:val="4D704484"/>
    <w:rsid w:val="4D7553C0"/>
    <w:rsid w:val="4D983E8B"/>
    <w:rsid w:val="4DB12E65"/>
    <w:rsid w:val="4DE230D4"/>
    <w:rsid w:val="4DE3126F"/>
    <w:rsid w:val="4DF14A67"/>
    <w:rsid w:val="4E092CA1"/>
    <w:rsid w:val="4E21063A"/>
    <w:rsid w:val="4E2633B6"/>
    <w:rsid w:val="4E265601"/>
    <w:rsid w:val="4E347D1E"/>
    <w:rsid w:val="4E400C6D"/>
    <w:rsid w:val="4E6301AA"/>
    <w:rsid w:val="4E763ACD"/>
    <w:rsid w:val="4E803ED7"/>
    <w:rsid w:val="4E93713A"/>
    <w:rsid w:val="4E9407BC"/>
    <w:rsid w:val="4EC512BE"/>
    <w:rsid w:val="4ED51C9A"/>
    <w:rsid w:val="4ED96B17"/>
    <w:rsid w:val="4EDA11F7"/>
    <w:rsid w:val="4F1D6A04"/>
    <w:rsid w:val="4F387ACB"/>
    <w:rsid w:val="4F431A16"/>
    <w:rsid w:val="4F43623A"/>
    <w:rsid w:val="4F50502B"/>
    <w:rsid w:val="4F6173B8"/>
    <w:rsid w:val="4F8B6063"/>
    <w:rsid w:val="4FA26F09"/>
    <w:rsid w:val="4FB21842"/>
    <w:rsid w:val="4FC9041A"/>
    <w:rsid w:val="4FD87415"/>
    <w:rsid w:val="4FE7249A"/>
    <w:rsid w:val="4FF1730D"/>
    <w:rsid w:val="4FF359B6"/>
    <w:rsid w:val="4FF65EED"/>
    <w:rsid w:val="501F0559"/>
    <w:rsid w:val="5031667D"/>
    <w:rsid w:val="503E7252"/>
    <w:rsid w:val="504C354E"/>
    <w:rsid w:val="50566671"/>
    <w:rsid w:val="505952AE"/>
    <w:rsid w:val="506863A4"/>
    <w:rsid w:val="506910E1"/>
    <w:rsid w:val="507254B3"/>
    <w:rsid w:val="507B1FE1"/>
    <w:rsid w:val="50A36FA6"/>
    <w:rsid w:val="50B7484F"/>
    <w:rsid w:val="51021A24"/>
    <w:rsid w:val="512C73D2"/>
    <w:rsid w:val="51422751"/>
    <w:rsid w:val="514B3CFC"/>
    <w:rsid w:val="517D5E7F"/>
    <w:rsid w:val="518761F4"/>
    <w:rsid w:val="518E1E3B"/>
    <w:rsid w:val="519C08F1"/>
    <w:rsid w:val="51A85D04"/>
    <w:rsid w:val="51AB5CCC"/>
    <w:rsid w:val="51B51175"/>
    <w:rsid w:val="51B60666"/>
    <w:rsid w:val="51BB11A6"/>
    <w:rsid w:val="51D57A6A"/>
    <w:rsid w:val="51D84E64"/>
    <w:rsid w:val="51DD691E"/>
    <w:rsid w:val="51E7154B"/>
    <w:rsid w:val="51EF28F9"/>
    <w:rsid w:val="52181704"/>
    <w:rsid w:val="52822A67"/>
    <w:rsid w:val="52861A2D"/>
    <w:rsid w:val="528B0128"/>
    <w:rsid w:val="52972F71"/>
    <w:rsid w:val="52976ACD"/>
    <w:rsid w:val="529A3724"/>
    <w:rsid w:val="52B136CB"/>
    <w:rsid w:val="52B551A5"/>
    <w:rsid w:val="52BE22AC"/>
    <w:rsid w:val="52C40163"/>
    <w:rsid w:val="52C84ED8"/>
    <w:rsid w:val="52CA1025"/>
    <w:rsid w:val="52CB49C9"/>
    <w:rsid w:val="52CC0FE3"/>
    <w:rsid w:val="52E346D4"/>
    <w:rsid w:val="52E43B5E"/>
    <w:rsid w:val="52E90593"/>
    <w:rsid w:val="52EA029F"/>
    <w:rsid w:val="52EA30A1"/>
    <w:rsid w:val="52F656AA"/>
    <w:rsid w:val="53000B16"/>
    <w:rsid w:val="53231056"/>
    <w:rsid w:val="53476745"/>
    <w:rsid w:val="536C0DCF"/>
    <w:rsid w:val="536E3CD2"/>
    <w:rsid w:val="536F35A6"/>
    <w:rsid w:val="53956848"/>
    <w:rsid w:val="53963229"/>
    <w:rsid w:val="53A4001A"/>
    <w:rsid w:val="53A40CC6"/>
    <w:rsid w:val="53AA2830"/>
    <w:rsid w:val="53B13BBE"/>
    <w:rsid w:val="53D067E4"/>
    <w:rsid w:val="53D17DBD"/>
    <w:rsid w:val="53DC50DF"/>
    <w:rsid w:val="53F046E7"/>
    <w:rsid w:val="53F10747"/>
    <w:rsid w:val="53F4459D"/>
    <w:rsid w:val="541008E5"/>
    <w:rsid w:val="541B3294"/>
    <w:rsid w:val="54385E47"/>
    <w:rsid w:val="54445C4C"/>
    <w:rsid w:val="548A2B25"/>
    <w:rsid w:val="549E05E7"/>
    <w:rsid w:val="549F21E3"/>
    <w:rsid w:val="54D77655"/>
    <w:rsid w:val="54EB0FDD"/>
    <w:rsid w:val="54ED61B8"/>
    <w:rsid w:val="54FE4BE1"/>
    <w:rsid w:val="552D196B"/>
    <w:rsid w:val="55413F6A"/>
    <w:rsid w:val="55442859"/>
    <w:rsid w:val="557C149B"/>
    <w:rsid w:val="557D644E"/>
    <w:rsid w:val="5587107B"/>
    <w:rsid w:val="55935C72"/>
    <w:rsid w:val="5594498E"/>
    <w:rsid w:val="559A58FE"/>
    <w:rsid w:val="55A075A1"/>
    <w:rsid w:val="55BF0815"/>
    <w:rsid w:val="55C57B92"/>
    <w:rsid w:val="55C716E5"/>
    <w:rsid w:val="55D3606E"/>
    <w:rsid w:val="560939B3"/>
    <w:rsid w:val="560B3A5A"/>
    <w:rsid w:val="561346BC"/>
    <w:rsid w:val="56170651"/>
    <w:rsid w:val="56593CAE"/>
    <w:rsid w:val="56832864"/>
    <w:rsid w:val="5684380C"/>
    <w:rsid w:val="56A44689"/>
    <w:rsid w:val="56CE49F6"/>
    <w:rsid w:val="56DE6F0E"/>
    <w:rsid w:val="573B502A"/>
    <w:rsid w:val="578D15B1"/>
    <w:rsid w:val="57917F8F"/>
    <w:rsid w:val="579F74A6"/>
    <w:rsid w:val="57C71C02"/>
    <w:rsid w:val="57DB4F33"/>
    <w:rsid w:val="57DE4511"/>
    <w:rsid w:val="57EF7B57"/>
    <w:rsid w:val="58095D77"/>
    <w:rsid w:val="580A377A"/>
    <w:rsid w:val="582B2191"/>
    <w:rsid w:val="583F7C73"/>
    <w:rsid w:val="584B45E2"/>
    <w:rsid w:val="585D73F9"/>
    <w:rsid w:val="58670CF0"/>
    <w:rsid w:val="58692C34"/>
    <w:rsid w:val="586A51AB"/>
    <w:rsid w:val="586E0825"/>
    <w:rsid w:val="587A55B9"/>
    <w:rsid w:val="588A14B3"/>
    <w:rsid w:val="589369E4"/>
    <w:rsid w:val="58A75590"/>
    <w:rsid w:val="58BF6D7E"/>
    <w:rsid w:val="58CA7BFC"/>
    <w:rsid w:val="58FA064D"/>
    <w:rsid w:val="59374B66"/>
    <w:rsid w:val="5939706E"/>
    <w:rsid w:val="5952374E"/>
    <w:rsid w:val="596820CB"/>
    <w:rsid w:val="598A738C"/>
    <w:rsid w:val="59A76A8B"/>
    <w:rsid w:val="59A81D89"/>
    <w:rsid w:val="59B0334F"/>
    <w:rsid w:val="59F2429E"/>
    <w:rsid w:val="59F760A3"/>
    <w:rsid w:val="59FE5684"/>
    <w:rsid w:val="5A056A12"/>
    <w:rsid w:val="5A1433A1"/>
    <w:rsid w:val="5A252C10"/>
    <w:rsid w:val="5A420983"/>
    <w:rsid w:val="5A4C3730"/>
    <w:rsid w:val="5A5B2AD6"/>
    <w:rsid w:val="5A663955"/>
    <w:rsid w:val="5A7700FC"/>
    <w:rsid w:val="5A9B4133"/>
    <w:rsid w:val="5A9B6ADF"/>
    <w:rsid w:val="5AA224B3"/>
    <w:rsid w:val="5AAD1584"/>
    <w:rsid w:val="5AAE2C06"/>
    <w:rsid w:val="5AAE7B76"/>
    <w:rsid w:val="5ACB7C5C"/>
    <w:rsid w:val="5AE605F2"/>
    <w:rsid w:val="5AFE3B8D"/>
    <w:rsid w:val="5B0A0784"/>
    <w:rsid w:val="5B392E17"/>
    <w:rsid w:val="5B5714EF"/>
    <w:rsid w:val="5B6E183A"/>
    <w:rsid w:val="5B7B3430"/>
    <w:rsid w:val="5B995664"/>
    <w:rsid w:val="5B9C5154"/>
    <w:rsid w:val="5C0602B9"/>
    <w:rsid w:val="5C12559D"/>
    <w:rsid w:val="5C34538D"/>
    <w:rsid w:val="5C4175B7"/>
    <w:rsid w:val="5C423DAC"/>
    <w:rsid w:val="5C4750C0"/>
    <w:rsid w:val="5C482BEC"/>
    <w:rsid w:val="5C4F1B7F"/>
    <w:rsid w:val="5C6D112F"/>
    <w:rsid w:val="5C82434A"/>
    <w:rsid w:val="5C910A31"/>
    <w:rsid w:val="5CB70498"/>
    <w:rsid w:val="5CBA224D"/>
    <w:rsid w:val="5CF948C1"/>
    <w:rsid w:val="5D2F6D3A"/>
    <w:rsid w:val="5D3A4C25"/>
    <w:rsid w:val="5D603E5F"/>
    <w:rsid w:val="5D620742"/>
    <w:rsid w:val="5D740137"/>
    <w:rsid w:val="5D74287E"/>
    <w:rsid w:val="5DA0717E"/>
    <w:rsid w:val="5DA54794"/>
    <w:rsid w:val="5DAC7782"/>
    <w:rsid w:val="5DEC69E0"/>
    <w:rsid w:val="5DED7EE9"/>
    <w:rsid w:val="5E032122"/>
    <w:rsid w:val="5E096A51"/>
    <w:rsid w:val="5E3F4C31"/>
    <w:rsid w:val="5E481AD2"/>
    <w:rsid w:val="5E5341F0"/>
    <w:rsid w:val="5E6C3504"/>
    <w:rsid w:val="5E98585A"/>
    <w:rsid w:val="5E9F5687"/>
    <w:rsid w:val="5EC2126D"/>
    <w:rsid w:val="5ED40878"/>
    <w:rsid w:val="5EFA065B"/>
    <w:rsid w:val="5F1D65AC"/>
    <w:rsid w:val="5F217E4A"/>
    <w:rsid w:val="5F352762"/>
    <w:rsid w:val="5F84662B"/>
    <w:rsid w:val="5F980626"/>
    <w:rsid w:val="5FA85D86"/>
    <w:rsid w:val="5FDC7576"/>
    <w:rsid w:val="60003F04"/>
    <w:rsid w:val="60051670"/>
    <w:rsid w:val="6005732F"/>
    <w:rsid w:val="601B5BE1"/>
    <w:rsid w:val="604152F7"/>
    <w:rsid w:val="604162CA"/>
    <w:rsid w:val="6065645C"/>
    <w:rsid w:val="60687CFB"/>
    <w:rsid w:val="606C7440"/>
    <w:rsid w:val="607859FD"/>
    <w:rsid w:val="608A2C09"/>
    <w:rsid w:val="60956900"/>
    <w:rsid w:val="60A32AE1"/>
    <w:rsid w:val="60B371C8"/>
    <w:rsid w:val="60BB42CE"/>
    <w:rsid w:val="60C82547"/>
    <w:rsid w:val="60D8398A"/>
    <w:rsid w:val="60EE4CAE"/>
    <w:rsid w:val="60F8107F"/>
    <w:rsid w:val="61023CAB"/>
    <w:rsid w:val="612B4FB0"/>
    <w:rsid w:val="613025C6"/>
    <w:rsid w:val="61557BC0"/>
    <w:rsid w:val="61774699"/>
    <w:rsid w:val="61A3723C"/>
    <w:rsid w:val="61A84853"/>
    <w:rsid w:val="61E026E2"/>
    <w:rsid w:val="61E47F27"/>
    <w:rsid w:val="61F724F5"/>
    <w:rsid w:val="61F743F0"/>
    <w:rsid w:val="6208148B"/>
    <w:rsid w:val="62165C60"/>
    <w:rsid w:val="62285994"/>
    <w:rsid w:val="625D4A21"/>
    <w:rsid w:val="62610AFD"/>
    <w:rsid w:val="62722071"/>
    <w:rsid w:val="627F6C32"/>
    <w:rsid w:val="62A3501A"/>
    <w:rsid w:val="62B13E15"/>
    <w:rsid w:val="62B87005"/>
    <w:rsid w:val="62CB49A1"/>
    <w:rsid w:val="62F675F7"/>
    <w:rsid w:val="63133D3B"/>
    <w:rsid w:val="63212B0F"/>
    <w:rsid w:val="634D0715"/>
    <w:rsid w:val="636E5144"/>
    <w:rsid w:val="636E7A2E"/>
    <w:rsid w:val="63A868D6"/>
    <w:rsid w:val="63B15515"/>
    <w:rsid w:val="63B35731"/>
    <w:rsid w:val="63B400F7"/>
    <w:rsid w:val="63C70247"/>
    <w:rsid w:val="63C94F54"/>
    <w:rsid w:val="63D2647C"/>
    <w:rsid w:val="63FF2724"/>
    <w:rsid w:val="640D3093"/>
    <w:rsid w:val="640E515F"/>
    <w:rsid w:val="643979E4"/>
    <w:rsid w:val="644F5459"/>
    <w:rsid w:val="64567BF4"/>
    <w:rsid w:val="646778EE"/>
    <w:rsid w:val="646B1B68"/>
    <w:rsid w:val="647E189B"/>
    <w:rsid w:val="64833355"/>
    <w:rsid w:val="64917820"/>
    <w:rsid w:val="649B069F"/>
    <w:rsid w:val="651421FF"/>
    <w:rsid w:val="65336B29"/>
    <w:rsid w:val="653749BB"/>
    <w:rsid w:val="65395151"/>
    <w:rsid w:val="656942F9"/>
    <w:rsid w:val="656C5B97"/>
    <w:rsid w:val="657D5FF6"/>
    <w:rsid w:val="658A6AA3"/>
    <w:rsid w:val="658F2F2B"/>
    <w:rsid w:val="659473B3"/>
    <w:rsid w:val="65962C14"/>
    <w:rsid w:val="65A50295"/>
    <w:rsid w:val="65DA51F7"/>
    <w:rsid w:val="660758C0"/>
    <w:rsid w:val="66456B14"/>
    <w:rsid w:val="665D2485"/>
    <w:rsid w:val="66604720"/>
    <w:rsid w:val="668D04BB"/>
    <w:rsid w:val="66B612EF"/>
    <w:rsid w:val="66E52B79"/>
    <w:rsid w:val="66EC6F90"/>
    <w:rsid w:val="67147E3D"/>
    <w:rsid w:val="6727621A"/>
    <w:rsid w:val="672D101A"/>
    <w:rsid w:val="67452271"/>
    <w:rsid w:val="67692C8D"/>
    <w:rsid w:val="6770621A"/>
    <w:rsid w:val="6773145F"/>
    <w:rsid w:val="67A6558D"/>
    <w:rsid w:val="67C82D2D"/>
    <w:rsid w:val="67D15A64"/>
    <w:rsid w:val="67EE7F2F"/>
    <w:rsid w:val="680B5C16"/>
    <w:rsid w:val="682122BF"/>
    <w:rsid w:val="6840351D"/>
    <w:rsid w:val="684B5F38"/>
    <w:rsid w:val="68570D81"/>
    <w:rsid w:val="685A6C2A"/>
    <w:rsid w:val="685F19E3"/>
    <w:rsid w:val="68770597"/>
    <w:rsid w:val="689B6EBF"/>
    <w:rsid w:val="689E250C"/>
    <w:rsid w:val="68DC3034"/>
    <w:rsid w:val="68F20AA9"/>
    <w:rsid w:val="68F760C0"/>
    <w:rsid w:val="68FC5484"/>
    <w:rsid w:val="69184476"/>
    <w:rsid w:val="692A320A"/>
    <w:rsid w:val="695120D6"/>
    <w:rsid w:val="695732E1"/>
    <w:rsid w:val="697D7C9D"/>
    <w:rsid w:val="69875730"/>
    <w:rsid w:val="698931BC"/>
    <w:rsid w:val="699D0A15"/>
    <w:rsid w:val="69B7722D"/>
    <w:rsid w:val="69BE5D11"/>
    <w:rsid w:val="69DD313F"/>
    <w:rsid w:val="69E63E4A"/>
    <w:rsid w:val="69ED4FB2"/>
    <w:rsid w:val="6A0500D9"/>
    <w:rsid w:val="6A705FAC"/>
    <w:rsid w:val="6A975BCB"/>
    <w:rsid w:val="6AB61A12"/>
    <w:rsid w:val="6AB9362D"/>
    <w:rsid w:val="6ACB7804"/>
    <w:rsid w:val="6ACD0E86"/>
    <w:rsid w:val="6ACD7F28"/>
    <w:rsid w:val="6B106FC5"/>
    <w:rsid w:val="6B1E555A"/>
    <w:rsid w:val="6B3A454B"/>
    <w:rsid w:val="6B8359E9"/>
    <w:rsid w:val="6B8A511D"/>
    <w:rsid w:val="6B9A725A"/>
    <w:rsid w:val="6BA936A1"/>
    <w:rsid w:val="6BAB44CE"/>
    <w:rsid w:val="6BB87D88"/>
    <w:rsid w:val="6BC71D79"/>
    <w:rsid w:val="6BD34BC2"/>
    <w:rsid w:val="6BDB6412"/>
    <w:rsid w:val="6BF803B2"/>
    <w:rsid w:val="6C07486C"/>
    <w:rsid w:val="6C1976E6"/>
    <w:rsid w:val="6C4B378C"/>
    <w:rsid w:val="6C7A6EA4"/>
    <w:rsid w:val="6C9600A2"/>
    <w:rsid w:val="6CA51568"/>
    <w:rsid w:val="6CC04577"/>
    <w:rsid w:val="6CC27A48"/>
    <w:rsid w:val="6CF56FD0"/>
    <w:rsid w:val="6D064B23"/>
    <w:rsid w:val="6D072FAD"/>
    <w:rsid w:val="6D18628B"/>
    <w:rsid w:val="6D2B458A"/>
    <w:rsid w:val="6D5C2995"/>
    <w:rsid w:val="6D5D0BE7"/>
    <w:rsid w:val="6D756376"/>
    <w:rsid w:val="6D7849D4"/>
    <w:rsid w:val="6D807AFB"/>
    <w:rsid w:val="6DAA49C6"/>
    <w:rsid w:val="6DB90012"/>
    <w:rsid w:val="6DCD6AE5"/>
    <w:rsid w:val="6DCF7FB8"/>
    <w:rsid w:val="6DE41DE6"/>
    <w:rsid w:val="6DE90DC0"/>
    <w:rsid w:val="6DEF55B7"/>
    <w:rsid w:val="6DF57072"/>
    <w:rsid w:val="6E1B63AC"/>
    <w:rsid w:val="6E2D1BCD"/>
    <w:rsid w:val="6E443B55"/>
    <w:rsid w:val="6E786EA7"/>
    <w:rsid w:val="6E7945EA"/>
    <w:rsid w:val="6E7B6E4B"/>
    <w:rsid w:val="6E7F7B53"/>
    <w:rsid w:val="6EF20050"/>
    <w:rsid w:val="6F0137F4"/>
    <w:rsid w:val="6F082DD5"/>
    <w:rsid w:val="6F1B2B08"/>
    <w:rsid w:val="6F414601"/>
    <w:rsid w:val="6F876FEC"/>
    <w:rsid w:val="6F967F01"/>
    <w:rsid w:val="6FDB4045"/>
    <w:rsid w:val="6FE07FF9"/>
    <w:rsid w:val="6FEA45E5"/>
    <w:rsid w:val="70047F02"/>
    <w:rsid w:val="70062988"/>
    <w:rsid w:val="700E768A"/>
    <w:rsid w:val="700F2DE0"/>
    <w:rsid w:val="703A1840"/>
    <w:rsid w:val="70466E65"/>
    <w:rsid w:val="706D08D3"/>
    <w:rsid w:val="70B2594D"/>
    <w:rsid w:val="70BD10B1"/>
    <w:rsid w:val="70C54B3A"/>
    <w:rsid w:val="70CC631B"/>
    <w:rsid w:val="7113780F"/>
    <w:rsid w:val="71211F2C"/>
    <w:rsid w:val="712425FD"/>
    <w:rsid w:val="7130216F"/>
    <w:rsid w:val="713E3C66"/>
    <w:rsid w:val="714479C8"/>
    <w:rsid w:val="715E6CDC"/>
    <w:rsid w:val="71681909"/>
    <w:rsid w:val="71864485"/>
    <w:rsid w:val="71865B23"/>
    <w:rsid w:val="719B7F30"/>
    <w:rsid w:val="71A20EE5"/>
    <w:rsid w:val="71A3637F"/>
    <w:rsid w:val="71DB657E"/>
    <w:rsid w:val="71E678B8"/>
    <w:rsid w:val="71EF5179"/>
    <w:rsid w:val="71FC214C"/>
    <w:rsid w:val="7205184D"/>
    <w:rsid w:val="721750DD"/>
    <w:rsid w:val="72181581"/>
    <w:rsid w:val="721D0945"/>
    <w:rsid w:val="722872EA"/>
    <w:rsid w:val="723839D1"/>
    <w:rsid w:val="7242038C"/>
    <w:rsid w:val="7258197D"/>
    <w:rsid w:val="725956F5"/>
    <w:rsid w:val="7275252F"/>
    <w:rsid w:val="72B56DCF"/>
    <w:rsid w:val="72C52D6C"/>
    <w:rsid w:val="72F42900"/>
    <w:rsid w:val="72F458ED"/>
    <w:rsid w:val="72FF44EF"/>
    <w:rsid w:val="73101C08"/>
    <w:rsid w:val="736B3932"/>
    <w:rsid w:val="737F2F3A"/>
    <w:rsid w:val="739369E5"/>
    <w:rsid w:val="73C9540C"/>
    <w:rsid w:val="73CF6A1B"/>
    <w:rsid w:val="73D96AEE"/>
    <w:rsid w:val="73E21E46"/>
    <w:rsid w:val="73EA2AA9"/>
    <w:rsid w:val="741E2752"/>
    <w:rsid w:val="7444344F"/>
    <w:rsid w:val="745201E6"/>
    <w:rsid w:val="745952F6"/>
    <w:rsid w:val="746809A7"/>
    <w:rsid w:val="746C5BB4"/>
    <w:rsid w:val="7487397A"/>
    <w:rsid w:val="74B76CA4"/>
    <w:rsid w:val="74C4779E"/>
    <w:rsid w:val="74C7103C"/>
    <w:rsid w:val="74E03EAC"/>
    <w:rsid w:val="74E46F7D"/>
    <w:rsid w:val="74F02341"/>
    <w:rsid w:val="74F6722B"/>
    <w:rsid w:val="74F9786C"/>
    <w:rsid w:val="750F1273"/>
    <w:rsid w:val="752714C3"/>
    <w:rsid w:val="753E10E9"/>
    <w:rsid w:val="757F310D"/>
    <w:rsid w:val="7582410B"/>
    <w:rsid w:val="75A547CB"/>
    <w:rsid w:val="75C25B23"/>
    <w:rsid w:val="75EC4704"/>
    <w:rsid w:val="75F11025"/>
    <w:rsid w:val="760C31AA"/>
    <w:rsid w:val="761A5F06"/>
    <w:rsid w:val="761D53B8"/>
    <w:rsid w:val="76295FBB"/>
    <w:rsid w:val="762A3631"/>
    <w:rsid w:val="76377102"/>
    <w:rsid w:val="763776FA"/>
    <w:rsid w:val="763C6734"/>
    <w:rsid w:val="76670125"/>
    <w:rsid w:val="76733229"/>
    <w:rsid w:val="76A827A7"/>
    <w:rsid w:val="76A908A5"/>
    <w:rsid w:val="76C23869"/>
    <w:rsid w:val="76D36F81"/>
    <w:rsid w:val="76F37EC6"/>
    <w:rsid w:val="76F854DD"/>
    <w:rsid w:val="76FD0D45"/>
    <w:rsid w:val="77232203"/>
    <w:rsid w:val="77242E84"/>
    <w:rsid w:val="772F6015"/>
    <w:rsid w:val="77550B81"/>
    <w:rsid w:val="775748F9"/>
    <w:rsid w:val="776A46A3"/>
    <w:rsid w:val="7771278D"/>
    <w:rsid w:val="779A47E6"/>
    <w:rsid w:val="77A15665"/>
    <w:rsid w:val="77AB254F"/>
    <w:rsid w:val="77AE203F"/>
    <w:rsid w:val="77DE2925"/>
    <w:rsid w:val="77E617D9"/>
    <w:rsid w:val="78484242"/>
    <w:rsid w:val="788B637D"/>
    <w:rsid w:val="78CE2999"/>
    <w:rsid w:val="78E03514"/>
    <w:rsid w:val="78E6547C"/>
    <w:rsid w:val="78E977D3"/>
    <w:rsid w:val="78F543CA"/>
    <w:rsid w:val="78FA19E0"/>
    <w:rsid w:val="78FA433C"/>
    <w:rsid w:val="79004B1D"/>
    <w:rsid w:val="790A7BB4"/>
    <w:rsid w:val="790E033D"/>
    <w:rsid w:val="79134850"/>
    <w:rsid w:val="79222CE5"/>
    <w:rsid w:val="793600ED"/>
    <w:rsid w:val="79420C91"/>
    <w:rsid w:val="7961251D"/>
    <w:rsid w:val="796B468C"/>
    <w:rsid w:val="79863274"/>
    <w:rsid w:val="799C1992"/>
    <w:rsid w:val="79A13C0A"/>
    <w:rsid w:val="79A2737E"/>
    <w:rsid w:val="79AF41C8"/>
    <w:rsid w:val="79B76167"/>
    <w:rsid w:val="79B95716"/>
    <w:rsid w:val="79E179F6"/>
    <w:rsid w:val="79E61CF7"/>
    <w:rsid w:val="7A116285"/>
    <w:rsid w:val="7A335FD5"/>
    <w:rsid w:val="7A431165"/>
    <w:rsid w:val="7A57588E"/>
    <w:rsid w:val="7A855D00"/>
    <w:rsid w:val="7AF52A9F"/>
    <w:rsid w:val="7B032A3A"/>
    <w:rsid w:val="7B057AEC"/>
    <w:rsid w:val="7B094716"/>
    <w:rsid w:val="7B0C59FB"/>
    <w:rsid w:val="7B1D19B6"/>
    <w:rsid w:val="7B651102"/>
    <w:rsid w:val="7B6770D5"/>
    <w:rsid w:val="7B7231D9"/>
    <w:rsid w:val="7B7841EE"/>
    <w:rsid w:val="7B7C6146"/>
    <w:rsid w:val="7B7D45BD"/>
    <w:rsid w:val="7B8330AA"/>
    <w:rsid w:val="7B937ECA"/>
    <w:rsid w:val="7B95154C"/>
    <w:rsid w:val="7B9559F0"/>
    <w:rsid w:val="7BA2010D"/>
    <w:rsid w:val="7BB035FB"/>
    <w:rsid w:val="7BBD36CA"/>
    <w:rsid w:val="7BCE32A9"/>
    <w:rsid w:val="7C0456E2"/>
    <w:rsid w:val="7C084414"/>
    <w:rsid w:val="7C120D88"/>
    <w:rsid w:val="7C23124E"/>
    <w:rsid w:val="7C282F2D"/>
    <w:rsid w:val="7C28597A"/>
    <w:rsid w:val="7C3E1F66"/>
    <w:rsid w:val="7C5E5DE2"/>
    <w:rsid w:val="7C6565A2"/>
    <w:rsid w:val="7C730C1B"/>
    <w:rsid w:val="7C9A188C"/>
    <w:rsid w:val="7C9B5288"/>
    <w:rsid w:val="7CA46D00"/>
    <w:rsid w:val="7CC20EBA"/>
    <w:rsid w:val="7CE0713F"/>
    <w:rsid w:val="7CF71AB3"/>
    <w:rsid w:val="7D250FF6"/>
    <w:rsid w:val="7D2F243B"/>
    <w:rsid w:val="7D702FA0"/>
    <w:rsid w:val="7D71105E"/>
    <w:rsid w:val="7DD21CB8"/>
    <w:rsid w:val="7DD74C89"/>
    <w:rsid w:val="7DE83EE6"/>
    <w:rsid w:val="7E074257"/>
    <w:rsid w:val="7E1219AA"/>
    <w:rsid w:val="7E1E7DA8"/>
    <w:rsid w:val="7E292D8B"/>
    <w:rsid w:val="7E350DC4"/>
    <w:rsid w:val="7E443756"/>
    <w:rsid w:val="7E490D14"/>
    <w:rsid w:val="7E5609C6"/>
    <w:rsid w:val="7E5A4CCF"/>
    <w:rsid w:val="7E663674"/>
    <w:rsid w:val="7E8A7362"/>
    <w:rsid w:val="7EA2350B"/>
    <w:rsid w:val="7EB048EF"/>
    <w:rsid w:val="7EC8020D"/>
    <w:rsid w:val="7ECA21EB"/>
    <w:rsid w:val="7EE231C5"/>
    <w:rsid w:val="7F2A5A27"/>
    <w:rsid w:val="7F2C3092"/>
    <w:rsid w:val="7F45772D"/>
    <w:rsid w:val="7F4A1E5B"/>
    <w:rsid w:val="7F650DC4"/>
    <w:rsid w:val="7F7E49ED"/>
    <w:rsid w:val="7FB70AAF"/>
    <w:rsid w:val="7FDE0B61"/>
    <w:rsid w:val="7FF33FBC"/>
    <w:rsid w:val="7FFB2C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1"/>
    <w:basedOn w:val="1"/>
    <w:next w:val="1"/>
    <w:link w:val="92"/>
    <w:qFormat/>
    <w:uiPriority w:val="0"/>
    <w:pPr>
      <w:keepNext/>
      <w:keepLines/>
      <w:spacing w:before="340" w:after="330" w:line="576" w:lineRule="auto"/>
      <w:outlineLvl w:val="0"/>
    </w:pPr>
    <w:rPr>
      <w:b/>
      <w:kern w:val="44"/>
      <w:sz w:val="44"/>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widowControl/>
      <w:ind w:left="1400" w:firstLine="1136"/>
      <w:outlineLvl w:val="2"/>
    </w:pPr>
    <w:rPr>
      <w:rFonts w:ascii="宋体" w:hAnsi="宋体" w:eastAsia="Times New Roman"/>
    </w:rPr>
  </w:style>
  <w:style w:type="character" w:default="1" w:styleId="28">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annotation text"/>
    <w:basedOn w:val="1"/>
    <w:qFormat/>
    <w:uiPriority w:val="0"/>
    <w:pPr>
      <w:jc w:val="left"/>
    </w:pPr>
  </w:style>
  <w:style w:type="paragraph" w:styleId="7">
    <w:name w:val="Body Text"/>
    <w:basedOn w:val="1"/>
    <w:qFormat/>
    <w:uiPriority w:val="0"/>
    <w:rPr>
      <w:rFonts w:ascii="宋体" w:hAnsi="宋体" w:eastAsia="宋体" w:cs="宋体"/>
      <w:sz w:val="17"/>
      <w:szCs w:val="17"/>
      <w:lang w:val="zh-CN" w:bidi="zh-CN"/>
    </w:rPr>
  </w:style>
  <w:style w:type="paragraph" w:styleId="8">
    <w:name w:val="Body Text Indent"/>
    <w:basedOn w:val="1"/>
    <w:link w:val="65"/>
    <w:qFormat/>
    <w:uiPriority w:val="99"/>
    <w:pPr>
      <w:spacing w:after="120"/>
      <w:ind w:left="420" w:leftChars="200"/>
    </w:pPr>
  </w:style>
  <w:style w:type="paragraph" w:styleId="9">
    <w:name w:val="Balloon Text"/>
    <w:basedOn w:val="1"/>
    <w:link w:val="63"/>
    <w:qFormat/>
    <w:uiPriority w:val="0"/>
    <w:rPr>
      <w:sz w:val="18"/>
      <w:szCs w:val="18"/>
    </w:rPr>
  </w:style>
  <w:style w:type="paragraph" w:styleId="10">
    <w:name w:val="footer"/>
    <w:basedOn w:val="1"/>
    <w:link w:val="64"/>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style>
  <w:style w:type="paragraph" w:styleId="13">
    <w:name w:val="List"/>
    <w:basedOn w:val="1"/>
    <w:qFormat/>
    <w:uiPriority w:val="0"/>
    <w:pPr>
      <w:ind w:left="200" w:hanging="200" w:hangingChars="200"/>
    </w:pPr>
  </w:style>
  <w:style w:type="paragraph" w:styleId="14">
    <w:name w:val="footnote text"/>
    <w:basedOn w:val="1"/>
    <w:qFormat/>
    <w:uiPriority w:val="0"/>
    <w:pPr>
      <w:snapToGrid w:val="0"/>
      <w:jc w:val="left"/>
    </w:pPr>
    <w:rPr>
      <w:sz w:val="18"/>
    </w:rPr>
  </w:style>
  <w:style w:type="paragraph" w:styleId="15">
    <w:name w:val="toc 2"/>
    <w:basedOn w:val="1"/>
    <w:next w:val="1"/>
    <w:qFormat/>
    <w:uiPriority w:val="39"/>
    <w:pPr>
      <w:ind w:left="420" w:leftChars="200"/>
    </w:pPr>
  </w:style>
  <w:style w:type="paragraph" w:styleId="16">
    <w:name w:val="Normal (Web)"/>
    <w:basedOn w:val="1"/>
    <w:next w:val="1"/>
    <w:qFormat/>
    <w:uiPriority w:val="99"/>
    <w:pPr>
      <w:spacing w:before="100" w:beforeAutospacing="1" w:after="100" w:afterAutospacing="1"/>
      <w:jc w:val="left"/>
    </w:pPr>
    <w:rPr>
      <w:sz w:val="24"/>
    </w:rPr>
  </w:style>
  <w:style w:type="paragraph" w:styleId="17">
    <w:name w:val="Title"/>
    <w:basedOn w:val="1"/>
    <w:next w:val="1"/>
    <w:qFormat/>
    <w:uiPriority w:val="0"/>
    <w:pPr>
      <w:spacing w:before="240" w:after="60"/>
      <w:jc w:val="center"/>
      <w:outlineLvl w:val="0"/>
    </w:pPr>
    <w:rPr>
      <w:rFonts w:ascii="Arial" w:hAnsi="Arial"/>
      <w:b/>
      <w:sz w:val="32"/>
    </w:rPr>
  </w:style>
  <w:style w:type="paragraph" w:styleId="18">
    <w:name w:val="Body Text First Indent 2"/>
    <w:basedOn w:val="8"/>
    <w:link w:val="66"/>
    <w:qFormat/>
    <w:uiPriority w:val="99"/>
    <w:pPr>
      <w:ind w:firstLine="420" w:firstLineChars="200"/>
    </w:pPr>
    <w:rPr>
      <w:rFonts w:ascii="Calibri" w:hAnsi="Calibri"/>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name w:val="Medium Grid 3"/>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22">
    <w:name w:val="Medium Grid 3 Accent 1"/>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23">
    <w:name w:val="Medium Grid 3 Accent 2"/>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24">
    <w:name w:val="Medium Grid 3 Accent 3"/>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25">
    <w:name w:val="Medium Grid 3 Accent 4"/>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26">
    <w:name w:val="Medium Grid 3 Accent 5"/>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27">
    <w:name w:val="Medium Grid 3 Accent 6"/>
    <w:basedOn w:val="19"/>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character" w:styleId="29">
    <w:name w:val="Strong"/>
    <w:basedOn w:val="28"/>
    <w:qFormat/>
    <w:uiPriority w:val="0"/>
    <w:rPr>
      <w:b/>
      <w:bCs/>
    </w:rPr>
  </w:style>
  <w:style w:type="character" w:styleId="30">
    <w:name w:val="FollowedHyperlink"/>
    <w:basedOn w:val="28"/>
    <w:unhideWhenUsed/>
    <w:qFormat/>
    <w:uiPriority w:val="99"/>
    <w:rPr>
      <w:color w:val="800080"/>
      <w:u w:val="single"/>
    </w:rPr>
  </w:style>
  <w:style w:type="character" w:styleId="31">
    <w:name w:val="Hyperlink"/>
    <w:basedOn w:val="28"/>
    <w:unhideWhenUsed/>
    <w:qFormat/>
    <w:uiPriority w:val="99"/>
    <w:rPr>
      <w:color w:val="0000FF"/>
      <w:u w:val="single"/>
    </w:rPr>
  </w:style>
  <w:style w:type="character" w:styleId="32">
    <w:name w:val="annotation reference"/>
    <w:basedOn w:val="28"/>
    <w:qFormat/>
    <w:uiPriority w:val="0"/>
    <w:rPr>
      <w:sz w:val="21"/>
      <w:szCs w:val="21"/>
    </w:rPr>
  </w:style>
  <w:style w:type="character" w:styleId="33">
    <w:name w:val="footnote reference"/>
    <w:basedOn w:val="28"/>
    <w:qFormat/>
    <w:uiPriority w:val="0"/>
    <w:rPr>
      <w:vertAlign w:val="superscript"/>
    </w:rPr>
  </w:style>
  <w:style w:type="paragraph" w:customStyle="1" w:styleId="34">
    <w:name w:val="闻政-正文一级标题"/>
    <w:basedOn w:val="4"/>
    <w:qFormat/>
    <w:uiPriority w:val="3"/>
    <w:pPr>
      <w:spacing w:before="120" w:after="60" w:line="500" w:lineRule="exact"/>
      <w:ind w:firstLine="0"/>
      <w:jc w:val="left"/>
      <w:outlineLvl w:val="0"/>
    </w:pPr>
    <w:rPr>
      <w:rFonts w:ascii="黑体" w:hAnsi="黑体" w:eastAsia="黑体"/>
      <w:bCs/>
      <w:kern w:val="0"/>
      <w:sz w:val="32"/>
      <w:szCs w:val="32"/>
    </w:rPr>
  </w:style>
  <w:style w:type="paragraph" w:customStyle="1" w:styleId="35">
    <w:name w:val="样式1"/>
    <w:basedOn w:val="2"/>
    <w:next w:val="1"/>
    <w:qFormat/>
    <w:uiPriority w:val="0"/>
    <w:rPr>
      <w:rFonts w:eastAsia="方正粗黑宋简体"/>
      <w:sz w:val="32"/>
    </w:rPr>
  </w:style>
  <w:style w:type="paragraph" w:customStyle="1" w:styleId="36">
    <w:name w:val="和田正文1a"/>
    <w:basedOn w:val="1"/>
    <w:link w:val="62"/>
    <w:qFormat/>
    <w:uiPriority w:val="0"/>
    <w:pPr>
      <w:spacing w:line="560" w:lineRule="exact"/>
      <w:ind w:firstLine="1004" w:firstLineChars="200"/>
      <w:jc w:val="left"/>
    </w:pPr>
    <w:rPr>
      <w:kern w:val="0"/>
      <w:sz w:val="32"/>
      <w:szCs w:val="32"/>
      <w:lang w:bidi="en-US"/>
    </w:rPr>
  </w:style>
  <w:style w:type="paragraph" w:customStyle="1" w:styleId="37">
    <w:name w:val="和标1"/>
    <w:basedOn w:val="34"/>
    <w:qFormat/>
    <w:uiPriority w:val="0"/>
    <w:pPr>
      <w:spacing w:line="560" w:lineRule="exact"/>
    </w:pPr>
    <w:rPr>
      <w:rFonts w:hint="eastAsia" w:ascii="宋体" w:hAnsi="宋体"/>
      <w:lang w:bidi="en-US"/>
    </w:rPr>
  </w:style>
  <w:style w:type="paragraph" w:customStyle="1" w:styleId="38">
    <w:name w:val="和标2"/>
    <w:basedOn w:val="1"/>
    <w:qFormat/>
    <w:uiPriority w:val="0"/>
    <w:pPr>
      <w:keepNext/>
      <w:keepLines/>
      <w:spacing w:line="560" w:lineRule="exact"/>
      <w:ind w:firstLine="1004" w:firstLineChars="200"/>
      <w:jc w:val="left"/>
      <w:outlineLvl w:val="1"/>
    </w:pPr>
    <w:rPr>
      <w:rFonts w:hint="eastAsia" w:ascii="楷体" w:hAnsi="楷体" w:eastAsia="楷体" w:cs="楷体"/>
      <w:b/>
      <w:bCs/>
      <w:kern w:val="0"/>
      <w:sz w:val="32"/>
      <w:szCs w:val="32"/>
    </w:rPr>
  </w:style>
  <w:style w:type="paragraph" w:customStyle="1" w:styleId="39">
    <w:name w:val="和标3"/>
    <w:basedOn w:val="1"/>
    <w:link w:val="61"/>
    <w:qFormat/>
    <w:uiPriority w:val="0"/>
    <w:pPr>
      <w:keepNext/>
      <w:keepLines/>
      <w:spacing w:line="560" w:lineRule="exact"/>
      <w:ind w:firstLine="880" w:firstLineChars="200"/>
      <w:jc w:val="left"/>
      <w:outlineLvl w:val="1"/>
    </w:pPr>
    <w:rPr>
      <w:rFonts w:hint="eastAsia" w:ascii="楷体" w:hAnsi="楷体" w:cs="楷体"/>
      <w:b/>
      <w:bCs/>
      <w:kern w:val="0"/>
      <w:sz w:val="32"/>
      <w:szCs w:val="32"/>
    </w:rPr>
  </w:style>
  <w:style w:type="paragraph" w:customStyle="1" w:styleId="40">
    <w:name w:val="和表1"/>
    <w:basedOn w:val="13"/>
    <w:qFormat/>
    <w:uiPriority w:val="0"/>
    <w:pPr>
      <w:tabs>
        <w:tab w:val="right" w:pos="0"/>
      </w:tabs>
      <w:spacing w:line="240" w:lineRule="atLeast"/>
      <w:ind w:firstLine="0" w:firstLineChars="0"/>
      <w:jc w:val="left"/>
    </w:pPr>
    <w:rPr>
      <w:rFonts w:hint="eastAsia"/>
      <w:kern w:val="0"/>
      <w:sz w:val="21"/>
      <w:szCs w:val="21"/>
      <w:lang w:bidi="en-US"/>
    </w:rPr>
  </w:style>
  <w:style w:type="paragraph" w:customStyle="1" w:styleId="41">
    <w:name w:val="和目1"/>
    <w:basedOn w:val="5"/>
    <w:qFormat/>
    <w:uiPriority w:val="0"/>
    <w:pPr>
      <w:tabs>
        <w:tab w:val="right" w:leader="dot" w:pos="8306"/>
      </w:tabs>
      <w:spacing w:line="360" w:lineRule="auto"/>
      <w:ind w:left="300" w:leftChars="100"/>
    </w:pPr>
    <w:rPr>
      <w:rFonts w:hint="eastAsia" w:ascii="宋体" w:hAnsi="宋体" w:cs="Calibri"/>
      <w:b/>
      <w:bCs/>
      <w:caps/>
      <w:sz w:val="32"/>
      <w:szCs w:val="20"/>
    </w:rPr>
  </w:style>
  <w:style w:type="paragraph" w:customStyle="1" w:styleId="42">
    <w:name w:val="和目2"/>
    <w:basedOn w:val="5"/>
    <w:qFormat/>
    <w:uiPriority w:val="0"/>
    <w:pPr>
      <w:tabs>
        <w:tab w:val="right" w:leader="dot" w:pos="8306"/>
      </w:tabs>
      <w:spacing w:line="360" w:lineRule="auto"/>
      <w:ind w:left="600"/>
    </w:pPr>
    <w:rPr>
      <w:rFonts w:hint="eastAsia" w:ascii="宋体" w:hAnsi="宋体" w:cs="Calibri"/>
      <w:bCs/>
      <w:caps/>
      <w:szCs w:val="20"/>
    </w:rPr>
  </w:style>
  <w:style w:type="character" w:customStyle="1" w:styleId="43">
    <w:name w:val="font31"/>
    <w:basedOn w:val="28"/>
    <w:qFormat/>
    <w:uiPriority w:val="0"/>
    <w:rPr>
      <w:rFonts w:hint="eastAsia" w:ascii="宋体" w:hAnsi="宋体" w:eastAsia="宋体" w:cs="宋体"/>
      <w:color w:val="000000"/>
      <w:sz w:val="20"/>
      <w:szCs w:val="20"/>
      <w:u w:val="none"/>
    </w:rPr>
  </w:style>
  <w:style w:type="paragraph" w:customStyle="1" w:styleId="44">
    <w:name w:val="_Style 1"/>
    <w:qFormat/>
    <w:uiPriority w:val="0"/>
    <w:pPr>
      <w:widowControl w:val="0"/>
      <w:jc w:val="both"/>
    </w:pPr>
    <w:rPr>
      <w:rFonts w:ascii="Calibri" w:hAnsi="Calibri" w:eastAsia="宋体" w:cs="宋体"/>
      <w:kern w:val="2"/>
      <w:sz w:val="21"/>
      <w:szCs w:val="22"/>
      <w:lang w:val="en-US" w:eastAsia="zh-CN" w:bidi="ar-SA"/>
    </w:rPr>
  </w:style>
  <w:style w:type="paragraph" w:styleId="45">
    <w:name w:val="List Paragraph"/>
    <w:basedOn w:val="1"/>
    <w:qFormat/>
    <w:uiPriority w:val="99"/>
    <w:pPr>
      <w:ind w:firstLine="420" w:firstLineChars="200"/>
    </w:pPr>
    <w:rPr>
      <w:kern w:val="0"/>
      <w:sz w:val="24"/>
      <w:szCs w:val="20"/>
    </w:rPr>
  </w:style>
  <w:style w:type="paragraph" w:customStyle="1" w:styleId="46">
    <w:name w:val="WPSOffice手动目录 1"/>
    <w:qFormat/>
    <w:uiPriority w:val="0"/>
    <w:rPr>
      <w:rFonts w:ascii="Times New Roman" w:hAnsi="Times New Roman" w:eastAsia="宋体" w:cs="Times New Roman"/>
      <w:lang w:val="en-US" w:eastAsia="zh-CN" w:bidi="ar-SA"/>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8">
    <w:name w:val="列表段落1"/>
    <w:basedOn w:val="1"/>
    <w:qFormat/>
    <w:uiPriority w:val="99"/>
    <w:pPr>
      <w:ind w:firstLine="420"/>
    </w:pPr>
  </w:style>
  <w:style w:type="paragraph" w:customStyle="1" w:styleId="49">
    <w:name w:val="正文 A"/>
    <w:link w:val="50"/>
    <w:qFormat/>
    <w:uiPriority w:val="99"/>
    <w:pPr>
      <w:widowControl w:val="0"/>
      <w:spacing w:before="50" w:after="50" w:line="360" w:lineRule="auto"/>
    </w:pPr>
    <w:rPr>
      <w:rFonts w:ascii="Times New Roman" w:hAnsi="Arial Unicode MS" w:eastAsia="Arial Unicode MS" w:cs="Arial Unicode MS"/>
      <w:color w:val="000000"/>
      <w:kern w:val="2"/>
      <w:sz w:val="28"/>
      <w:szCs w:val="28"/>
      <w:u w:color="000000"/>
      <w:lang w:val="en-US" w:eastAsia="zh-CN" w:bidi="ar-SA"/>
    </w:rPr>
  </w:style>
  <w:style w:type="character" w:customStyle="1" w:styleId="50">
    <w:name w:val="正文 A Char"/>
    <w:link w:val="49"/>
    <w:qFormat/>
    <w:uiPriority w:val="99"/>
    <w:rPr>
      <w:rFonts w:ascii="Times New Roman" w:hAnsi="Arial Unicode MS" w:eastAsia="Arial Unicode MS" w:cs="Arial Unicode MS"/>
      <w:color w:val="000000"/>
      <w:kern w:val="2"/>
      <w:sz w:val="28"/>
      <w:szCs w:val="28"/>
      <w:u w:color="000000"/>
      <w:lang w:val="en-US" w:eastAsia="zh-CN" w:bidi="ar-SA"/>
    </w:rPr>
  </w:style>
  <w:style w:type="character" w:customStyle="1" w:styleId="51">
    <w:name w:val="font11"/>
    <w:basedOn w:val="28"/>
    <w:qFormat/>
    <w:uiPriority w:val="0"/>
    <w:rPr>
      <w:rFonts w:hint="default" w:ascii="Times New Roman" w:hAnsi="Times New Roman" w:cs="Times New Roman"/>
      <w:color w:val="000000"/>
      <w:sz w:val="24"/>
      <w:szCs w:val="24"/>
      <w:u w:val="none"/>
    </w:rPr>
  </w:style>
  <w:style w:type="character" w:customStyle="1" w:styleId="52">
    <w:name w:val="font01"/>
    <w:basedOn w:val="28"/>
    <w:qFormat/>
    <w:uiPriority w:val="0"/>
    <w:rPr>
      <w:rFonts w:hint="eastAsia" w:ascii="宋体" w:hAnsi="宋体" w:eastAsia="宋体" w:cs="宋体"/>
      <w:color w:val="000000"/>
      <w:sz w:val="24"/>
      <w:szCs w:val="24"/>
      <w:u w:val="none"/>
    </w:rPr>
  </w:style>
  <w:style w:type="paragraph" w:customStyle="1" w:styleId="53">
    <w:name w:val="闻政正文"/>
    <w:basedOn w:val="1"/>
    <w:qFormat/>
    <w:uiPriority w:val="99"/>
    <w:pPr>
      <w:spacing w:line="500" w:lineRule="exact"/>
      <w:ind w:firstLine="560" w:firstLineChars="200"/>
    </w:pPr>
    <w:rPr>
      <w:sz w:val="28"/>
      <w:szCs w:val="28"/>
    </w:rPr>
  </w:style>
  <w:style w:type="paragraph" w:customStyle="1" w:styleId="54">
    <w:name w:val="正文1"/>
    <w:basedOn w:val="1"/>
    <w:qFormat/>
    <w:uiPriority w:val="0"/>
    <w:pPr>
      <w:widowControl/>
    </w:pPr>
    <w:rPr>
      <w:rFonts w:ascii="Calibri" w:hAnsi="Calibri" w:eastAsia="Calibri"/>
      <w:kern w:val="0"/>
      <w:szCs w:val="20"/>
      <w:lang w:val="zh-CN"/>
    </w:rPr>
  </w:style>
  <w:style w:type="paragraph" w:customStyle="1" w:styleId="55">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character" w:customStyle="1" w:styleId="56">
    <w:name w:val="font21"/>
    <w:basedOn w:val="28"/>
    <w:qFormat/>
    <w:uiPriority w:val="0"/>
    <w:rPr>
      <w:rFonts w:hint="eastAsia" w:ascii="仿宋_GB2312" w:eastAsia="仿宋_GB2312" w:cs="仿宋_GB2312"/>
      <w:color w:val="000000"/>
      <w:sz w:val="22"/>
      <w:szCs w:val="22"/>
      <w:u w:val="none"/>
    </w:rPr>
  </w:style>
  <w:style w:type="paragraph" w:customStyle="1" w:styleId="57">
    <w:name w:val="闻政标题3"/>
    <w:basedOn w:val="4"/>
    <w:qFormat/>
    <w:uiPriority w:val="0"/>
    <w:pPr>
      <w:spacing w:before="120" w:after="60" w:line="500" w:lineRule="exact"/>
      <w:jc w:val="left"/>
      <w:outlineLvl w:val="0"/>
    </w:pPr>
    <w:rPr>
      <w:rFonts w:ascii="黑体" w:hAnsi="黑体" w:eastAsia="黑体"/>
    </w:rPr>
  </w:style>
  <w:style w:type="character" w:customStyle="1" w:styleId="58">
    <w:name w:val="font41"/>
    <w:basedOn w:val="28"/>
    <w:qFormat/>
    <w:uiPriority w:val="0"/>
    <w:rPr>
      <w:rFonts w:hint="eastAsia" w:ascii="宋体" w:hAnsi="宋体" w:eastAsia="宋体" w:cs="宋体"/>
      <w:color w:val="000000"/>
      <w:sz w:val="24"/>
      <w:szCs w:val="24"/>
      <w:u w:val="none"/>
    </w:rPr>
  </w:style>
  <w:style w:type="paragraph" w:customStyle="1" w:styleId="59">
    <w:name w:val="Table Paragraph"/>
    <w:basedOn w:val="1"/>
    <w:qFormat/>
    <w:uiPriority w:val="1"/>
    <w:rPr>
      <w:rFonts w:ascii="宋体" w:hAnsi="宋体" w:eastAsia="宋体" w:cs="宋体"/>
      <w:lang w:val="zh-CN" w:bidi="zh-CN"/>
    </w:rPr>
  </w:style>
  <w:style w:type="character" w:customStyle="1" w:styleId="60">
    <w:name w:val="font51"/>
    <w:basedOn w:val="28"/>
    <w:qFormat/>
    <w:uiPriority w:val="0"/>
    <w:rPr>
      <w:rFonts w:hint="eastAsia" w:ascii="宋体" w:hAnsi="宋体" w:eastAsia="宋体" w:cs="宋体"/>
      <w:color w:val="FF0000"/>
      <w:sz w:val="22"/>
      <w:szCs w:val="22"/>
      <w:u w:val="none"/>
    </w:rPr>
  </w:style>
  <w:style w:type="character" w:customStyle="1" w:styleId="61">
    <w:name w:val="和标3 Char"/>
    <w:link w:val="39"/>
    <w:qFormat/>
    <w:uiPriority w:val="0"/>
    <w:rPr>
      <w:rFonts w:hint="eastAsia" w:ascii="楷体" w:hAnsi="楷体" w:cs="楷体"/>
      <w:b/>
      <w:bCs/>
      <w:kern w:val="0"/>
      <w:sz w:val="32"/>
      <w:szCs w:val="32"/>
    </w:rPr>
  </w:style>
  <w:style w:type="character" w:customStyle="1" w:styleId="62">
    <w:name w:val="和田正文1a Char"/>
    <w:link w:val="36"/>
    <w:qFormat/>
    <w:uiPriority w:val="0"/>
    <w:rPr>
      <w:rFonts w:ascii="Times New Roman" w:hAnsi="Times New Roman" w:cs="Times New Roman"/>
      <w:kern w:val="0"/>
      <w:sz w:val="32"/>
      <w:szCs w:val="32"/>
      <w:lang w:bidi="en-US"/>
    </w:rPr>
  </w:style>
  <w:style w:type="character" w:customStyle="1" w:styleId="63">
    <w:name w:val="批注框文本 字符"/>
    <w:basedOn w:val="28"/>
    <w:link w:val="9"/>
    <w:qFormat/>
    <w:uiPriority w:val="0"/>
    <w:rPr>
      <w:rFonts w:eastAsia="仿宋_GB2312"/>
      <w:kern w:val="2"/>
      <w:sz w:val="18"/>
      <w:szCs w:val="18"/>
    </w:rPr>
  </w:style>
  <w:style w:type="character" w:customStyle="1" w:styleId="64">
    <w:name w:val="页脚 字符"/>
    <w:basedOn w:val="28"/>
    <w:link w:val="10"/>
    <w:qFormat/>
    <w:uiPriority w:val="99"/>
    <w:rPr>
      <w:rFonts w:eastAsia="仿宋_GB2312"/>
      <w:kern w:val="2"/>
      <w:sz w:val="18"/>
      <w:szCs w:val="18"/>
    </w:rPr>
  </w:style>
  <w:style w:type="character" w:customStyle="1" w:styleId="65">
    <w:name w:val="正文文本缩进 字符"/>
    <w:basedOn w:val="28"/>
    <w:link w:val="8"/>
    <w:qFormat/>
    <w:uiPriority w:val="99"/>
    <w:rPr>
      <w:rFonts w:eastAsia="仿宋_GB2312"/>
      <w:kern w:val="2"/>
      <w:sz w:val="30"/>
      <w:szCs w:val="24"/>
    </w:rPr>
  </w:style>
  <w:style w:type="character" w:customStyle="1" w:styleId="66">
    <w:name w:val="正文文本首行缩进 2 字符"/>
    <w:basedOn w:val="65"/>
    <w:link w:val="18"/>
    <w:qFormat/>
    <w:uiPriority w:val="99"/>
    <w:rPr>
      <w:rFonts w:ascii="Calibri" w:hAnsi="Calibri" w:eastAsia="仿宋_GB2312"/>
      <w:kern w:val="2"/>
      <w:sz w:val="30"/>
      <w:szCs w:val="24"/>
    </w:rPr>
  </w:style>
  <w:style w:type="paragraph" w:customStyle="1" w:styleId="67">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color w:val="000000"/>
      <w:kern w:val="0"/>
      <w:sz w:val="24"/>
    </w:rPr>
  </w:style>
  <w:style w:type="paragraph" w:customStyle="1" w:styleId="6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color w:val="000000"/>
      <w:kern w:val="0"/>
      <w:sz w:val="24"/>
    </w:rPr>
  </w:style>
  <w:style w:type="paragraph" w:customStyle="1" w:styleId="69">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7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7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rPr>
  </w:style>
  <w:style w:type="paragraph" w:customStyle="1" w:styleId="7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rPr>
  </w:style>
  <w:style w:type="paragraph" w:customStyle="1" w:styleId="7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rPr>
  </w:style>
  <w:style w:type="paragraph" w:customStyle="1" w:styleId="74">
    <w:name w:val="xl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5">
    <w:name w:val="xl7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rPr>
  </w:style>
  <w:style w:type="paragraph" w:customStyle="1" w:styleId="7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8">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color w:val="000000"/>
      <w:kern w:val="0"/>
      <w:sz w:val="24"/>
    </w:rPr>
  </w:style>
  <w:style w:type="paragraph" w:customStyle="1" w:styleId="7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80">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eastAsia="宋体" w:cs="宋体"/>
      <w:kern w:val="0"/>
      <w:sz w:val="24"/>
    </w:rPr>
  </w:style>
  <w:style w:type="paragraph" w:customStyle="1" w:styleId="81">
    <w:name w:val="xl79"/>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82">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83">
    <w:name w:val="xl8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ascii="宋体" w:hAnsi="宋体" w:eastAsia="宋体" w:cs="宋体"/>
      <w:kern w:val="0"/>
      <w:sz w:val="24"/>
    </w:rPr>
  </w:style>
  <w:style w:type="paragraph" w:customStyle="1" w:styleId="84">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85">
    <w:name w:val="xl8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ascii="宋体" w:hAnsi="宋体" w:eastAsia="宋体" w:cs="宋体"/>
      <w:kern w:val="0"/>
      <w:sz w:val="24"/>
    </w:rPr>
  </w:style>
  <w:style w:type="paragraph" w:customStyle="1" w:styleId="86">
    <w:name w:val="xl8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87">
    <w:name w:val="xl8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88">
    <w:name w:val="xl8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8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rPr>
  </w:style>
  <w:style w:type="paragraph" w:customStyle="1" w:styleId="90">
    <w:name w:val="xl8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rPr>
  </w:style>
  <w:style w:type="paragraph" w:customStyle="1" w:styleId="91">
    <w:name w:val="xl8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b/>
      <w:bCs/>
      <w:kern w:val="0"/>
      <w:sz w:val="24"/>
    </w:rPr>
  </w:style>
  <w:style w:type="character" w:customStyle="1" w:styleId="92">
    <w:name w:val="标题 1 字符"/>
    <w:basedOn w:val="28"/>
    <w:link w:val="2"/>
    <w:qFormat/>
    <w:uiPriority w:val="0"/>
    <w:rPr>
      <w:rFonts w:eastAsia="仿宋_GB2312"/>
      <w:b/>
      <w:kern w:val="44"/>
      <w:sz w:val="44"/>
      <w:szCs w:val="24"/>
    </w:rPr>
  </w:style>
  <w:style w:type="paragraph" w:customStyle="1" w:styleId="93">
    <w:name w:val="Body text|1"/>
    <w:basedOn w:val="1"/>
    <w:qFormat/>
    <w:uiPriority w:val="0"/>
    <w:pPr>
      <w:spacing w:line="377" w:lineRule="auto"/>
      <w:ind w:firstLine="400"/>
    </w:pPr>
    <w:rPr>
      <w:rFonts w:cs="宋体"/>
      <w:lang w:val="zh-TW" w:eastAsia="zh-TW" w:bidi="zh-TW"/>
    </w:rPr>
  </w:style>
  <w:style w:type="character" w:customStyle="1" w:styleId="94">
    <w:name w:val="font81"/>
    <w:basedOn w:val="28"/>
    <w:qFormat/>
    <w:uiPriority w:val="0"/>
    <w:rPr>
      <w:rFonts w:hint="eastAsia" w:ascii="宋体" w:hAnsi="宋体" w:eastAsia="宋体" w:cs="宋体"/>
      <w:color w:val="000000"/>
      <w:sz w:val="22"/>
      <w:szCs w:val="22"/>
      <w:u w:val="none"/>
    </w:rPr>
  </w:style>
  <w:style w:type="character" w:customStyle="1" w:styleId="95">
    <w:name w:val="font101"/>
    <w:basedOn w:val="28"/>
    <w:qFormat/>
    <w:uiPriority w:val="0"/>
    <w:rPr>
      <w:rFonts w:hint="default" w:ascii="Times New Roman" w:hAnsi="Times New Roman" w:cs="Times New Roman"/>
      <w:color w:val="FF0000"/>
      <w:sz w:val="22"/>
      <w:szCs w:val="22"/>
      <w:u w:val="none"/>
    </w:rPr>
  </w:style>
  <w:style w:type="character" w:customStyle="1" w:styleId="96">
    <w:name w:val="font71"/>
    <w:basedOn w:val="28"/>
    <w:qFormat/>
    <w:uiPriority w:val="0"/>
    <w:rPr>
      <w:rFonts w:hint="eastAsia" w:ascii="仿宋_GB2312" w:eastAsia="仿宋_GB2312" w:cs="仿宋_GB2312"/>
      <w:color w:val="FF0000"/>
      <w:sz w:val="22"/>
      <w:szCs w:val="22"/>
      <w:u w:val="none"/>
    </w:rPr>
  </w:style>
  <w:style w:type="character" w:customStyle="1" w:styleId="97">
    <w:name w:val="font61"/>
    <w:basedOn w:val="28"/>
    <w:qFormat/>
    <w:uiPriority w:val="0"/>
    <w:rPr>
      <w:rFonts w:hint="default" w:ascii="Times New Roman" w:hAnsi="Times New Roman" w:cs="Times New Roman"/>
      <w:color w:val="000000"/>
      <w:sz w:val="22"/>
      <w:szCs w:val="22"/>
      <w:u w:val="none"/>
    </w:rPr>
  </w:style>
  <w:style w:type="character" w:customStyle="1" w:styleId="98">
    <w:name w:val="font91"/>
    <w:basedOn w:val="28"/>
    <w:qFormat/>
    <w:uiPriority w:val="0"/>
    <w:rPr>
      <w:rFonts w:hint="eastAsia" w:ascii="仿宋_GB2312" w:eastAsia="仿宋_GB2312" w:cs="仿宋_GB2312"/>
      <w:color w:val="000000"/>
      <w:sz w:val="22"/>
      <w:szCs w:val="22"/>
      <w:u w:val="none"/>
    </w:rPr>
  </w:style>
  <w:style w:type="character" w:customStyle="1" w:styleId="99">
    <w:name w:val="font112"/>
    <w:basedOn w:val="28"/>
    <w:qFormat/>
    <w:uiPriority w:val="0"/>
    <w:rPr>
      <w:rFonts w:hint="eastAsia" w:ascii="仿宋_GB2312" w:eastAsia="仿宋_GB2312" w:cs="仿宋_GB2312"/>
      <w:color w:val="000000"/>
      <w:sz w:val="22"/>
      <w:szCs w:val="22"/>
      <w:u w:val="none"/>
    </w:rPr>
  </w:style>
  <w:style w:type="paragraph" w:customStyle="1" w:styleId="100">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84.xml"/><Relationship Id="rId98" Type="http://schemas.openxmlformats.org/officeDocument/2006/relationships/customXml" Target="../customXml/item83.xml"/><Relationship Id="rId97" Type="http://schemas.openxmlformats.org/officeDocument/2006/relationships/customXml" Target="../customXml/item82.xml"/><Relationship Id="rId96" Type="http://schemas.openxmlformats.org/officeDocument/2006/relationships/customXml" Target="../customXml/item81.xml"/><Relationship Id="rId95" Type="http://schemas.openxmlformats.org/officeDocument/2006/relationships/customXml" Target="../customXml/item80.xml"/><Relationship Id="rId94" Type="http://schemas.openxmlformats.org/officeDocument/2006/relationships/customXml" Target="../customXml/item79.xml"/><Relationship Id="rId93" Type="http://schemas.openxmlformats.org/officeDocument/2006/relationships/customXml" Target="../customXml/item78.xml"/><Relationship Id="rId92" Type="http://schemas.openxmlformats.org/officeDocument/2006/relationships/customXml" Target="../customXml/item77.xml"/><Relationship Id="rId91" Type="http://schemas.openxmlformats.org/officeDocument/2006/relationships/customXml" Target="../customXml/item76.xml"/><Relationship Id="rId90" Type="http://schemas.openxmlformats.org/officeDocument/2006/relationships/customXml" Target="../customXml/item75.xml"/><Relationship Id="rId9" Type="http://schemas.openxmlformats.org/officeDocument/2006/relationships/image" Target="media/image2.jpeg"/><Relationship Id="rId89" Type="http://schemas.openxmlformats.org/officeDocument/2006/relationships/customXml" Target="../customXml/item74.xml"/><Relationship Id="rId88" Type="http://schemas.openxmlformats.org/officeDocument/2006/relationships/customXml" Target="../customXml/item73.xml"/><Relationship Id="rId87" Type="http://schemas.openxmlformats.org/officeDocument/2006/relationships/customXml" Target="../customXml/item72.xml"/><Relationship Id="rId86" Type="http://schemas.openxmlformats.org/officeDocument/2006/relationships/customXml" Target="../customXml/item71.xml"/><Relationship Id="rId85" Type="http://schemas.openxmlformats.org/officeDocument/2006/relationships/customXml" Target="../customXml/item70.xml"/><Relationship Id="rId84" Type="http://schemas.openxmlformats.org/officeDocument/2006/relationships/customXml" Target="../customXml/item69.xml"/><Relationship Id="rId83" Type="http://schemas.openxmlformats.org/officeDocument/2006/relationships/customXml" Target="../customXml/item68.xml"/><Relationship Id="rId82" Type="http://schemas.openxmlformats.org/officeDocument/2006/relationships/customXml" Target="../customXml/item67.xml"/><Relationship Id="rId81" Type="http://schemas.openxmlformats.org/officeDocument/2006/relationships/customXml" Target="../customXml/item66.xml"/><Relationship Id="rId80" Type="http://schemas.openxmlformats.org/officeDocument/2006/relationships/customXml" Target="../customXml/item65.xml"/><Relationship Id="rId8" Type="http://schemas.openxmlformats.org/officeDocument/2006/relationships/theme" Target="theme/theme1.xml"/><Relationship Id="rId79" Type="http://schemas.openxmlformats.org/officeDocument/2006/relationships/customXml" Target="../customXml/item64.xml"/><Relationship Id="rId78" Type="http://schemas.openxmlformats.org/officeDocument/2006/relationships/customXml" Target="../customXml/item63.xml"/><Relationship Id="rId77" Type="http://schemas.openxmlformats.org/officeDocument/2006/relationships/customXml" Target="../customXml/item62.xml"/><Relationship Id="rId76" Type="http://schemas.openxmlformats.org/officeDocument/2006/relationships/customXml" Target="../customXml/item61.xml"/><Relationship Id="rId75" Type="http://schemas.openxmlformats.org/officeDocument/2006/relationships/customXml" Target="../customXml/item60.xml"/><Relationship Id="rId74" Type="http://schemas.openxmlformats.org/officeDocument/2006/relationships/customXml" Target="../customXml/item59.xml"/><Relationship Id="rId73" Type="http://schemas.openxmlformats.org/officeDocument/2006/relationships/customXml" Target="../customXml/item58.xml"/><Relationship Id="rId72" Type="http://schemas.openxmlformats.org/officeDocument/2006/relationships/customXml" Target="../customXml/item57.xml"/><Relationship Id="rId71" Type="http://schemas.openxmlformats.org/officeDocument/2006/relationships/customXml" Target="../customXml/item56.xml"/><Relationship Id="rId70" Type="http://schemas.openxmlformats.org/officeDocument/2006/relationships/customXml" Target="../customXml/item55.xml"/><Relationship Id="rId7" Type="http://schemas.openxmlformats.org/officeDocument/2006/relationships/footer" Target="footer3.xml"/><Relationship Id="rId69" Type="http://schemas.openxmlformats.org/officeDocument/2006/relationships/customXml" Target="../customXml/item54.xml"/><Relationship Id="rId68" Type="http://schemas.openxmlformats.org/officeDocument/2006/relationships/customXml" Target="../customXml/item53.xml"/><Relationship Id="rId67" Type="http://schemas.openxmlformats.org/officeDocument/2006/relationships/customXml" Target="../customXml/item52.xml"/><Relationship Id="rId66" Type="http://schemas.openxmlformats.org/officeDocument/2006/relationships/customXml" Target="../customXml/item51.xml"/><Relationship Id="rId65" Type="http://schemas.openxmlformats.org/officeDocument/2006/relationships/customXml" Target="../customXml/item50.xml"/><Relationship Id="rId64" Type="http://schemas.openxmlformats.org/officeDocument/2006/relationships/customXml" Target="../customXml/item49.xml"/><Relationship Id="rId63" Type="http://schemas.openxmlformats.org/officeDocument/2006/relationships/customXml" Target="../customXml/item48.xml"/><Relationship Id="rId62" Type="http://schemas.openxmlformats.org/officeDocument/2006/relationships/customXml" Target="../customXml/item47.xml"/><Relationship Id="rId61" Type="http://schemas.openxmlformats.org/officeDocument/2006/relationships/customXml" Target="../customXml/item46.xml"/><Relationship Id="rId60" Type="http://schemas.openxmlformats.org/officeDocument/2006/relationships/customXml" Target="../customXml/item45.xml"/><Relationship Id="rId6" Type="http://schemas.openxmlformats.org/officeDocument/2006/relationships/footer" Target="footer2.xml"/><Relationship Id="rId59" Type="http://schemas.openxmlformats.org/officeDocument/2006/relationships/customXml" Target="../customXml/item44.xml"/><Relationship Id="rId58" Type="http://schemas.openxmlformats.org/officeDocument/2006/relationships/customXml" Target="../customXml/item43.xml"/><Relationship Id="rId57" Type="http://schemas.openxmlformats.org/officeDocument/2006/relationships/customXml" Target="../customXml/item42.xml"/><Relationship Id="rId56" Type="http://schemas.openxmlformats.org/officeDocument/2006/relationships/customXml" Target="../customXml/item41.xml"/><Relationship Id="rId55" Type="http://schemas.openxmlformats.org/officeDocument/2006/relationships/customXml" Target="../customXml/item40.xml"/><Relationship Id="rId54" Type="http://schemas.openxmlformats.org/officeDocument/2006/relationships/customXml" Target="../customXml/item39.xml"/><Relationship Id="rId53" Type="http://schemas.openxmlformats.org/officeDocument/2006/relationships/customXml" Target="../customXml/item38.xml"/><Relationship Id="rId52" Type="http://schemas.openxmlformats.org/officeDocument/2006/relationships/customXml" Target="../customXml/item37.xml"/><Relationship Id="rId51" Type="http://schemas.openxmlformats.org/officeDocument/2006/relationships/customXml" Target="../customXml/item36.xml"/><Relationship Id="rId50" Type="http://schemas.openxmlformats.org/officeDocument/2006/relationships/customXml" Target="../customXml/item35.xml"/><Relationship Id="rId5" Type="http://schemas.openxmlformats.org/officeDocument/2006/relationships/header" Target="header2.xml"/><Relationship Id="rId49" Type="http://schemas.openxmlformats.org/officeDocument/2006/relationships/customXml" Target="../customXml/item34.xml"/><Relationship Id="rId48" Type="http://schemas.openxmlformats.org/officeDocument/2006/relationships/customXml" Target="../customXml/item33.xml"/><Relationship Id="rId47" Type="http://schemas.openxmlformats.org/officeDocument/2006/relationships/customXml" Target="../customXml/item32.xml"/><Relationship Id="rId46" Type="http://schemas.openxmlformats.org/officeDocument/2006/relationships/customXml" Target="../customXml/item31.xml"/><Relationship Id="rId45" Type="http://schemas.openxmlformats.org/officeDocument/2006/relationships/customXml" Target="../customXml/item30.xml"/><Relationship Id="rId44" Type="http://schemas.openxmlformats.org/officeDocument/2006/relationships/customXml" Target="../customXml/item29.xml"/><Relationship Id="rId43" Type="http://schemas.openxmlformats.org/officeDocument/2006/relationships/customXml" Target="../customXml/item28.xml"/><Relationship Id="rId42" Type="http://schemas.openxmlformats.org/officeDocument/2006/relationships/customXml" Target="../customXml/item27.xml"/><Relationship Id="rId41" Type="http://schemas.openxmlformats.org/officeDocument/2006/relationships/customXml" Target="../customXml/item26.xml"/><Relationship Id="rId40" Type="http://schemas.openxmlformats.org/officeDocument/2006/relationships/customXml" Target="../customXml/item25.xml"/><Relationship Id="rId4" Type="http://schemas.openxmlformats.org/officeDocument/2006/relationships/footer" Target="footer1.xml"/><Relationship Id="rId39" Type="http://schemas.openxmlformats.org/officeDocument/2006/relationships/customXml" Target="../customXml/item24.xml"/><Relationship Id="rId38" Type="http://schemas.openxmlformats.org/officeDocument/2006/relationships/customXml" Target="../customXml/item23.xml"/><Relationship Id="rId37" Type="http://schemas.openxmlformats.org/officeDocument/2006/relationships/customXml" Target="../customXml/item22.xml"/><Relationship Id="rId36" Type="http://schemas.openxmlformats.org/officeDocument/2006/relationships/customXml" Target="../customXml/item21.xml"/><Relationship Id="rId35" Type="http://schemas.openxmlformats.org/officeDocument/2006/relationships/customXml" Target="../customXml/item20.xml"/><Relationship Id="rId34" Type="http://schemas.openxmlformats.org/officeDocument/2006/relationships/customXml" Target="../customXml/item19.xml"/><Relationship Id="rId33" Type="http://schemas.openxmlformats.org/officeDocument/2006/relationships/customXml" Target="../customXml/item18.xml"/><Relationship Id="rId32" Type="http://schemas.openxmlformats.org/officeDocument/2006/relationships/customXml" Target="../customXml/item17.xml"/><Relationship Id="rId31" Type="http://schemas.openxmlformats.org/officeDocument/2006/relationships/customXml" Target="../customXml/item16.xml"/><Relationship Id="rId30" Type="http://schemas.openxmlformats.org/officeDocument/2006/relationships/customXml" Target="../customXml/item15.xml"/><Relationship Id="rId3" Type="http://schemas.openxmlformats.org/officeDocument/2006/relationships/header" Target="header1.xml"/><Relationship Id="rId29" Type="http://schemas.openxmlformats.org/officeDocument/2006/relationships/customXml" Target="../customXml/item14.xml"/><Relationship Id="rId28" Type="http://schemas.openxmlformats.org/officeDocument/2006/relationships/customXml" Target="../customXml/item13.xml"/><Relationship Id="rId27" Type="http://schemas.openxmlformats.org/officeDocument/2006/relationships/customXml" Target="../customXml/item12.xml"/><Relationship Id="rId26" Type="http://schemas.openxmlformats.org/officeDocument/2006/relationships/customXml" Target="../customXml/item11.xml"/><Relationship Id="rId25" Type="http://schemas.openxmlformats.org/officeDocument/2006/relationships/customXml" Target="../customXml/item10.xml"/><Relationship Id="rId24" Type="http://schemas.openxmlformats.org/officeDocument/2006/relationships/customXml" Target="../customXml/item9.xml"/><Relationship Id="rId23" Type="http://schemas.openxmlformats.org/officeDocument/2006/relationships/customXml" Target="../customXml/item8.xml"/><Relationship Id="rId22" Type="http://schemas.openxmlformats.org/officeDocument/2006/relationships/customXml" Target="../customXml/item7.xml"/><Relationship Id="rId21" Type="http://schemas.openxmlformats.org/officeDocument/2006/relationships/customXml" Target="../customXml/item6.xml"/><Relationship Id="rId20" Type="http://schemas.openxmlformats.org/officeDocument/2006/relationships/customXml" Target="../customXml/item5.xml"/><Relationship Id="rId2" Type="http://schemas.openxmlformats.org/officeDocument/2006/relationships/settings" Target="settings.xml"/><Relationship Id="rId19" Type="http://schemas.openxmlformats.org/officeDocument/2006/relationships/customXml" Target="../customXml/item4.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7" Type="http://schemas.openxmlformats.org/officeDocument/2006/relationships/fontTable" Target="fontTable.xml"/><Relationship Id="rId116" Type="http://schemas.openxmlformats.org/officeDocument/2006/relationships/customXml" Target="../customXml/item101.xml"/><Relationship Id="rId115" Type="http://schemas.openxmlformats.org/officeDocument/2006/relationships/customXml" Target="../customXml/item100.xml"/><Relationship Id="rId114" Type="http://schemas.openxmlformats.org/officeDocument/2006/relationships/customXml" Target="../customXml/item99.xml"/><Relationship Id="rId113" Type="http://schemas.openxmlformats.org/officeDocument/2006/relationships/customXml" Target="../customXml/item98.xml"/><Relationship Id="rId112" Type="http://schemas.openxmlformats.org/officeDocument/2006/relationships/customXml" Target="../customXml/item97.xml"/><Relationship Id="rId111" Type="http://schemas.openxmlformats.org/officeDocument/2006/relationships/customXml" Target="../customXml/item96.xml"/><Relationship Id="rId110" Type="http://schemas.openxmlformats.org/officeDocument/2006/relationships/customXml" Target="../customXml/item95.xml"/><Relationship Id="rId11" Type="http://schemas.openxmlformats.org/officeDocument/2006/relationships/image" Target="media/image4.jpeg"/><Relationship Id="rId109" Type="http://schemas.openxmlformats.org/officeDocument/2006/relationships/customXml" Target="../customXml/item94.xml"/><Relationship Id="rId108" Type="http://schemas.openxmlformats.org/officeDocument/2006/relationships/customXml" Target="../customXml/item93.xml"/><Relationship Id="rId107" Type="http://schemas.openxmlformats.org/officeDocument/2006/relationships/customXml" Target="../customXml/item92.xml"/><Relationship Id="rId106" Type="http://schemas.openxmlformats.org/officeDocument/2006/relationships/customXml" Target="../customXml/item91.xml"/><Relationship Id="rId105" Type="http://schemas.openxmlformats.org/officeDocument/2006/relationships/customXml" Target="../customXml/item90.xml"/><Relationship Id="rId104" Type="http://schemas.openxmlformats.org/officeDocument/2006/relationships/customXml" Target="../customXml/item89.xml"/><Relationship Id="rId103" Type="http://schemas.openxmlformats.org/officeDocument/2006/relationships/customXml" Target="../customXml/item88.xml"/><Relationship Id="rId102" Type="http://schemas.openxmlformats.org/officeDocument/2006/relationships/customXml" Target="../customXml/item87.xml"/><Relationship Id="rId101" Type="http://schemas.openxmlformats.org/officeDocument/2006/relationships/customXml" Target="../customXml/item86.xml"/><Relationship Id="rId100" Type="http://schemas.openxmlformats.org/officeDocument/2006/relationships/customXml" Target="../customXml/item85.xml"/><Relationship Id="rId10" Type="http://schemas.openxmlformats.org/officeDocument/2006/relationships/image" Target="media/image3.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49.xml><?xml version="1.0" encoding="utf-8"?>
<mcd:customData xmlns="http://www.wps.cn/android/officeDocument/2013/mofficeCustomData" xmlns:mcd="http://www.wps.cn/android/officeDocument/2013/mofficeCustomData" version="2">
  <mcd:comments/>
</mcd:customData>
</file>

<file path=customXml/item50.xml><?xml version="1.0" encoding="utf-8"?>
<mcd:customData xmlns="http://www.wps.cn/android/officeDocument/2013/mofficeCustomData" xmlns:mcd="http://www.wps.cn/android/officeDocument/2013/mofficeCustomData" version="2">
  <mcd:comments/>
</mcd:customData>
</file>

<file path=customXml/item51.xml><?xml version="1.0" encoding="utf-8"?>
<mcd:customData xmlns="http://www.wps.cn/android/officeDocument/2013/mofficeCustomData" xmlns:mcd="http://www.wps.cn/android/officeDocument/2013/mofficeCustomData" version="2">
  <mcd:comments/>
</mcd:customData>
</file>

<file path=customXml/item52.xml><?xml version="1.0" encoding="utf-8"?>
<mcd:customData xmlns="http://www.wps.cn/android/officeDocument/2013/mofficeCustomData" xmlns:mcd="http://www.wps.cn/android/officeDocument/2013/mofficeCustomData" version="2">
  <mcd:comments/>
</mcd:customData>
</file>

<file path=customXml/item53.xml><?xml version="1.0" encoding="utf-8"?>
<mcd:customData xmlns="http://www.wps.cn/android/officeDocument/2013/mofficeCustomData" xmlns:mcd="http://www.wps.cn/android/officeDocument/2013/mofficeCustomData" version="2">
  <mcd:comments/>
</mcd:customData>
</file>

<file path=customXml/item54.xml><?xml version="1.0" encoding="utf-8"?>
<mcd:customData xmlns="http://www.wps.cn/android/officeDocument/2013/mofficeCustomData" xmlns:mcd="http://www.wps.cn/android/officeDocument/2013/mofficeCustomData" version="2">
  <mcd:comments/>
</mcd:customData>
</file>

<file path=customXml/item55.xml><?xml version="1.0" encoding="utf-8"?>
<mcd:customData xmlns="http://www.wps.cn/android/officeDocument/2013/mofficeCustomData" xmlns:mcd="http://www.wps.cn/android/officeDocument/2013/mofficeCustomData" version="2">
  <mcd:comments/>
</mcd:customData>
</file>

<file path=customXml/item56.xml><?xml version="1.0" encoding="utf-8"?>
<mcd:customData xmlns="http://www.wps.cn/android/officeDocument/2013/mofficeCustomData" xmlns:mcd="http://www.wps.cn/android/officeDocument/2013/mofficeCustomData" version="2">
  <mcd:comments/>
</mcd:customData>
</file>

<file path=customXml/item57.xml><?xml version="1.0" encoding="utf-8"?>
<mcd:customData xmlns="http://www.wps.cn/android/officeDocument/2013/mofficeCustomData" xmlns:mcd="http://www.wps.cn/android/officeDocument/2013/mofficeCustomData" version="2">
  <mcd:comments/>
</mcd:customData>
</file>

<file path=customXml/item58.xml><?xml version="1.0" encoding="utf-8"?>
<mcd:customData xmlns="http://www.wps.cn/android/officeDocument/2013/mofficeCustomData" xmlns:mcd="http://www.wps.cn/android/officeDocument/2013/mofficeCustomData" version="2">
  <mcd:comments/>
</mcd:customData>
</file>

<file path=customXml/item59.xml><?xml version="1.0" encoding="utf-8"?>
<mcd:customData xmlns="http://www.wps.cn/android/officeDocument/2013/mofficeCustomData" xmlns:mcd="http://www.wps.cn/android/officeDocument/2013/mofficeCustomData" version="2">
  <mcd:comments/>
</mcd:customData>
</file>

<file path=customXml/item60.xml><?xml version="1.0" encoding="utf-8"?>
<mcd:customData xmlns="http://www.wps.cn/android/officeDocument/2013/mofficeCustomData" xmlns:mcd="http://www.wps.cn/android/officeDocument/2013/mofficeCustomData" version="2">
  <mcd:comments/>
</mcd:customData>
</file>

<file path=customXml/item61.xml><?xml version="1.0" encoding="utf-8"?>
<mcd:customData xmlns="http://www.wps.cn/android/officeDocument/2013/mofficeCustomData" xmlns:mcd="http://www.wps.cn/android/officeDocument/2013/mofficeCustomData" version="2">
  <mcd:comments/>
</mcd:customData>
</file>

<file path=customXml/item62.xml><?xml version="1.0" encoding="utf-8"?>
<mcd:customData xmlns="http://www.wps.cn/android/officeDocument/2013/mofficeCustomData" xmlns:mcd="http://www.wps.cn/android/officeDocument/2013/mofficeCustomData" version="2">
  <mcd:comments/>
</mcd:customData>
</file>

<file path=customXml/item63.xml><?xml version="1.0" encoding="utf-8"?>
<mcd:customData xmlns="http://www.wps.cn/android/officeDocument/2013/mofficeCustomData" xmlns:mcd="http://www.wps.cn/android/officeDocument/2013/mofficeCustomData" version="2">
  <mcd:comments/>
</mcd:customData>
</file>

<file path=customXml/item64.xml><?xml version="1.0" encoding="utf-8"?>
<mcd:customData xmlns="http://www.wps.cn/android/officeDocument/2013/mofficeCustomData" xmlns:mcd="http://www.wps.cn/android/officeDocument/2013/mofficeCustomData" version="2">
  <mcd:comments/>
</mcd:customData>
</file>

<file path=customXml/item65.xml><?xml version="1.0" encoding="utf-8"?>
<mcd:customData xmlns="http://www.wps.cn/android/officeDocument/2013/mofficeCustomData" xmlns:mcd="http://www.wps.cn/android/officeDocument/2013/mofficeCustomData" version="2">
  <mcd:comments/>
</mcd:customData>
</file>

<file path=customXml/item66.xml><?xml version="1.0" encoding="utf-8"?>
<mcd:customData xmlns="http://www.wps.cn/android/officeDocument/2013/mofficeCustomData" xmlns:mcd="http://www.wps.cn/android/officeDocument/2013/mofficeCustomData" version="2">
  <mcd:comments/>
</mcd:customData>
</file>

<file path=customXml/item67.xml><?xml version="1.0" encoding="utf-8"?>
<mcd:customData xmlns="http://www.wps.cn/android/officeDocument/2013/mofficeCustomData" xmlns:mcd="http://www.wps.cn/android/officeDocument/2013/mofficeCustomData" version="2">
  <mcd:comments/>
</mcd:customData>
</file>

<file path=customXml/item68.xml><?xml version="1.0" encoding="utf-8"?>
<mcd:customData xmlns="http://www.wps.cn/android/officeDocument/2013/mofficeCustomData" xmlns:mcd="http://www.wps.cn/android/officeDocument/2013/mofficeCustomData" version="2">
  <mcd:comments/>
</mcd:customData>
</file>

<file path=customXml/item69.xml><?xml version="1.0" encoding="utf-8"?>
<mcd:customData xmlns="http://www.wps.cn/android/officeDocument/2013/mofficeCustomData" xmlns:mcd="http://www.wps.cn/android/officeDocument/2013/mofficeCustomData" version="2">
  <mcd:comments/>
</mcd:customData>
</file>

<file path=customXml/item70.xml><?xml version="1.0" encoding="utf-8"?>
<mcd:customData xmlns="http://www.wps.cn/android/officeDocument/2013/mofficeCustomData" xmlns:mcd="http://www.wps.cn/android/officeDocument/2013/mofficeCustomData" version="2">
  <mcd:comments/>
</mcd:customData>
</file>

<file path=customXml/item71.xml><?xml version="1.0" encoding="utf-8"?>
<mcd:customData xmlns="http://www.wps.cn/android/officeDocument/2013/mofficeCustomData" xmlns:mcd="http://www.wps.cn/android/officeDocument/2013/mofficeCustomData" version="2">
  <mcd:comments/>
</mcd:customData>
</file>

<file path=customXml/item72.xml><?xml version="1.0" encoding="utf-8"?>
<mcd:customData xmlns="http://www.wps.cn/android/officeDocument/2013/mofficeCustomData" xmlns:mcd="http://www.wps.cn/android/officeDocument/2013/mofficeCustomData" version="2">
  <mcd:comments/>
</mcd:customData>
</file>

<file path=customXml/item73.xml><?xml version="1.0" encoding="utf-8"?>
<mcd:customData xmlns="http://www.wps.cn/android/officeDocument/2013/mofficeCustomData" xmlns:mcd="http://www.wps.cn/android/officeDocument/2013/mofficeCustomData" version="2">
  <mcd:comments/>
</mcd:customData>
</file>

<file path=customXml/item74.xml><?xml version="1.0" encoding="utf-8"?>
<mcd:customData xmlns="http://www.wps.cn/android/officeDocument/2013/mofficeCustomData" xmlns:mcd="http://www.wps.cn/android/officeDocument/2013/mofficeCustomData" version="2">
  <mcd:comments/>
</mcd:customData>
</file>

<file path=customXml/item75.xml><?xml version="1.0" encoding="utf-8"?>
<mcd:customData xmlns="http://www.wps.cn/android/officeDocument/2013/mofficeCustomData" xmlns:mcd="http://www.wps.cn/android/officeDocument/2013/mofficeCustomData" version="2">
  <mcd:comments/>
</mcd:customData>
</file>

<file path=customXml/item76.xml><?xml version="1.0" encoding="utf-8"?>
<mcd:customData xmlns="http://www.wps.cn/android/officeDocument/2013/mofficeCustomData" xmlns:mcd="http://www.wps.cn/android/officeDocument/2013/mofficeCustomData" version="2">
  <mcd:comments/>
</mcd:customData>
</file>

<file path=customXml/item77.xml><?xml version="1.0" encoding="utf-8"?>
<mcd:customData xmlns="http://www.wps.cn/android/officeDocument/2013/mofficeCustomData" xmlns:mcd="http://www.wps.cn/android/officeDocument/2013/mofficeCustomData" version="2">
  <mcd:comments/>
</mcd:customData>
</file>

<file path=customXml/item78.xml><?xml version="1.0" encoding="utf-8"?>
<mcd:customData xmlns="http://www.wps.cn/android/officeDocument/2013/mofficeCustomData" xmlns:mcd="http://www.wps.cn/android/officeDocument/2013/mofficeCustomData" version="2">
  <mcd:comments/>
</mcd:customData>
</file>

<file path=customXml/item79.xml><?xml version="1.0" encoding="utf-8"?>
<mcd:customData xmlns="http://www.wps.cn/android/officeDocument/2013/mofficeCustomData" xmlns:mcd="http://www.wps.cn/android/officeDocument/2013/mofficeCustomData" version="2">
  <mcd:comments/>
</mcd:customData>
</file>

<file path=customXml/item80.xml><?xml version="1.0" encoding="utf-8"?>
<mcd:customData xmlns="http://www.wps.cn/android/officeDocument/2013/mofficeCustomData" xmlns:mcd="http://www.wps.cn/android/officeDocument/2013/mofficeCustomData" version="2">
  <mcd:comments/>
</mcd:customData>
</file>

<file path=customXml/item81.xml><?xml version="1.0" encoding="utf-8"?>
<mcd:customData xmlns="http://www.wps.cn/android/officeDocument/2013/mofficeCustomData" xmlns:mcd="http://www.wps.cn/android/officeDocument/2013/mofficeCustomData" version="2">
  <mcd:comments/>
</mcd:customData>
</file>

<file path=customXml/item82.xml><?xml version="1.0" encoding="utf-8"?>
<mcd:customData xmlns="http://www.wps.cn/android/officeDocument/2013/mofficeCustomData" xmlns:mcd="http://www.wps.cn/android/officeDocument/2013/mofficeCustomData" version="2">
  <mcd:comments/>
</mcd:customData>
</file>

<file path=customXml/item83.xml><?xml version="1.0" encoding="utf-8"?>
<mcd:customData xmlns="http://www.wps.cn/android/officeDocument/2013/mofficeCustomData" xmlns:mcd="http://www.wps.cn/android/officeDocument/2013/mofficeCustomData" version="2">
  <mcd:comments/>
</mcd:customData>
</file>

<file path=customXml/item84.xml><?xml version="1.0" encoding="utf-8"?>
<mcd:customData xmlns="http://www.wps.cn/android/officeDocument/2013/mofficeCustomData" xmlns:mcd="http://www.wps.cn/android/officeDocument/2013/mofficeCustomData" version="2">
  <mcd:comments/>
</mcd:customData>
</file>

<file path=customXml/item85.xml><?xml version="1.0" encoding="utf-8"?>
<mcd:customData xmlns="http://www.wps.cn/android/officeDocument/2013/mofficeCustomData" xmlns:mcd="http://www.wps.cn/android/officeDocument/2013/mofficeCustomData" version="2">
  <mcd:comments/>
</mcd:customData>
</file>

<file path=customXml/item86.xml><?xml version="1.0" encoding="utf-8"?>
<mcd:customData xmlns="http://www.wps.cn/android/officeDocument/2013/mofficeCustomData" xmlns:mcd="http://www.wps.cn/android/officeDocument/2013/mofficeCustomData" version="2">
  <mcd:comments/>
</mcd:customData>
</file>

<file path=customXml/item87.xml><?xml version="1.0" encoding="utf-8"?>
<mcd:customData xmlns="http://www.wps.cn/android/officeDocument/2013/mofficeCustomData" xmlns:mcd="http://www.wps.cn/android/officeDocument/2013/mofficeCustomData" version="2">
  <mcd:comments/>
</mcd:customData>
</file>

<file path=customXml/item88.xml><?xml version="1.0" encoding="utf-8"?>
<mcd:customData xmlns="http://www.wps.cn/android/officeDocument/2013/mofficeCustomData" xmlns:mcd="http://www.wps.cn/android/officeDocument/2013/mofficeCustomData" version="2">
  <mcd:comments/>
</mcd:customData>
</file>

<file path=customXml/item89.xml><?xml version="1.0" encoding="utf-8"?>
<mcd:customData xmlns="http://www.wps.cn/android/officeDocument/2013/mofficeCustomData" xmlns:mcd="http://www.wps.cn/android/officeDocument/2013/mofficeCustomData" version="2">
  <mcd:comments/>
</mcd:customData>
</file>

<file path=customXml/item90.xml><?xml version="1.0" encoding="utf-8"?>
<mcd:customData xmlns="http://www.wps.cn/android/officeDocument/2013/mofficeCustomData" xmlns:mcd="http://www.wps.cn/android/officeDocument/2013/mofficeCustomData" version="2">
  <mcd:comments/>
</mcd:customData>
</file>

<file path=customXml/item91.xml><?xml version="1.0" encoding="utf-8"?>
<mcd:customData xmlns="http://www.wps.cn/android/officeDocument/2013/mofficeCustomData" xmlns:mcd="http://www.wps.cn/android/officeDocument/2013/mofficeCustomData" version="2">
  <mcd:comments/>
</mcd:customData>
</file>

<file path=customXml/item92.xml><?xml version="1.0" encoding="utf-8"?>
<mcd:customData xmlns="http://www.wps.cn/android/officeDocument/2013/mofficeCustomData" xmlns:mcd="http://www.wps.cn/android/officeDocument/2013/mofficeCustomData" version="2">
  <mcd:comments/>
</mcd:customData>
</file>

<file path=customXml/item93.xml><?xml version="1.0" encoding="utf-8"?>
<mcd:customData xmlns="http://www.wps.cn/android/officeDocument/2013/mofficeCustomData" xmlns:mcd="http://www.wps.cn/android/officeDocument/2013/mofficeCustomData" version="2">
  <mcd:comments/>
</mcd:customData>
</file>

<file path=customXml/item94.xml><?xml version="1.0" encoding="utf-8"?>
<mcd:customData xmlns="http://www.wps.cn/android/officeDocument/2013/mofficeCustomData" xmlns:mcd="http://www.wps.cn/android/officeDocument/2013/mofficeCustomData" version="2">
  <mcd:comments/>
</mcd:customDat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mcd:customData xmlns="http://www.wps.cn/android/officeDocument/2013/mofficeCustomData" xmlns:mcd="http://www.wps.cn/android/officeDocument/2013/mofficeCustomData" version="2">
  <mcd:comments/>
</mcd:customData>
</file>

<file path=customXml/item97.xml><?xml version="1.0" encoding="utf-8"?>
<mcd:customData xmlns="http://www.wps.cn/android/officeDocument/2013/mofficeCustomData" xmlns:mcd="http://www.wps.cn/android/officeDocument/2013/mofficeCustomData" version="2">
  <mcd:comments/>
</mcd:customData>
</file>

<file path=customXml/item98.xml><?xml version="1.0" encoding="utf-8"?>
<mcd:customData xmlns="http://www.wps.cn/android/officeDocument/2013/mofficeCustomData" xmlns:mcd="http://www.wps.cn/android/officeDocument/2013/mofficeCustomData" version="2">
  <mcd:comments/>
</mcd:customData>
</file>

<file path=customXml/item99.xml><?xml version="1.0" encoding="utf-8"?>
<mcd:customData xmlns="http://www.wps.cn/android/officeDocument/2013/mofficeCustomData" xmlns:mcd="http://www.wps.cn/android/officeDocument/2013/mofficeCustomData" version="2">
  <mcd:comments/>
</mcd:customData>
</file>

<file path=customXml/item100.xml><?xml version="1.0" encoding="utf-8"?>
<mcd:customData xmlns="http://www.wps.cn/android/officeDocument/2013/mofficeCustomData" xmlns:mcd="http://www.wps.cn/android/officeDocument/2013/mofficeCustomData" version="2">
  <mcd:comments/>
</mcd:customData>
</file>

<file path=customXml/item101.xml><?xml version="1.0" encoding="utf-8"?>
<contractReview xmlns="http://schemas.wps.cn/vas-ai-hub/contract-review">
  <reviewItems>
    <reviewItem>
      <errorID>c76fa255-4223-4dcc-a17e-4bde17cf9858</errorID>
      <errorWord>＞</errorWord>
      <group>L1_Word</group>
      <groupName>字词问题</groupName>
      <ability>L2_Typo</ability>
      <abilityName>字词错误</abilityName>
      <candidateList>
        <item>&gt;</item>
      </candidateList>
      <explain/>
      <paraID>47FB466C</paraID>
      <start>0</start>
      <end>1</end>
      <status>modified</status>
      <modifiedWord>&gt;</modifiedWord>
      <trackRevisions>false</trackRevisions>
    </reviewItem>
    <reviewItem>
      <errorID>7947984c-70e4-46ad-a0b9-5b2abb81d17b</errorID>
      <errorWord>"旅游兴疆"</errorWord>
      <group>L1_Punc</group>
      <groupName>标点问题</groupName>
      <ability>L2_Punc_CN</ability>
      <abilityName>标点符号问题</abilityName>
      <candidateList>
        <item>“旅游兴疆”</item>
      </candidateList>
      <explain/>
      <paraID>32E3B583</paraID>
      <start>27</start>
      <end>33</end>
      <status>modified</status>
      <modifiedWord>“旅游兴疆”</modifiedWord>
      <trackRevisions>false</trackRevisions>
    </reviewItem>
    <reviewItem>
      <errorID>683df127-2c01-4a8f-8cea-e536a3fdb9f8</errorID>
      <errorWord>"不到喀什不算到新疆"</errorWord>
      <group>L1_Punc</group>
      <groupName>标点问题</groupName>
      <ability>L2_Punc_CN</ability>
      <abilityName>标点符号问题</abilityName>
      <candidateList>
        <item>“不到喀什不算到新疆”</item>
      </candidateList>
      <explain/>
      <paraID>32E3B583</paraID>
      <start>36</start>
      <end>47</end>
      <status>modified</status>
      <modifiedWord>“不到喀什不算到新疆”</modifiedWord>
      <trackRevisions>false</trackRevisions>
    </reviewItem>
    <reviewItem>
      <errorID>3beec528-9a06-47a5-a667-112c5f5bf6f8</errorID>
      <errorWord>"以项���促品牌、以品牌带产业、以产业惠民生"</errorWord>
      <group>L1_Political</group>
      <groupName>政治性问题</groupName>
      <ability>L2_Keyword</ability>
      <abilityName>固定表述</abilityName>
      <candidateList>
        <item>“以项目促品牌、以品牌带产业、以产业惠民生”</item>
      </candidateList>
      <explain>此处内容疑似含有固定表述相关错误，建议核查。</explain>
      <paraID>32E3B583</paraID>
      <start>59</start>
      <end>81</end>
      <status>modified</status>
      <modifiedWord>“以项目促品牌、以品牌带产业、以产业惠民生”</modifiedWord>
      <trackRevisions>false</trackRevisions>
    </reviewItem>
    <reviewItem>
      <errorID>1e30ea5f-82dc-4db7-93e7-76ada1a0c0a0</errorID>
      <errorWord>，</errorWord>
      <group>L1_Word</group>
      <groupName>字词问题</groupName>
      <ability>L2_Typo</ability>
      <abilityName>字词错误</abilityName>
      <candidateList>
        <item>，在</item>
      </candidateList>
      <explain/>
      <paraID>373087BB</paraID>
      <start>38</start>
      <end>40</end>
      <status>modified</status>
      <modifiedWord>，在</modifiedWord>
      <trackRevisions>false</trackRevisions>
    </reviewItem>
    <reviewItem>
      <errorID>1822f943-505e-4de1-a56e-2ecc15007d21</errorID>
      <errorWord>日至2026年</errorWord>
      <group>L1_Word</group>
      <groupName>字词问题</groupName>
      <ability>L2_Typo</ability>
      <abilityName>字词错误</abilityName>
      <candidateList>
        <item>日起至2026年</item>
      </candidateList>
      <explain/>
      <paraID> 4E2000B</paraID>
      <start>382</start>
      <end>389</end>
      <status>ignored</status>
      <modifiedWord/>
      <trackRevisions>false</trackRevisions>
    </reviewItem>
    <reviewItem>
      <errorID>6962605b-faee-42ea-9c03-4b56a15b1eb5</errorID>
      <errorWord>《新疆是个好地方》</errorWord>
      <group>L1_Punc</group>
      <groupName>标点问题</groupName>
      <ability>L2_Punc_CN</ability>
      <abilityName>标点符号问题</abilityName>
      <candidateList>
        <item>“新疆是个好地方”</item>
      </candidateList>
      <explain/>
      <paraID>4FEFE096</paraID>
      <start>239</start>
      <end>248</end>
      <status>modified</status>
      <modifiedWord>“新疆是个好地方”</modifiedWord>
      <trackRevisions>false</trackRevisions>
    </reviewItem>
    <reviewItem>
      <errorID>36d41594-6d32-438a-977a-5087d2ce5502</errorID>
      <errorWord>新疆是个好地方</errorWord>
      <group>L1_Punc</group>
      <groupName>标点问题</groupName>
      <ability>L2_Punc_CN</ability>
      <abilityName>标点符号问题</abilityName>
      <candidateList>
        <item>“新疆是个好地方”</item>
      </candidateList>
      <explain/>
      <paraID>4FEFE096</paraID>
      <start>384</start>
      <end>391</end>
      <status>ignored</status>
      <modifiedWord/>
      <trackRevisions>false</trackRevisions>
    </reviewItem>
    <reviewItem>
      <errorID>4062ef14-db4d-4ddc-adf5-16411d1debb9</errorID>
      <errorWord>新疆是个好地方</errorWord>
      <group>L1_Punc</group>
      <groupName>标点问题</groupName>
      <ability>L2_Punc_CN</ability>
      <abilityName>标点符号问题</abilityName>
      <candidateList>
        <item>“新疆是个好地方”</item>
      </candidateList>
      <explain/>
      <paraID>4FEFE096</paraID>
      <start>469</start>
      <end>476</end>
      <status>ignored</status>
      <modifiedWord/>
      <trackRevisions>false</trackRevisions>
    </reviewItem>
    <reviewItem>
      <errorID>8418e1ea-f55b-4f1e-931c-66834450670f</errorID>
      <errorWord>《新疆是个好地方》</errorWord>
      <group>L1_Punc</group>
      <groupName>标点问题</groupName>
      <ability>L2_Punc_CN</ability>
      <abilityName>标点符号问题</abilityName>
      <candidateList>
        <item>“新疆是个好地方”</item>
      </candidateList>
      <explain/>
      <paraID>513635BF</paraID>
      <start>98</start>
      <end>107</end>
      <status>modified</status>
      <modifiedWord>“新疆是个好地方”</modifiedWord>
      <trackRevisions>false</trackRevisions>
    </reviewItem>
    <reviewItem>
      <errorID>c45415f8-9e02-4640-aa3d-c1ba1f53c053</errorID>
      <errorWord>，舞台、</errorWord>
      <group>L1_Word</group>
      <groupName>字词问题</groupName>
      <ability>L2_Typo</ability>
      <abilityName>字词错误</abilityName>
      <candidateList>
        <item>、舞台</item>
      </candidateList>
      <explain/>
      <paraID> 4B65EC4</paraID>
      <start>54</start>
      <end>58</end>
      <status>ignored</status>
      <modifiedWord/>
      <trackRevisions>false</trackRevisions>
    </reviewItem>
    <reviewItem>
      <errorID>fe006fec-c56d-43cc-8306-a8e0d16f8099</errorID>
      <errorWord>至2025年12</errorWord>
      <group>L1_Word</group>
      <groupName>字词问题</groupName>
      <ability>L2_Typo</ability>
      <abilityName>字词错误</abilityName>
      <candidateList>
        <item>截至2025年12</item>
      </candidateList>
      <explain/>
      <paraID>5EBAFABB</paraID>
      <start>14</start>
      <end>22</end>
      <status>ignored</status>
      <modifiedWord/>
      <trackRevisions>false</trackRevisions>
    </reviewItem>
    <reviewItem>
      <errorID>883334b9-adc5-49e2-bd2e-f64ed9de1c19</errorID>
      <errorWord>根据</errorWord>
      <group>L1_Word</group>
      <groupName>字词问题</groupName>
      <ability>L2_Typo</ability>
      <abilityName>字词错误</abilityName>
      <candidateList>
        <item>提供的</item>
      </candidateList>
      <explain/>
      <paraID>14877FB3</paraID>
      <start>206</start>
      <end>208</end>
      <status>ignored</status>
      <modifiedWord/>
      <trackRevisions>false</trackRevisions>
    </reviewItem>
    <reviewItem>
      <errorID>e363032c-de32-46ed-a056-659d17a79183</errorID>
      <errorWord>提供</errorWord>
      <group>L1_Word</group>
      <groupName>字词问题</groupName>
      <ability>L2_Typo</ability>
      <abilityName>字词错误</abilityName>
      <candidateList>
        <item>开展</item>
      </candidateList>
      <explain/>
      <paraID>14877FB3</paraID>
      <start>215</start>
      <end>217</end>
      <status>ignored</status>
      <modifiedWord/>
      <trackRevisions>false</trackRevisions>
    </reviewItem>
    <reviewItem>
      <errorID>181475e0-9bed-4d4f-9d61-e36794054f58</errorID>
      <errorWord>相关</errorWord>
      <group>L1_Grammar</group>
      <groupName>语法问题</groupName>
      <ability>L2_Grammar</ability>
      <abilityName>语法错误</abilityName>
      <candidateList>
        <item>，并收集相关</item>
      </candidateList>
      <explain/>
      <paraID>14877FB3</paraID>
      <start>241</start>
      <end>243</end>
      <status>ignored</status>
      <modifiedWord/>
      <trackRevisions>false</trackRevisions>
    </reviewItem>
    <reviewItem>
      <errorID>f06cb197-41cf-43c1-80ab-d8b4605271ed</errorID>
      <errorWord>》</errorWord>
      <group>L1_Word</group>
      <groupName>字词问题</groupName>
      <ability>L2_Typo</ability>
      <abilityName>字词错误</abilityName>
      <candidateList>
        <item>》和</item>
      </candidateList>
      <explain/>
      <paraID> 1E5CF3A</paraID>
      <start>13</start>
      <end>14</end>
      <status>ignored</status>
      <modifiedWord/>
      <trackRevisions>false</trackRevisions>
    </reviewItem>
    <reviewItem>
      <errorID>b50f3a46-c5d5-461e-9be9-6cbaca8846c8</errorID>
      <errorWord>和</errorWord>
      <group>L1_Word</group>
      <groupName>字词问题</groupName>
      <ability>L2_Typo</ability>
      <abilityName>字词错误</abilityName>
      <candidateList>
        <item>，</item>
      </candidateList>
      <explain/>
      <paraID>12070D4C</paraID>
      <start>17</start>
      <end>18</end>
      <status>ignored</status>
      <modifiedWord/>
      <trackRevisions>false</trackRevisions>
    </reviewItem>
    <reviewItem>
      <errorID>562cf504-8165-4552-b3ec-fb6153d14a44</errorID>
      <errorWord>内部</errorWord>
      <group>L1_Grammar</group>
      <groupName>语法问题</groupName>
      <ability>L2_Grammar</ability>
      <abilityName>语法错误</abilityName>
      <candidateList>
        <item>，进行内部</item>
      </candidateList>
      <explain/>
      <paraID>12070D4C</paraID>
      <start>24</start>
      <end>26</end>
      <status>ignored</status>
      <modifiedWord/>
      <trackRevisions>false</trackRevisions>
    </reviewItem>
    <reviewItem>
      <errorID>f2f219b0-65ff-4b21-a69d-5a1aa86d7a13</errorID>
      <errorWord>，整理及数据分析、</errorWord>
      <group>L1_Word</group>
      <groupName>字词问题</groupName>
      <ability>L2_Typo</ability>
      <abilityName>字词错误</abilityName>
      <candidateList>
        <item>、整理及数据分析，</item>
      </candidateList>
      <explain/>
      <paraID>51C8EFB1</paraID>
      <start>14</start>
      <end>23</end>
      <status>ignored</status>
      <modifiedWord/>
      <trackRevisions>false</trackRevisions>
    </reviewItem>
    <reviewItem>
      <errorID>ec5e450d-9db7-49bc-9857-c792eb0d9519</errorID>
      <errorWord>及评价报告并对</errorWord>
      <group>L1_Grammar</group>
      <groupName>语法问题</groupName>
      <ability>L2_Grammar</ability>
      <abilityName>语法错误</abilityName>
      <candidateList>
        <item>及</item>
      </candidateList>
      <explain/>
      <paraID>51C8EFB1</paraID>
      <start>29</start>
      <end>36</end>
      <status>ignored</status>
      <modifiedWord/>
      <trackRevisions>false</trackRevisions>
    </reviewItem>
    <reviewItem>
      <errorID>17785863-f966-435a-8ced-e2352fe06898</errorID>
      <errorWord>报告进行负责</errorWord>
      <group>L1_Grammar</group>
      <groupName>语法问题</groupName>
      <ability>L2_Grammar</ability>
      <abilityName>语法错误</abilityName>
      <candidateList>
        <item>报告</item>
      </candidateList>
      <explain/>
      <paraID>51C8EFB1</paraID>
      <start>38</start>
      <end>44</end>
      <status>ignored</status>
      <modifiedWord/>
      <trackRevisions>false</trackRevisions>
    </reviewItem>
    <reviewItem>
      <errorID>7ea4a694-51df-47a1-9f8b-3dda0a22f498</errorID>
      <errorWord>日至2026年</errorWord>
      <group>L1_Word</group>
      <groupName>字词问题</groupName>
      <ability>L2_Typo</ability>
      <abilityName>字词错误</abilityName>
      <candidateList>
        <item>日起至2026年</item>
      </candidateList>
      <explain/>
      <paraID>71B79064</paraID>
      <start>17</start>
      <end>24</end>
      <status>ignored</status>
      <modifiedWord/>
      <trackRevisions>false</trackRevisions>
    </reviewItem>
    <reviewItem>
      <errorID>c49b2344-c527-4328-b1ed-2f5ac8d2fc45</errorID>
      <errorWord>日至2026年</errorWord>
      <group>L1_Word</group>
      <groupName>字词问题</groupName>
      <ability>L2_Typo</ability>
      <abilityName>字词错误</abilityName>
      <candidateList>
        <item>日起至2026年</item>
      </candidateList>
      <explain/>
      <paraID>5C252EF9</paraID>
      <start>17</start>
      <end>24</end>
      <status>ignored</status>
      <modifiedWord/>
      <trackRevisions>false</trackRevisions>
    </reviewItem>
    <reviewItem>
      <errorID>629eeac5-e409-41ea-90e2-da9e9d20145d</errorID>
      <errorWord>项目</errorWord>
      <group>L1_Word</group>
      <groupName>字词问题</groupName>
      <ability>L2_Typo</ability>
      <abilityName>字词错误</abilityName>
      <candidateList>
        <item>给项目</item>
      </candidateList>
      <explain/>
      <paraID>5C252EF9</paraID>
      <start>160</start>
      <end>162</end>
      <status>ignored</status>
      <modifiedWord/>
      <trackRevisions>false</trackRevisions>
    </reviewItem>
    <reviewItem>
      <errorID>169a99cc-efae-4699-85fb-9851d8874548</errorID>
      <errorWord>日至2026年</errorWord>
      <group>L1_Word</group>
      <groupName>字词问题</groupName>
      <ability>L2_Typo</ability>
      <abilityName>字词错误</abilityName>
      <candidateList>
        <item>日起至2026年</item>
      </candidateList>
      <explain/>
      <paraID>2D9D23CE</paraID>
      <start>18</start>
      <end>25</end>
      <status>ignored</status>
      <modifiedWord/>
      <trackRevisions>false</trackRevisions>
    </reviewItem>
    <reviewItem>
      <errorID>f972faef-027b-4ba7-8e20-f2837a7b0b0b</errorID>
      <errorWord>日至2026年</errorWord>
      <group>L1_Word</group>
      <groupName>字词问题</groupName>
      <ability>L2_Typo</ability>
      <abilityName>字词错误</abilityName>
      <candidateList>
        <item>日起至2026年</item>
      </candidateList>
      <explain/>
      <paraID>589B3F42</paraID>
      <start>17</start>
      <end>24</end>
      <status>ignored</status>
      <modifiedWord/>
      <trackRevisions>false</trackRevisions>
    </reviewItem>
    <reviewItem>
      <errorID>238b6df8-51ce-4e90-852b-5d9a15276aad</errorID>
      <errorWord>日至2026年</errorWord>
      <group>L1_Word</group>
      <groupName>字词问题</groupName>
      <ability>L2_Typo</ability>
      <abilityName>字词错误</abilityName>
      <candidateList>
        <item>日起至2026年</item>
      </candidateList>
      <explain/>
      <paraID>7614EDA3</paraID>
      <start>21</start>
      <end>28</end>
      <status>ignored</status>
      <modifiedWord/>
      <trackRevisions>false</trackRevisions>
    </reviewItem>
    <reviewItem>
      <errorID>76d8726c-b134-4e9f-9bd0-4ea4fb6f904d</errorID>
      <errorWord>实施取得了</errorWord>
      <group>L1_Grammar</group>
      <groupName>语法问题</groupName>
      <ability>L2_Grammar</ability>
      <abilityName>语法错误</abilityName>
      <candidateList>
        <item>实施</item>
      </candidateList>
      <explain/>
      <paraID>36199F9B</paraID>
      <start>305</start>
      <end>310</end>
      <status>ignored</status>
      <modifiedWord/>
      <trackRevisions>false</trackRevisions>
    </reviewItem>
    <reviewItem>
      <errorID>3e8e2433-f16d-4b3c-bc6d-9de7eb66f837</errorID>
      <errorWord>的</errorWord>
      <group>L1_Grammar</group>
      <groupName>语法问题</groupName>
      <ability>L2_Grammar</ability>
      <abilityName>语法错误</abilityName>
      <candidateList>
        <item>取得了</item>
      </candidateList>
      <explain/>
      <paraID>36199F9B</paraID>
      <start>333</start>
      <end>334</end>
      <status>ignored</status>
      <modifiedWord/>
      <trackRevisions>false</trackRevisions>
    </reviewItem>
    <reviewItem>
      <errorID>a2421f3b-f423-43ec-b739-d6fcf9a51dc0</errorID>
      <errorWord>）文件</errorWord>
      <group>L1_Grammar</group>
      <groupName>语法问题</groupName>
      <ability>L2_Grammar</ability>
      <abilityName>语法错误</abilityName>
      <candidateList>
        <item>）</item>
      </candidateList>
      <explain/>
      <paraID>65D53269</paraID>
      <start>107</start>
      <end>110</end>
      <status>ignored</status>
      <modifiedWord/>
      <trackRevisions>false</trackRevisions>
    </reviewItem>
    <reviewItem>
      <errorID>3f0cabe2-cb76-48c3-bfc5-0f1244554e42</errorID>
      <errorWord>，</errorWord>
      <group>L1_Punc</group>
      <groupName>标点问题</groupName>
      <ability>L2_Punc_CN</ability>
      <abilityName>标点符号问题</abilityName>
      <candidateList>
        <item/>
      </candidateList>
      <explain/>
      <paraID>65D53269</paraID>
      <start>220</start>
      <end>221</end>
      <status>ignored</status>
      <modifiedWord/>
      <trackRevisions>false</trackRevisions>
    </reviewItem>
    <reviewItem>
      <errorID>af09ec2d-f76a-4577-98d8-1e6edaa903b7</errorID>
      <errorWord>：</errorWord>
      <group>L1_Punc</group>
      <groupName>标点问题</groupName>
      <ability>L2_Punc_CN</ability>
      <abilityName>标点符号问题</abilityName>
      <candidateList>
        <item>。</item>
      </candidateList>
      <explain/>
      <paraID>65D53269</paraID>
      <start>257</start>
      <end>258</end>
      <status>modified</status>
      <modifiedWord>。</modifiedWord>
      <trackRevisions>false</trackRevisions>
    </reviewItem>
    <reviewItem>
      <errorID>00e7c3a1-35e7-4925-a6eb-14033e597926</errorID>
      <errorWord>关于</errorWord>
      <group>L1_Punc</group>
      <groupName>标点问题</groupName>
      <ability>L2_Punc_CN</ability>
      <abilityName>标点符号问题</abilityName>
      <candidateList>
        <item>《关于</item>
      </candidateList>
      <explain/>
      <paraID>4B7A0397</paraID>
      <start>6</start>
      <end>8</end>
      <status>ignored</status>
      <modifiedWord/>
      <trackRevisions>false</trackRevisions>
    </reviewItem>
    <reviewItem>
      <errorID>57d03613-e73c-48e1-be1e-a9bf446112c3</errorID>
      <errorWord>《</errorWord>
      <group>L1_Punc</group>
      <groupName>标点问题</groupName>
      <ability>L2_Punc_CN</ability>
      <abilityName>标点符号问题</abilityName>
      <candidateList>
        <item>〈</item>
      </candidateList>
      <explain/>
      <paraID>4B7A0397</paraID>
      <start>10</start>
      <end>11</end>
      <status>ignored</status>
      <modifiedWord/>
      <trackRevisions>false</trackRevisions>
    </reviewItem>
    <reviewItem>
      <errorID>075d2fd8-d302-4a3d-9280-386634b8044e</errorID>
      <errorWord>》</errorWord>
      <group>L1_Punc</group>
      <groupName>标点问题</groupName>
      <ability>L2_Punc_CN</ability>
      <abilityName>标点符号问题</abilityName>
      <candidateList>
        <item>〉</item>
      </candidateList>
      <explain/>
      <paraID>4B7A0397</paraID>
      <start>42</start>
      <end>43</end>
      <status>ignored</status>
      <modifiedWord/>
      <trackRevisions>false</trackRevisions>
    </reviewItem>
    <reviewItem>
      <errorID>4ee1dfcf-7efe-4d45-8b14-855b6533a1cf</errorID>
      <errorWord>，</errorWord>
      <group>L1_Word</group>
      <groupName>字词问题</groupName>
      <ability>L2_Typo</ability>
      <abilityName>字词错误</abilityName>
      <candidateList>
        <item>，具</item>
      </candidateList>
      <explain/>
      <paraID>794CBECD</paraID>
      <start>79</start>
      <end>80</end>
      <status>ignored</status>
      <modifiedWord/>
      <trackRevisions>false</trackRevisions>
    </reviewItem>
    <reviewItem>
      <errorID>74865937-c064-46f1-9f06-7c47d01efe36</errorID>
      <errorWord>。</errorWord>
      <group>L1_Punc</group>
      <groupName>标点问题</groupName>
      <ability>L2_Punc_CN</ability>
      <abilityName>标点符号问题</abilityName>
      <candidateList>
        <item>，</item>
      </candidateList>
      <explain/>
      <paraID>794CBECD</paraID>
      <start>124</start>
      <end>125</end>
      <status>ignored</status>
      <modifiedWord/>
      <trackRevisions>false</trackRevisions>
    </reviewItem>
    <reviewItem>
      <errorID>c0a4491d-0ef1-47a9-ab2b-5da7d6b7b6e9</errorID>
      <errorWord>综上所述</errorWord>
      <group>L1_Grammar</group>
      <groupName>语法问题</groupName>
      <ability>L2_Grammar</ability>
      <abilityName>语法错误</abilityName>
      <candidateList>
        <item>综上</item>
      </candidateList>
      <explain/>
      <paraID>464B9024</paraID>
      <start>0</start>
      <end>4</end>
      <status>ignored</status>
      <modifiedWord/>
      <trackRevisions>false</trackRevisions>
    </reviewItem>
    <reviewItem>
      <errorID>7daee2f5-dbf7-4940-bcdc-37c8afbbf167</errorID>
      <errorWord>号文</errorWord>
      <group>L1_Word</group>
      <groupName>字词问题</groupName>
      <ability>L2_Typo</ability>
      <abilityName>字词错误</abilityName>
      <candidateList>
        <item>号</item>
      </candidateList>
      <explain/>
      <paraID>5EF18445</paraID>
      <start>121</start>
      <end>122</end>
      <status>modified</status>
      <modifiedWord>号</modifiedWord>
      <trackRevisions>false</trackRevisions>
    </reviewItem>
    <reviewItem>
      <errorID>af27b903-61a7-4da0-a8ba-c693cfa811a2</errorID>
      <errorWord>/</errorWord>
      <group>L1_Word</group>
      <groupName>字词问题</groupName>
      <ability>L2_Typo</ability>
      <abilityName>字词错误</abilityName>
      <candidateList>
        <item>÷</item>
      </candidateList>
      <explain/>
      <paraID>27F8E339</paraID>
      <start>82</start>
      <end>83</end>
      <status>ignored</status>
      <modifiedWord/>
      <trackRevisions>false</trackRevisions>
    </reviewItem>
    <reviewItem>
      <errorID>acf5e3b4-108b-4f1c-8ce5-5228bbd0650b</errorID>
      <errorWord>“</errorWord>
      <group>L1_Word</group>
      <groupName>字词问题</groupName>
      <ability>L2_Typo</ability>
      <abilityName>字词错误</abilityName>
      <candidateList>
        <item>为“</item>
      </candidateList>
      <explain/>
      <paraID>77FC6DD3</paraID>
      <start>248</start>
      <end>249</end>
      <status>ignored</status>
      <modifiedWord/>
      <trackRevisions>false</trackRevisions>
    </reviewItem>
    <reviewItem>
      <errorID>ae83e4fd-e96c-4b0c-a04e-258441879e8c</errorID>
      <errorWord>：</errorWord>
      <group>L1_Format</group>
      <groupName>格式问题</groupName>
      <ability>L2_HalfPunc_CN</ability>
      <abilityName>全半角问题</abilityName>
      <candidateList>
        <item>:</item>
      </candidateList>
      <explain>文本全半角错误。</explain>
      <paraID>2353A32B</paraID>
      <start>3</start>
      <end>4</end>
      <status>modified</status>
      <modifiedWord>:</modifiedWord>
      <trackRevisions>false</trackRevisions>
    </reviewItem>
    <reviewItem>
      <errorID>239d5615-c456-4720-96c1-cdd6f0d9b154</errorID>
      <errorWord>(</errorWord>
      <group>L1_Format</group>
      <groupName>格式问题</groupName>
      <ability>L2_HalfPunc_CN</ability>
      <abilityName>全半角问题</abilityName>
      <candidateList>
        <item>（</item>
      </candidateList>
      <explain>文本全半角错误。</explain>
      <paraID>2BE0BCB9</paraID>
      <start>174</start>
      <end>175</end>
      <status>ignored</status>
      <modifiedWord/>
      <trackRevisions>false</trackRevisions>
    </reviewItem>
    <reviewItem>
      <errorID>e4b9d23f-043c-4700-94ab-daeb8e2bdbb4</errorID>
      <errorWord>)</errorWord>
      <group>L1_Format</group>
      <groupName>格式问题</groupName>
      <ability>L2_HalfPunc_CN</ability>
      <abilityName>全半角问题</abilityName>
      <candidateList>
        <item>）</item>
      </candidateList>
      <explain>文本全半角错误。</explain>
      <paraID>2BE0BCB9</paraID>
      <start>176</start>
      <end>177</end>
      <status>ignored</status>
      <modifiedWord/>
      <trackRevisions>false</trackRevisions>
    </reviewItem>
    <reviewItem>
      <errorID>529e8a73-cccb-416f-850e-4072b30d4b9f</errorID>
      <errorWord>(</errorWord>
      <group>L1_Format</group>
      <groupName>格式问题</groupName>
      <ability>L2_HalfPunc_CN</ability>
      <abilityName>全半角问题</abilityName>
      <candidateList>
        <item>（</item>
      </candidateList>
      <explain>文本全半角错误。</explain>
      <paraID>2BE0BCB9</paraID>
      <start>237</start>
      <end>238</end>
      <status>ignored</status>
      <modifiedWord/>
      <trackRevisions>false</trackRevisions>
    </reviewItem>
    <reviewItem>
      <errorID>d2cd66f8-a533-47e2-8152-76102acc06e8</errorID>
      <errorWord>)</errorWord>
      <group>L1_Format</group>
      <groupName>格式问题</groupName>
      <ability>L2_HalfPunc_CN</ability>
      <abilityName>全半角问题</abilityName>
      <candidateList>
        <item>）</item>
      </candidateList>
      <explain>文本全半角错误。</explain>
      <paraID>2BE0BCB9</paraID>
      <start>239</start>
      <end>240</end>
      <status>ignored</status>
      <modifiedWord/>
      <trackRevisions>false</trackRevisions>
    </reviewItem>
    <reviewItem>
      <errorID>f617e575-a29a-4e27-8da1-ca690773dab7</errorID>
      <errorWord>否则</errorWord>
      <group>L1_Punc</group>
      <groupName>标点问题</groupName>
      <ability>L2_Punc_CN</ability>
      <abilityName>标点符号问题</abilityName>
      <candidateList>
        <item>，否则</item>
      </candidateList>
      <explain/>
      <paraID>2A1E09AE</paraID>
      <start>18</start>
      <end>21</end>
      <status>modified</status>
      <modifiedWord>，否则</modifiedWord>
      <trackRevisions>false</trackRevisions>
    </reviewItem>
    <reviewItem>
      <errorID>7cc5e977-a39b-4c98-8f74-59c1c0dee4b8</errorID>
      <errorWord>；；</errorWord>
      <group>L1_Punc</group>
      <groupName>标点问题</groupName>
      <ability>L2_Punc_CN</ability>
      <abilityName>标点符号问题</abilityName>
      <candidateList>
        <item>。</item>
      </candidateList>
      <explain/>
      <paraID>2A1E09AE</paraID>
      <start>25</start>
      <end>26</end>
      <status>modified</status>
      <modifiedWord>。</modifiedWord>
      <trackRevisions>false</trackRevisions>
    </reviewItem>
    <reviewItem>
      <errorID>2db1b2ce-bc63-4eb8-ac38-8538f3e38c27</errorID>
      <errorWord>、</errorWord>
      <group>L1_Punc</group>
      <groupName>标点问题</groupName>
      <ability>L2_Punc_CN</ability>
      <abilityName>标点符号问题</abilityName>
      <candidateList>
        <item>，</item>
      </candidateList>
      <explain/>
      <paraID>4A0D1710</paraID>
      <start>60</start>
      <end>61</end>
      <status>ignored</status>
      <modifiedWord/>
      <trackRevisions>false</trackRevisions>
    </reviewItem>
    <reviewItem>
      <errorID>18fddc6a-265e-4486-9f30-86b637f790d3</errorID>
      <errorWord>，</errorWord>
      <group>L1_Word</group>
      <groupName>字词问题</groupName>
      <ability>L2_Typo</ability>
      <abilityName>字词错误</abilityName>
      <candidateList>
        <item>，具</item>
      </candidateList>
      <explain/>
      <paraID>4A0D1710</paraID>
      <start>81</start>
      <end>82</end>
      <status>ignored</status>
      <modifiedWord/>
      <trackRevisions>false</trackRevisions>
    </reviewItem>
    <reviewItem>
      <errorID>66915c0b-3285-41f2-92d0-bf78211fe4c5</errorID>
      <errorWord>，</errorWord>
      <group>L1_Punc</group>
      <groupName>标点问题</groupName>
      <ability>L2_Punc_CN</ability>
      <abilityName>标点符号问题</abilityName>
      <candidateList>
        <item>。</item>
      </candidateList>
      <explain/>
      <paraID>4A0D1710</paraID>
      <start>90</start>
      <end>91</end>
      <status>ignored</status>
      <modifiedWord/>
      <trackRevisions>false</trackRevisions>
    </reviewItem>
    <reviewItem>
      <errorID>88f7016f-4006-45dc-a1e3-87e4d6ed93ee</errorID>
      <errorWord>》显示</errorWord>
      <group>L1_Grammar</group>
      <groupName>语法问题</groupName>
      <ability>L2_Grammar</ability>
      <abilityName>语法错误</abilityName>
      <candidateList>
        <item>》</item>
      </candidateList>
      <explain/>
      <paraID>44F8F372</paraID>
      <start>42</start>
      <end>45</end>
      <status>ignored</status>
      <modifiedWord/>
      <trackRevisions>false</trackRevisions>
    </reviewItem>
    <reviewItem>
      <errorID>3744c8a0-357c-47e9-ae62-9d3f8434213a</errorID>
      <errorWord>否则</errorWord>
      <group>L1_Punc</group>
      <groupName>标点问题</groupName>
      <ability>L2_Punc_CN</ability>
      <abilityName>标点符号问题</abilityName>
      <candidateList>
        <item>，否则</item>
      </candidateList>
      <explain/>
      <paraID>1588CA38</paraID>
      <start>23</start>
      <end>26</end>
      <status>modified</status>
      <modifiedWord>，否则</modifiedWord>
      <trackRevisions>false</trackRevisions>
    </reviewItem>
    <reviewItem>
      <errorID>71e890ee-7bf3-4d79-bc4f-ced5a9f24140</errorID>
      <errorWord>；</errorWord>
      <group>L1_Punc</group>
      <groupName>标点问题</groupName>
      <ability>L2_Punc_CN</ability>
      <abilityName>标点符号问题</abilityName>
      <candidateList>
        <item>。</item>
      </candidateList>
      <explain/>
      <paraID>1588CA38</paraID>
      <start>30</start>
      <end>31</end>
      <status>ignored</status>
      <modifiedWord/>
      <trackRevisions>false</trackRevisions>
    </reviewItem>
    <reviewItem>
      <errorID>9a344dc7-771f-46c2-ae94-7043941fc37d</errorID>
      <errorWord>否则</errorWord>
      <group>L1_Punc</group>
      <groupName>标点问题</groupName>
      <ability>L2_Punc_CN</ability>
      <abilityName>标点符号问题</abilityName>
      <candidateList>
        <item>，否则</item>
      </candidateList>
      <explain/>
      <paraID>12F981D2</paraID>
      <start>25</start>
      <end>28</end>
      <status>modified</status>
      <modifiedWord>，否则</modifiedWord>
      <trackRevisions>false</trackRevisions>
    </reviewItem>
    <reviewItem>
      <errorID>3e4a2069-48f0-4dd2-a85c-5a63229db330</errorID>
      <errorWord>；</errorWord>
      <group>L1_Punc</group>
      <groupName>标点问题</groupName>
      <ability>L2_Punc_CN</ability>
      <abilityName>标点符号问题</abilityName>
      <candidateList>
        <item>。</item>
      </candidateList>
      <explain/>
      <paraID>12F981D2</paraID>
      <start>32</start>
      <end>33</end>
      <status>ignored</status>
      <modifiedWord/>
      <trackRevisions>false</trackRevisions>
    </reviewItem>
    <reviewItem>
      <errorID>2389a53b-71d7-4435-8175-fdec3640fcdc</errorID>
      <errorWord>否则</errorWord>
      <group>L1_Punc</group>
      <groupName>标点问题</groupName>
      <ability>L2_Punc_CN</ability>
      <abilityName>标点符号问题</abilityName>
      <candidateList>
        <item>，否则</item>
      </candidateList>
      <explain/>
      <paraID>730B828D</paraID>
      <start>20</start>
      <end>23</end>
      <status>modified</status>
      <modifiedWord>，否则</modifiedWord>
      <trackRevisions>false</trackRevisions>
    </reviewItem>
    <reviewItem>
      <errorID>0c30ac1d-cc28-4a6f-8d37-a484e36efe19</errorID>
      <errorWord>；</errorWord>
      <group>L1_Punc</group>
      <groupName>标点问题</groupName>
      <ability>L2_Punc_CN</ability>
      <abilityName>标点符号问题</abilityName>
      <candidateList>
        <item>。</item>
      </candidateList>
      <explain/>
      <paraID>730B828D</paraID>
      <start>27</start>
      <end>28</end>
      <status>ignored</status>
      <modifiedWord/>
      <trackRevisions>false</trackRevisions>
    </reviewItem>
    <reviewItem>
      <errorID>3f1b42fd-d1e4-499a-83a4-2df59968acab</errorID>
      <errorWord>否则</errorWord>
      <group>L1_Punc</group>
      <groupName>标点问题</groupName>
      <ability>L2_Punc_CN</ability>
      <abilityName>标点符号问题</abilityName>
      <candidateList>
        <item>，否则</item>
      </candidateList>
      <explain/>
      <paraID>1A7CF92B</paraID>
      <start>29</start>
      <end>32</end>
      <status>modified</status>
      <modifiedWord>，否则</modifiedWord>
      <trackRevisions>false</trackRevisions>
    </reviewItem>
    <reviewItem>
      <errorID>37a2fc9c-8f09-48ed-9381-c61615970f8d</errorID>
      <errorWord>》文件</errorWord>
      <group>L1_Grammar</group>
      <groupName>语法问题</groupName>
      <ability>L2_Grammar</ability>
      <abilityName>语法错误</abilityName>
      <candidateList>
        <item>》</item>
      </candidateList>
      <explain/>
      <paraID>7036985E</paraID>
      <start>56</start>
      <end>59</end>
      <status>ignored</status>
      <modifiedWord/>
      <trackRevisions>false</trackRevisions>
    </reviewItem>
    <reviewItem>
      <errorID>4c5e13d2-271d-4a0f-8ff9-c492b36accc3</errorID>
      <errorWord>(</errorWord>
      <group>L1_Format</group>
      <groupName>格式问题</groupName>
      <ability>L2_HalfPunc_CN</ability>
      <abilityName>全半角问题</abilityName>
      <candidateList>
        <item>（</item>
      </candidateList>
      <explain>文本全半角错误。</explain>
      <paraID>2C6D8177</paraID>
      <start>162</start>
      <end>163</end>
      <status>ignored</status>
      <modifiedWord/>
      <trackRevisions>false</trackRevisions>
    </reviewItem>
    <reviewItem>
      <errorID>c6cf5ebb-af7b-4d43-828a-3a8c612e70ca</errorID>
      <errorWord>)</errorWord>
      <group>L1_Format</group>
      <groupName>格式问题</groupName>
      <ability>L2_HalfPunc_CN</ability>
      <abilityName>全半角问题</abilityName>
      <candidateList>
        <item>）</item>
      </candidateList>
      <explain>文本全半角错误。</explain>
      <paraID>2C6D8177</paraID>
      <start>175</start>
      <end>176</end>
      <status>ignored</status>
      <modifiedWord/>
      <trackRevisions>false</trackRevisions>
    </reviewItem>
    <reviewItem>
      <errorID>b057d056-d090-4da0-a016-f34a1df82d31</errorID>
      <errorWord>资金</errorWord>
      <group>L1_Punc</group>
      <groupName>标点问题</groupName>
      <ability>L2_Punc_CN</ability>
      <abilityName>标点符号问题</abilityName>
      <candidateList>
        <item>，资金</item>
      </candidateList>
      <explain/>
      <paraID>32FC6F37</paraID>
      <start>110</start>
      <end>112</end>
      <status>ignored</status>
      <modifiedWord/>
      <trackRevisions>false</trackRevisions>
    </reviewItem>
    <reviewItem>
      <errorID>18b423aa-8efb-4996-8bee-9710f2fd0cf0</errorID>
      <errorWord>》</errorWord>
      <group>L1_Word</group>
      <groupName>字词问题</groupName>
      <ability>L2_Typo</ability>
      <abilityName>字词错误</abilityName>
      <candidateList>
        <item>》和</item>
      </candidateList>
      <explain/>
      <paraID>32FC6F37</paraID>
      <start>201</start>
      <end>202</end>
      <status>ignored</status>
      <modifiedWord/>
      <trackRevisions>false</trackRevisions>
    </reviewItem>
    <reviewItem>
      <errorID>ec7cd636-6cdf-4141-bb58-fb5768721568</errorID>
      <errorWord>经</errorWord>
      <group>L1_Punc</group>
      <groupName>标点问题</groupName>
      <ability>L2_Punc_CN</ability>
      <abilityName>标点符号问题</abilityName>
      <candidateList>
        <item>，经</item>
      </candidateList>
      <explain/>
      <paraID>75038757</paraID>
      <start>13</start>
      <end>15</end>
      <status>modified</status>
      <modifiedWord>，经</modifiedWord>
      <trackRevisions>false</trackRevisions>
    </reviewItem>
    <reviewItem>
      <errorID>a3e72bbf-9536-41f5-a44d-fb0ac929e31a</errorID>
      <errorWord>与</errorWord>
      <group>L1_Grammar</group>
      <groupName>语法问题</groupName>
      <ability>L2_Grammar</ability>
      <abilityName>语法错误</abilityName>
      <candidateList>
        <item>，发现与</item>
      </candidateList>
      <explain/>
      <paraID>75038757</paraID>
      <start>19</start>
      <end>20</end>
      <status>ignored</status>
      <modifiedWord/>
      <trackRevisions>false</trackRevisions>
    </reviewItem>
    <reviewItem>
      <errorID>1352b9eb-e32b-4b57-ba83-789fc11b5bb7</errorID>
      <errorWord>《</errorWord>
      <group>L1_Punc</group>
      <groupName>标点问题</groupName>
      <ability>L2_Punc_CN</ability>
      <abilityName>标点符号问题</abilityName>
      <candidateList>
        <item>、《</item>
      </candidateList>
      <explain/>
      <paraID>75038757</paraID>
      <start>122</start>
      <end>123</end>
      <status>ignored</status>
      <modifiedWord/>
      <trackRevisions>false</trackRevisions>
    </reviewItem>
    <reviewItem>
      <errorID>f5b81dbf-41f5-4db7-b240-1c44860fe969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75038757</paraID>
      <start>163</start>
      <end>166</end>
      <status>ignored</status>
      <modifiedWord/>
      <trackRevisions>false</trackRevisions>
    </reviewItem>
    <reviewItem>
      <errorID>c2c2298f-8bfa-4098-960b-f0f4cfbfb493</errorID>
      <errorWord>，</errorWord>
      <group>L1_Punc</group>
      <groupName>标点问题</groupName>
      <ability>L2_Punc_CN</ability>
      <abilityName>标点符号问题</abilityName>
      <candidateList>
        <item>。</item>
      </candidateList>
      <explain/>
      <paraID>75038757</paraID>
      <start>188</start>
      <end>189</end>
      <status>ignored</status>
      <modifiedWord/>
      <trackRevisions>false</trackRevisions>
    </reviewItem>
    <reviewItem>
      <errorID>bd544c88-3ab8-45af-8fca-633909dc4771</errorID>
      <errorWord>付款的</errorWord>
      <group>L1_Word</group>
      <groupName>字词问题</groupName>
      <ability>L2_Typo</ability>
      <abilityName>字词错误</abilityName>
      <candidateList>
        <item>付款</item>
      </candidateList>
      <explain/>
      <paraID>75038757</paraID>
      <start>205</start>
      <end>208</end>
      <status>ignored</status>
      <modifiedWord/>
      <trackRevisions>false</trackRevisions>
    </reviewItem>
    <reviewItem>
      <errorID>741baf6c-1367-44cc-86db-690353e47e3e</errorID>
      <errorWord>，“</errorWord>
      <group>L1_Punc</group>
      <groupName>标点问题</groupName>
      <ability>L2_Punc_CN</ability>
      <abilityName>标点符号问题</abilityName>
      <candidateList>
        <item>。</item>
      </candidateList>
      <explain/>
      <paraID>75038757</paraID>
      <start>212</start>
      <end>214</end>
      <status>ignored</status>
      <modifiedWord/>
      <trackRevisions>false</trackRevisions>
    </reviewItem>
    <reviewItem>
      <errorID>31600ec0-8795-47de-aa67-2b8d8893e259</errorID>
      <errorWord>项目结束后七日内支付50%，甲方向乙方付款……元”，</errorWord>
      <group>L1_Punc</group>
      <groupName>标点问题</groupName>
      <ability>L2_Punc_CN</ability>
      <abilityName>标点符号问题</abilityName>
      <candidateList>
        <item>“项目结束后七日内支付50%，甲方向乙方付款……元。”</item>
      </candidateList>
      <explain/>
      <paraID>75038757</paraID>
      <start>221</start>
      <end>247</end>
      <status>ignored</status>
      <modifiedWord/>
      <trackRevisions>false</trackRevisions>
    </reviewItem>
    <reviewItem>
      <errorID>99605bf7-b817-4aaa-b833-e84f843c13d5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6297F5E2</paraID>
      <start>137</start>
      <end>139</end>
      <status>modified</status>
      <modifiedWord>》《</modifiedWord>
      <trackRevisions>false</trackRevisions>
    </reviewItem>
    <reviewItem>
      <errorID>cc7d9065-e5b4-4270-95eb-f96efc935f61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7A089E6D</paraID>
      <start>56</start>
      <end>58</end>
      <status>modified</status>
      <modifiedWord>》《</modifiedWord>
      <trackRevisions>false</trackRevisions>
    </reviewItem>
    <reviewItem>
      <errorID>08abf620-ba47-4a8a-9e8c-679aa327e747</errorID>
      <errorWord>号文</errorWord>
      <group>L1_Word</group>
      <groupName>字词问题</groupName>
      <ability>L2_Typo</ability>
      <abilityName>字词错误</abilityName>
      <candidateList>
        <item>号</item>
      </candidateList>
      <explain/>
      <paraID>46684FBF</paraID>
      <start>121</start>
      <end>122</end>
      <status>modified</status>
      <modifiedWord>号</modifiedWord>
      <trackRevisions>false</trackRevisions>
    </reviewItem>
    <reviewItem>
      <errorID>88a1b30d-6b70-4147-a578-31aac60bfbf7</errorID>
      <errorWord>&lt;</errorWord>
      <group>L1_Format</group>
      <groupName>格式问题</groupName>
      <ability>L2_HalfPunc_CN</ability>
      <abilityName>全半角问题</abilityName>
      <candidateList>
        <item>〈</item>
      </candidateList>
      <explain>文本全半角错误。</explain>
      <paraID>3C02FCA1</paraID>
      <start>33</start>
      <end>34</end>
      <status>ignored</status>
      <modifiedWord/>
      <trackRevisions>false</trackRevisions>
    </reviewItem>
    <reviewItem>
      <errorID>b0f67df1-3d12-4a00-bea1-48230828bad9</errorID>
      <errorWord>行</errorWord>
      <group>L1_Word</group>
      <groupName>字词问题</groupName>
      <ability>L2_Typo</ability>
      <abilityName>字词错误</abilityName>
      <candidateList>
        <item>行了</item>
      </candidateList>
      <explain/>
      <paraID>211F0639</paraID>
      <start>55</start>
      <end>56</end>
      <status>ignored</status>
      <modifiedWord/>
      <trackRevisions>false</trackRevisions>
    </reviewItem>
    <reviewItem>
      <errorID>81e290f4-771e-4805-a5fb-5d2cec5b698f</errorID>
      <errorWord>&lt;</errorWord>
      <group>L1_Format</group>
      <groupName>格式问题</groupName>
      <ability>L2_HalfPunc_CN</ability>
      <abilityName>全半角问题</abilityName>
      <candidateList>
        <item>〈</item>
      </candidateList>
      <explain>文本全半角错误。</explain>
      <paraID>1FD584AD</paraID>
      <start>33</start>
      <end>34</end>
      <status>ignored</status>
      <modifiedWord/>
      <trackRevisions>false</trackRevisions>
    </reviewItem>
    <reviewItem>
      <errorID>2368f0d7-9a17-433f-b2a7-7b9a6fcf0514</errorID>
      <errorWord>&lt;</errorWord>
      <group>L1_Format</group>
      <groupName>格式问题</groupName>
      <ability>L2_HalfPunc_CN</ability>
      <abilityName>全半角问题</abilityName>
      <candidateList>
        <item>〈</item>
      </candidateList>
      <explain>文本全半角错误。</explain>
      <paraID>7F8D34E3</paraID>
      <start>33</start>
      <end>34</end>
      <status>ignored</status>
      <modifiedWord/>
      <trackRevisions>false</trackRevisions>
    </reviewItem>
    <reviewItem>
      <errorID>6960b990-e209-462c-a129-9a888ba22ef6</errorID>
      <errorWord>等于</errorWord>
      <group>L1_Word</group>
      <groupName>字词问题</groupName>
      <ability>L2_Typo</ability>
      <abilityName>字词错误</abilityName>
      <candidateList>
        <item>为</item>
      </candidateList>
      <explain/>
      <paraID>33A86357</paraID>
      <start>136</start>
      <end>137</end>
      <status>modified</status>
      <modifiedWord>为</modifiedWord>
      <trackRevisions>false</trackRevisions>
    </reviewItem>
    <reviewItem>
      <errorID>1bec27fb-dc64-47e6-8c46-4d1c55daf63c</errorID>
      <errorWord>&lt;</errorWord>
      <group>L1_Format</group>
      <groupName>格式问题</groupName>
      <ability>L2_HalfPunc_CN</ability>
      <abilityName>全半角问题</abilityName>
      <candidateList>
        <item>〈</item>
      </candidateList>
      <explain>文本全半角错误。</explain>
      <paraID>536FC65B</paraID>
      <start>33</start>
      <end>34</end>
      <status>ignored</status>
      <modifiedWord/>
      <trackRevisions>false</trackRevisions>
    </reviewItem>
    <reviewItem>
      <errorID>8978383a-920b-4752-a367-bd395fd9d0e0</errorID>
      <errorWord>&lt;</errorWord>
      <group>L1_Format</group>
      <groupName>格式问题</groupName>
      <ability>L2_HalfPunc_CN</ability>
      <abilityName>全半角问题</abilityName>
      <candidateList>
        <item>〈</item>
      </candidateList>
      <explain>文本全半角错误。</explain>
      <paraID>6AA66F5B</paraID>
      <start>33</start>
      <end>34</end>
      <status>ignored</status>
      <modifiedWord/>
      <trackRevisions>false</trackRevisions>
    </reviewItem>
    <reviewItem>
      <errorID>b47f7846-01de-4246-baa5-66700ad51566</errorID>
      <errorWord>&lt;</errorWord>
      <group>L1_Format</group>
      <groupName>格式问题</groupName>
      <ability>L2_HalfPunc_CN</ability>
      <abilityName>全半角问题</abilityName>
      <candidateList>
        <item>〈</item>
      </candidateList>
      <explain>文本全半角错误。</explain>
      <paraID>1BDEE799</paraID>
      <start>33</start>
      <end>34</end>
      <status>ignored</status>
      <modifiedWord/>
      <trackRevisions>false</trackRevisions>
    </reviewItem>
    <reviewItem>
      <errorID>32265bbc-ada1-41ce-8a6c-b83575a6a0e9</errorID>
      <errorWord>&lt;</errorWord>
      <group>L1_Format</group>
      <groupName>格式问题</groupName>
      <ability>L2_HalfPunc_CN</ability>
      <abilityName>全半角问题</abilityName>
      <candidateList>
        <item>〈</item>
      </candidateList>
      <explain>文本全半角错误。</explain>
      <paraID>57481BFA</paraID>
      <start>33</start>
      <end>34</end>
      <status>ignored</status>
      <modifiedWord/>
      <trackRevisions>false</trackRevisions>
    </reviewItem>
    <reviewItem>
      <errorID>f7ae15d8-ad6a-442c-aae9-4fedced6fd7a</errorID>
      <errorWord>资金费</errorWord>
      <group>L1_Word</group>
      <groupName>字词问题</groupName>
      <ability>L2_Typo</ability>
      <abilityName>字词错误</abilityName>
      <candidateList>
        <item>资金</item>
      </candidateList>
      <explain/>
      <paraID>72C01F65</paraID>
      <start>6</start>
      <end>8</end>
      <status>modified</status>
      <modifiedWord>资金</modifiedWord>
      <trackRevisions>false</trackRevisions>
    </reviewItem>
    <reviewItem>
      <errorID>d130800b-185d-4c67-877e-cda82f44f029</errorID>
      <errorWord>&lt;</errorWord>
      <group>L1_Format</group>
      <groupName>格式问题</groupName>
      <ability>L2_HalfPunc_CN</ability>
      <abilityName>全半角问题</abilityName>
      <candidateList>
        <item>〈</item>
      </candidateList>
      <explain>文本全半角错误。</explain>
      <paraID>43E67A71</paraID>
      <start>33</start>
      <end>34</end>
      <status>ignored</status>
      <modifiedWord/>
      <trackRevisions>false</trackRevisions>
    </reviewItem>
    <reviewItem>
      <errorID>c3a25902-bc85-4cfb-8087-02943e49dce5</errorID>
      <errorWord>&lt;</errorWord>
      <group>L1_Format</group>
      <groupName>格式问题</groupName>
      <ability>L2_HalfPunc_CN</ability>
      <abilityName>全半角问题</abilityName>
      <candidateList>
        <item>〈</item>
      </candidateList>
      <explain>文本全半角错误。</explain>
      <paraID>4E84BABD</paraID>
      <start>33</start>
      <end>34</end>
      <status>ignored</status>
      <modifiedWord/>
      <trackRevisions>false</trackRevisions>
    </reviewItem>
    <reviewItem>
      <errorID>0daae79b-b6eb-45a3-bffc-c7f2f837a7f7</errorID>
      <errorWord>与与</errorWord>
      <group>L1_Word</group>
      <groupName>字词问题</groupName>
      <ability>L2_Typo</ability>
      <abilityName>字词错误</abilityName>
      <candidateList>
        <item>与</item>
      </candidateList>
      <explain/>
      <paraID>1FD6C8E1</paraID>
      <start>20</start>
      <end>21</end>
      <status>modified</status>
      <modifiedWord>与</modifiedWord>
      <trackRevisions>false</trackRevisions>
    </reviewItem>
    <reviewItem>
      <errorID>eade9d31-edef-4d8a-bd61-010eccd72e04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783B75EF</paraID>
      <start>61</start>
      <end>62</end>
      <status>ignored</status>
      <modifiedWord/>
      <trackRevisions>false</trackRevisions>
    </reviewItem>
    <reviewItem>
      <errorID>5e67e9ca-e6c5-4403-8a8e-3c4cb33c700e</errorID>
      <errorWord>&lt;</errorWord>
      <group>L1_Format</group>
      <groupName>格式问题</groupName>
      <ability>L2_HalfPunc_CN</ability>
      <abilityName>全半角问题</abilityName>
      <candidateList>
        <item>〈</item>
      </candidateList>
      <explain>文本全半角错误。</explain>
      <paraID>7ADB5722</paraID>
      <start>58</start>
      <end>59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88F457-02E7-4431-BFD2-6B3AC44F6432}">
  <ds:schemaRefs/>
</ds:datastoreItem>
</file>

<file path=customXml/itemProps3.xml><?xml version="1.0" encoding="utf-8"?>
<ds:datastoreItem xmlns:ds="http://schemas.openxmlformats.org/officeDocument/2006/customXml" ds:itemID="{D9965818-5161-41DB-A945-56820A31ED85}">
  <ds:schemaRefs/>
</ds:datastoreItem>
</file>

<file path=customXml/itemProps4.xml><?xml version="1.0" encoding="utf-8"?>
<ds:datastoreItem xmlns:ds="http://schemas.openxmlformats.org/officeDocument/2006/customXml" ds:itemID="{1D526C6F-2CEB-4894-8704-348CBE1B7809}">
  <ds:schemaRefs/>
</ds:datastoreItem>
</file>

<file path=customXml/itemProps5.xml><?xml version="1.0" encoding="utf-8"?>
<ds:datastoreItem xmlns:ds="http://schemas.openxmlformats.org/officeDocument/2006/customXml" ds:itemID="{E7A6CEF9-F923-43AA-BC31-0C66287F316D}">
  <ds:schemaRefs/>
</ds:datastoreItem>
</file>

<file path=customXml/itemProps6.xml><?xml version="1.0" encoding="utf-8"?>
<ds:datastoreItem xmlns:ds="http://schemas.openxmlformats.org/officeDocument/2006/customXml" ds:itemID="{68678014-3C3A-4B25-AEB6-A7C402422670}">
  <ds:schemaRefs/>
</ds:datastoreItem>
</file>

<file path=customXml/itemProps7.xml><?xml version="1.0" encoding="utf-8"?>
<ds:datastoreItem xmlns:ds="http://schemas.openxmlformats.org/officeDocument/2006/customXml" ds:itemID="{5BB42AE3-88F2-4397-8D03-06979F893480}">
  <ds:schemaRefs/>
</ds:datastoreItem>
</file>

<file path=customXml/itemProps8.xml><?xml version="1.0" encoding="utf-8"?>
<ds:datastoreItem xmlns:ds="http://schemas.openxmlformats.org/officeDocument/2006/customXml" ds:itemID="{DCF0313F-822A-483B-8FE7-40C5C46F43CD}">
  <ds:schemaRefs/>
</ds:datastoreItem>
</file>

<file path=customXml/itemProps9.xml><?xml version="1.0" encoding="utf-8"?>
<ds:datastoreItem xmlns:ds="http://schemas.openxmlformats.org/officeDocument/2006/customXml" ds:itemID="{14300635-7CAE-478B-B98B-D8528D44A77E}">
  <ds:schemaRefs/>
</ds:datastoreItem>
</file>

<file path=customXml/itemProps10.xml><?xml version="1.0" encoding="utf-8"?>
<ds:datastoreItem xmlns:ds="http://schemas.openxmlformats.org/officeDocument/2006/customXml" ds:itemID="{0A51C469-B686-423E-A221-526188DE2CEE}">
  <ds:schemaRefs/>
</ds:datastoreItem>
</file>

<file path=customXml/itemProps11.xml><?xml version="1.0" encoding="utf-8"?>
<ds:datastoreItem xmlns:ds="http://schemas.openxmlformats.org/officeDocument/2006/customXml" ds:itemID="{D877C56F-CD76-4AFA-816B-C708228B6E0C}">
  <ds:schemaRefs/>
</ds:datastoreItem>
</file>

<file path=customXml/itemProps12.xml><?xml version="1.0" encoding="utf-8"?>
<ds:datastoreItem xmlns:ds="http://schemas.openxmlformats.org/officeDocument/2006/customXml" ds:itemID="{257FAB1A-821D-40D0-8429-6AFF6AC82555}">
  <ds:schemaRefs/>
</ds:datastoreItem>
</file>

<file path=customXml/itemProps13.xml><?xml version="1.0" encoding="utf-8"?>
<ds:datastoreItem xmlns:ds="http://schemas.openxmlformats.org/officeDocument/2006/customXml" ds:itemID="{05B0B68F-17B7-4118-B2DE-41E0DC42DF19}">
  <ds:schemaRefs/>
</ds:datastoreItem>
</file>

<file path=customXml/itemProps14.xml><?xml version="1.0" encoding="utf-8"?>
<ds:datastoreItem xmlns:ds="http://schemas.openxmlformats.org/officeDocument/2006/customXml" ds:itemID="{27D1005D-E934-4843-904B-A056A0BA3311}">
  <ds:schemaRefs/>
</ds:datastoreItem>
</file>

<file path=customXml/itemProps15.xml><?xml version="1.0" encoding="utf-8"?>
<ds:datastoreItem xmlns:ds="http://schemas.openxmlformats.org/officeDocument/2006/customXml" ds:itemID="{ED3E8341-202A-4BC3-8B67-2CA46D7A5397}">
  <ds:schemaRefs/>
</ds:datastoreItem>
</file>

<file path=customXml/itemProps16.xml><?xml version="1.0" encoding="utf-8"?>
<ds:datastoreItem xmlns:ds="http://schemas.openxmlformats.org/officeDocument/2006/customXml" ds:itemID="{9BCD8EB2-7F45-4612-9CB1-CBA7A5A54D81}">
  <ds:schemaRefs/>
</ds:datastoreItem>
</file>

<file path=customXml/itemProps17.xml><?xml version="1.0" encoding="utf-8"?>
<ds:datastoreItem xmlns:ds="http://schemas.openxmlformats.org/officeDocument/2006/customXml" ds:itemID="{236DCB47-44BF-4FC7-88EB-C27AA9BD1FBD}">
  <ds:schemaRefs/>
</ds:datastoreItem>
</file>

<file path=customXml/itemProps18.xml><?xml version="1.0" encoding="utf-8"?>
<ds:datastoreItem xmlns:ds="http://schemas.openxmlformats.org/officeDocument/2006/customXml" ds:itemID="{2FBA02ED-132D-4B97-B438-A66174E4D4B8}">
  <ds:schemaRefs/>
</ds:datastoreItem>
</file>

<file path=customXml/itemProps19.xml><?xml version="1.0" encoding="utf-8"?>
<ds:datastoreItem xmlns:ds="http://schemas.openxmlformats.org/officeDocument/2006/customXml" ds:itemID="{6CF19345-84EB-4E2D-95F8-AF8A0FCCDF71}">
  <ds:schemaRefs/>
</ds:datastoreItem>
</file>

<file path=customXml/itemProps20.xml><?xml version="1.0" encoding="utf-8"?>
<ds:datastoreItem xmlns:ds="http://schemas.openxmlformats.org/officeDocument/2006/customXml" ds:itemID="{D28272C7-13C2-4AD9-8DB1-7F18D924551B}">
  <ds:schemaRefs/>
</ds:datastoreItem>
</file>

<file path=customXml/itemProps21.xml><?xml version="1.0" encoding="utf-8"?>
<ds:datastoreItem xmlns:ds="http://schemas.openxmlformats.org/officeDocument/2006/customXml" ds:itemID="{AE23542D-E36B-495A-942A-C24C536E990F}">
  <ds:schemaRefs/>
</ds:datastoreItem>
</file>

<file path=customXml/itemProps22.xml><?xml version="1.0" encoding="utf-8"?>
<ds:datastoreItem xmlns:ds="http://schemas.openxmlformats.org/officeDocument/2006/customXml" ds:itemID="{BBFE3EDB-DD3A-40C9-9B0C-A2F30691DD7D}">
  <ds:schemaRefs/>
</ds:datastoreItem>
</file>

<file path=customXml/itemProps23.xml><?xml version="1.0" encoding="utf-8"?>
<ds:datastoreItem xmlns:ds="http://schemas.openxmlformats.org/officeDocument/2006/customXml" ds:itemID="{E3B1CBA1-908D-4DC9-B23A-2474118707CA}">
  <ds:schemaRefs/>
</ds:datastoreItem>
</file>

<file path=customXml/itemProps24.xml><?xml version="1.0" encoding="utf-8"?>
<ds:datastoreItem xmlns:ds="http://schemas.openxmlformats.org/officeDocument/2006/customXml" ds:itemID="{5D6F5E44-B234-426F-9AF2-EF9BBC80567D}">
  <ds:schemaRefs/>
</ds:datastoreItem>
</file>

<file path=customXml/itemProps25.xml><?xml version="1.0" encoding="utf-8"?>
<ds:datastoreItem xmlns:ds="http://schemas.openxmlformats.org/officeDocument/2006/customXml" ds:itemID="{25059B46-B533-415B-AD06-C1301B64F125}">
  <ds:schemaRefs/>
</ds:datastoreItem>
</file>

<file path=customXml/itemProps26.xml><?xml version="1.0" encoding="utf-8"?>
<ds:datastoreItem xmlns:ds="http://schemas.openxmlformats.org/officeDocument/2006/customXml" ds:itemID="{7C3DEE8B-2E21-43EF-A041-1AB1AF5110DC}">
  <ds:schemaRefs/>
</ds:datastoreItem>
</file>

<file path=customXml/itemProps27.xml><?xml version="1.0" encoding="utf-8"?>
<ds:datastoreItem xmlns:ds="http://schemas.openxmlformats.org/officeDocument/2006/customXml" ds:itemID="{1EDB9AE6-EAEC-4350-9EA1-63AECBC72DA8}">
  <ds:schemaRefs/>
</ds:datastoreItem>
</file>

<file path=customXml/itemProps28.xml><?xml version="1.0" encoding="utf-8"?>
<ds:datastoreItem xmlns:ds="http://schemas.openxmlformats.org/officeDocument/2006/customXml" ds:itemID="{374F769F-9813-4EF7-86EA-F2D444575A3B}">
  <ds:schemaRefs/>
</ds:datastoreItem>
</file>

<file path=customXml/itemProps29.xml><?xml version="1.0" encoding="utf-8"?>
<ds:datastoreItem xmlns:ds="http://schemas.openxmlformats.org/officeDocument/2006/customXml" ds:itemID="{E148DE04-0200-4428-83F4-0A91193EA788}">
  <ds:schemaRefs/>
</ds:datastoreItem>
</file>

<file path=customXml/itemProps30.xml><?xml version="1.0" encoding="utf-8"?>
<ds:datastoreItem xmlns:ds="http://schemas.openxmlformats.org/officeDocument/2006/customXml" ds:itemID="{561EF85C-71C5-46B1-AC9E-BD4FAA16086A}">
  <ds:schemaRefs/>
</ds:datastoreItem>
</file>

<file path=customXml/itemProps31.xml><?xml version="1.0" encoding="utf-8"?>
<ds:datastoreItem xmlns:ds="http://schemas.openxmlformats.org/officeDocument/2006/customXml" ds:itemID="{13E87D55-962B-4144-828C-A2AA7A84331B}">
  <ds:schemaRefs/>
</ds:datastoreItem>
</file>

<file path=customXml/itemProps32.xml><?xml version="1.0" encoding="utf-8"?>
<ds:datastoreItem xmlns:ds="http://schemas.openxmlformats.org/officeDocument/2006/customXml" ds:itemID="{457CD9C7-7260-46CF-B9F7-074ED160E443}">
  <ds:schemaRefs/>
</ds:datastoreItem>
</file>

<file path=customXml/itemProps33.xml><?xml version="1.0" encoding="utf-8"?>
<ds:datastoreItem xmlns:ds="http://schemas.openxmlformats.org/officeDocument/2006/customXml" ds:itemID="{0193401F-C779-4BC5-B8DB-BB8B57691860}">
  <ds:schemaRefs/>
</ds:datastoreItem>
</file>

<file path=customXml/itemProps34.xml><?xml version="1.0" encoding="utf-8"?>
<ds:datastoreItem xmlns:ds="http://schemas.openxmlformats.org/officeDocument/2006/customXml" ds:itemID="{29E21034-AB44-405A-B4F4-666936B7292F}">
  <ds:schemaRefs/>
</ds:datastoreItem>
</file>

<file path=customXml/itemProps35.xml><?xml version="1.0" encoding="utf-8"?>
<ds:datastoreItem xmlns:ds="http://schemas.openxmlformats.org/officeDocument/2006/customXml" ds:itemID="{0D11D737-E3FB-438E-93B3-76938989927E}">
  <ds:schemaRefs/>
</ds:datastoreItem>
</file>

<file path=customXml/itemProps36.xml><?xml version="1.0" encoding="utf-8"?>
<ds:datastoreItem xmlns:ds="http://schemas.openxmlformats.org/officeDocument/2006/customXml" ds:itemID="{222933D6-7191-4FD1-BF51-DAAF37BCBD65}">
  <ds:schemaRefs/>
</ds:datastoreItem>
</file>

<file path=customXml/itemProps37.xml><?xml version="1.0" encoding="utf-8"?>
<ds:datastoreItem xmlns:ds="http://schemas.openxmlformats.org/officeDocument/2006/customXml" ds:itemID="{07DAD426-1EA1-4731-B0F2-3CCBF23DC609}">
  <ds:schemaRefs/>
</ds:datastoreItem>
</file>

<file path=customXml/itemProps38.xml><?xml version="1.0" encoding="utf-8"?>
<ds:datastoreItem xmlns:ds="http://schemas.openxmlformats.org/officeDocument/2006/customXml" ds:itemID="{953AD626-761E-4303-AE09-35916A771027}">
  <ds:schemaRefs/>
</ds:datastoreItem>
</file>

<file path=customXml/itemProps39.xml><?xml version="1.0" encoding="utf-8"?>
<ds:datastoreItem xmlns:ds="http://schemas.openxmlformats.org/officeDocument/2006/customXml" ds:itemID="{2BFD7AA4-FC98-4EFF-B36F-95B31512A9D1}">
  <ds:schemaRefs/>
</ds:datastoreItem>
</file>

<file path=customXml/itemProps40.xml><?xml version="1.0" encoding="utf-8"?>
<ds:datastoreItem xmlns:ds="http://schemas.openxmlformats.org/officeDocument/2006/customXml" ds:itemID="{46995FEB-314C-4963-ADD4-B3E971DEC425}">
  <ds:schemaRefs/>
</ds:datastoreItem>
</file>

<file path=customXml/itemProps41.xml><?xml version="1.0" encoding="utf-8"?>
<ds:datastoreItem xmlns:ds="http://schemas.openxmlformats.org/officeDocument/2006/customXml" ds:itemID="{AFA3EA38-E013-4B0E-8A33-607C59BE2DE9}">
  <ds:schemaRefs/>
</ds:datastoreItem>
</file>

<file path=customXml/itemProps42.xml><?xml version="1.0" encoding="utf-8"?>
<ds:datastoreItem xmlns:ds="http://schemas.openxmlformats.org/officeDocument/2006/customXml" ds:itemID="{FBB19449-254F-4FD0-9762-77A3ACEB7A21}">
  <ds:schemaRefs/>
</ds:datastoreItem>
</file>

<file path=customXml/itemProps43.xml><?xml version="1.0" encoding="utf-8"?>
<ds:datastoreItem xmlns:ds="http://schemas.openxmlformats.org/officeDocument/2006/customXml" ds:itemID="{D3EB2389-757A-4357-A954-74D180B69A31}">
  <ds:schemaRefs/>
</ds:datastoreItem>
</file>

<file path=customXml/itemProps44.xml><?xml version="1.0" encoding="utf-8"?>
<ds:datastoreItem xmlns:ds="http://schemas.openxmlformats.org/officeDocument/2006/customXml" ds:itemID="{145BABF0-72A6-4FB3-8799-DCAE2FEC79E0}">
  <ds:schemaRefs/>
</ds:datastoreItem>
</file>

<file path=customXml/itemProps45.xml><?xml version="1.0" encoding="utf-8"?>
<ds:datastoreItem xmlns:ds="http://schemas.openxmlformats.org/officeDocument/2006/customXml" ds:itemID="{70AA94F1-ACB8-4BDA-8ABF-B9F756C54C18}">
  <ds:schemaRefs/>
</ds:datastoreItem>
</file>

<file path=customXml/itemProps46.xml><?xml version="1.0" encoding="utf-8"?>
<ds:datastoreItem xmlns:ds="http://schemas.openxmlformats.org/officeDocument/2006/customXml" ds:itemID="{2A859468-0A7B-4B05-94B5-DE0DB4B85C55}">
  <ds:schemaRefs/>
</ds:datastoreItem>
</file>

<file path=customXml/itemProps47.xml><?xml version="1.0" encoding="utf-8"?>
<ds:datastoreItem xmlns:ds="http://schemas.openxmlformats.org/officeDocument/2006/customXml" ds:itemID="{C0203A74-777E-46A0-9EBE-A30437C69F6E}">
  <ds:schemaRefs/>
</ds:datastoreItem>
</file>

<file path=customXml/itemProps48.xml><?xml version="1.0" encoding="utf-8"?>
<ds:datastoreItem xmlns:ds="http://schemas.openxmlformats.org/officeDocument/2006/customXml" ds:itemID="{96E18027-397F-40E8-9C53-595F53669AF7}">
  <ds:schemaRefs/>
</ds:datastoreItem>
</file>

<file path=customXml/itemProps49.xml><?xml version="1.0" encoding="utf-8"?>
<ds:datastoreItem xmlns:ds="http://schemas.openxmlformats.org/officeDocument/2006/customXml" ds:itemID="{1EBCB838-2950-4291-9DFF-952128109792}">
  <ds:schemaRefs/>
</ds:datastoreItem>
</file>

<file path=customXml/itemProps50.xml><?xml version="1.0" encoding="utf-8"?>
<ds:datastoreItem xmlns:ds="http://schemas.openxmlformats.org/officeDocument/2006/customXml" ds:itemID="{968FB31F-B841-4B48-B593-59358FF39FCF}">
  <ds:schemaRefs/>
</ds:datastoreItem>
</file>

<file path=customXml/itemProps51.xml><?xml version="1.0" encoding="utf-8"?>
<ds:datastoreItem xmlns:ds="http://schemas.openxmlformats.org/officeDocument/2006/customXml" ds:itemID="{F767BD1A-FDB5-4CC8-BB73-C3BB864C6878}">
  <ds:schemaRefs/>
</ds:datastoreItem>
</file>

<file path=customXml/itemProps52.xml><?xml version="1.0" encoding="utf-8"?>
<ds:datastoreItem xmlns:ds="http://schemas.openxmlformats.org/officeDocument/2006/customXml" ds:itemID="{D9F7CDCC-D8A3-4583-A1F0-843652183DB4}">
  <ds:schemaRefs/>
</ds:datastoreItem>
</file>

<file path=customXml/itemProps53.xml><?xml version="1.0" encoding="utf-8"?>
<ds:datastoreItem xmlns:ds="http://schemas.openxmlformats.org/officeDocument/2006/customXml" ds:itemID="{6C23FB48-0F99-42E4-8613-470A6260E640}">
  <ds:schemaRefs/>
</ds:datastoreItem>
</file>

<file path=customXml/itemProps54.xml><?xml version="1.0" encoding="utf-8"?>
<ds:datastoreItem xmlns:ds="http://schemas.openxmlformats.org/officeDocument/2006/customXml" ds:itemID="{384106E4-9C26-41E1-A09F-D4FE92E7BAAE}">
  <ds:schemaRefs/>
</ds:datastoreItem>
</file>

<file path=customXml/itemProps55.xml><?xml version="1.0" encoding="utf-8"?>
<ds:datastoreItem xmlns:ds="http://schemas.openxmlformats.org/officeDocument/2006/customXml" ds:itemID="{3B04B708-8939-44F9-9852-669CBA600D14}">
  <ds:schemaRefs/>
</ds:datastoreItem>
</file>

<file path=customXml/itemProps56.xml><?xml version="1.0" encoding="utf-8"?>
<ds:datastoreItem xmlns:ds="http://schemas.openxmlformats.org/officeDocument/2006/customXml" ds:itemID="{B483C344-A8A7-4A95-9C45-C8C518E181D6}">
  <ds:schemaRefs/>
</ds:datastoreItem>
</file>

<file path=customXml/itemProps57.xml><?xml version="1.0" encoding="utf-8"?>
<ds:datastoreItem xmlns:ds="http://schemas.openxmlformats.org/officeDocument/2006/customXml" ds:itemID="{084896DE-96EB-4AB7-9764-22B7B9501415}">
  <ds:schemaRefs/>
</ds:datastoreItem>
</file>

<file path=customXml/itemProps58.xml><?xml version="1.0" encoding="utf-8"?>
<ds:datastoreItem xmlns:ds="http://schemas.openxmlformats.org/officeDocument/2006/customXml" ds:itemID="{500DC1AC-5799-4B05-A69B-C641DBF714CF}">
  <ds:schemaRefs/>
</ds:datastoreItem>
</file>

<file path=customXml/itemProps59.xml><?xml version="1.0" encoding="utf-8"?>
<ds:datastoreItem xmlns:ds="http://schemas.openxmlformats.org/officeDocument/2006/customXml" ds:itemID="{543DAB49-F5C6-417C-867C-DDE3E55756D7}">
  <ds:schemaRefs/>
</ds:datastoreItem>
</file>

<file path=customXml/itemProps60.xml><?xml version="1.0" encoding="utf-8"?>
<ds:datastoreItem xmlns:ds="http://schemas.openxmlformats.org/officeDocument/2006/customXml" ds:itemID="{A0673475-1D59-4073-88A3-F7130340F279}">
  <ds:schemaRefs/>
</ds:datastoreItem>
</file>

<file path=customXml/itemProps61.xml><?xml version="1.0" encoding="utf-8"?>
<ds:datastoreItem xmlns:ds="http://schemas.openxmlformats.org/officeDocument/2006/customXml" ds:itemID="{A8F0932F-01F8-4875-B0C0-FB064C068D4E}">
  <ds:schemaRefs/>
</ds:datastoreItem>
</file>

<file path=customXml/itemProps62.xml><?xml version="1.0" encoding="utf-8"?>
<ds:datastoreItem xmlns:ds="http://schemas.openxmlformats.org/officeDocument/2006/customXml" ds:itemID="{FEE927FF-6165-4995-9E69-B2091CADAA40}">
  <ds:schemaRefs/>
</ds:datastoreItem>
</file>

<file path=customXml/itemProps63.xml><?xml version="1.0" encoding="utf-8"?>
<ds:datastoreItem xmlns:ds="http://schemas.openxmlformats.org/officeDocument/2006/customXml" ds:itemID="{17376E8E-7A4B-4D6B-A93D-68420E6A367A}">
  <ds:schemaRefs/>
</ds:datastoreItem>
</file>

<file path=customXml/itemProps64.xml><?xml version="1.0" encoding="utf-8"?>
<ds:datastoreItem xmlns:ds="http://schemas.openxmlformats.org/officeDocument/2006/customXml" ds:itemID="{21030826-A151-4C45-8184-5F1754614523}">
  <ds:schemaRefs/>
</ds:datastoreItem>
</file>

<file path=customXml/itemProps65.xml><?xml version="1.0" encoding="utf-8"?>
<ds:datastoreItem xmlns:ds="http://schemas.openxmlformats.org/officeDocument/2006/customXml" ds:itemID="{282BCF0D-1B55-48B5-AD37-85E69C5CDDF0}">
  <ds:schemaRefs/>
</ds:datastoreItem>
</file>

<file path=customXml/itemProps66.xml><?xml version="1.0" encoding="utf-8"?>
<ds:datastoreItem xmlns:ds="http://schemas.openxmlformats.org/officeDocument/2006/customXml" ds:itemID="{10D8AFD1-6B92-455F-85D4-E30F181F6332}">
  <ds:schemaRefs/>
</ds:datastoreItem>
</file>

<file path=customXml/itemProps67.xml><?xml version="1.0" encoding="utf-8"?>
<ds:datastoreItem xmlns:ds="http://schemas.openxmlformats.org/officeDocument/2006/customXml" ds:itemID="{9A537E1E-A366-4B12-87F9-CB25AF1BC89B}">
  <ds:schemaRefs/>
</ds:datastoreItem>
</file>

<file path=customXml/itemProps68.xml><?xml version="1.0" encoding="utf-8"?>
<ds:datastoreItem xmlns:ds="http://schemas.openxmlformats.org/officeDocument/2006/customXml" ds:itemID="{5CFF8B8B-6DCC-4A71-AD7F-5349E66F0503}">
  <ds:schemaRefs/>
</ds:datastoreItem>
</file>

<file path=customXml/itemProps69.xml><?xml version="1.0" encoding="utf-8"?>
<ds:datastoreItem xmlns:ds="http://schemas.openxmlformats.org/officeDocument/2006/customXml" ds:itemID="{AE991F33-BD0F-44D8-A03C-464081705B77}">
  <ds:schemaRefs/>
</ds:datastoreItem>
</file>

<file path=customXml/itemProps70.xml><?xml version="1.0" encoding="utf-8"?>
<ds:datastoreItem xmlns:ds="http://schemas.openxmlformats.org/officeDocument/2006/customXml" ds:itemID="{5DBD2207-5BDD-44EE-8096-BFDF61AAB1AD}">
  <ds:schemaRefs/>
</ds:datastoreItem>
</file>

<file path=customXml/itemProps71.xml><?xml version="1.0" encoding="utf-8"?>
<ds:datastoreItem xmlns:ds="http://schemas.openxmlformats.org/officeDocument/2006/customXml" ds:itemID="{FF1F0A5E-FCF7-4300-800D-E0DF63833A2F}">
  <ds:schemaRefs/>
</ds:datastoreItem>
</file>

<file path=customXml/itemProps72.xml><?xml version="1.0" encoding="utf-8"?>
<ds:datastoreItem xmlns:ds="http://schemas.openxmlformats.org/officeDocument/2006/customXml" ds:itemID="{DF3CBD4F-07D2-4CC9-A312-52EC223F8E77}">
  <ds:schemaRefs/>
</ds:datastoreItem>
</file>

<file path=customXml/itemProps73.xml><?xml version="1.0" encoding="utf-8"?>
<ds:datastoreItem xmlns:ds="http://schemas.openxmlformats.org/officeDocument/2006/customXml" ds:itemID="{89071C98-2AE9-451F-951C-D15DD4DBE787}">
  <ds:schemaRefs/>
</ds:datastoreItem>
</file>

<file path=customXml/itemProps74.xml><?xml version="1.0" encoding="utf-8"?>
<ds:datastoreItem xmlns:ds="http://schemas.openxmlformats.org/officeDocument/2006/customXml" ds:itemID="{C4C83133-6853-4D78-BDBF-8F33C508E687}">
  <ds:schemaRefs/>
</ds:datastoreItem>
</file>

<file path=customXml/itemProps75.xml><?xml version="1.0" encoding="utf-8"?>
<ds:datastoreItem xmlns:ds="http://schemas.openxmlformats.org/officeDocument/2006/customXml" ds:itemID="{07224604-BED6-48F9-949A-CF242320D3E9}">
  <ds:schemaRefs/>
</ds:datastoreItem>
</file>

<file path=customXml/itemProps76.xml><?xml version="1.0" encoding="utf-8"?>
<ds:datastoreItem xmlns:ds="http://schemas.openxmlformats.org/officeDocument/2006/customXml" ds:itemID="{D87AF5ED-A14B-4B74-91B1-BC936954C393}">
  <ds:schemaRefs/>
</ds:datastoreItem>
</file>

<file path=customXml/itemProps77.xml><?xml version="1.0" encoding="utf-8"?>
<ds:datastoreItem xmlns:ds="http://schemas.openxmlformats.org/officeDocument/2006/customXml" ds:itemID="{D5A62F9D-5F0E-4705-9768-A7909AFA496C}">
  <ds:schemaRefs/>
</ds:datastoreItem>
</file>

<file path=customXml/itemProps78.xml><?xml version="1.0" encoding="utf-8"?>
<ds:datastoreItem xmlns:ds="http://schemas.openxmlformats.org/officeDocument/2006/customXml" ds:itemID="{9F20342B-3E07-4446-B284-B2D3A45A6EF9}">
  <ds:schemaRefs/>
</ds:datastoreItem>
</file>

<file path=customXml/itemProps79.xml><?xml version="1.0" encoding="utf-8"?>
<ds:datastoreItem xmlns:ds="http://schemas.openxmlformats.org/officeDocument/2006/customXml" ds:itemID="{D76915D9-74C3-4AAA-81B5-891229F05998}">
  <ds:schemaRefs/>
</ds:datastoreItem>
</file>

<file path=customXml/itemProps80.xml><?xml version="1.0" encoding="utf-8"?>
<ds:datastoreItem xmlns:ds="http://schemas.openxmlformats.org/officeDocument/2006/customXml" ds:itemID="{2CB86398-0F00-41DB-9FD2-0CDB5E3E8F50}">
  <ds:schemaRefs/>
</ds:datastoreItem>
</file>

<file path=customXml/itemProps81.xml><?xml version="1.0" encoding="utf-8"?>
<ds:datastoreItem xmlns:ds="http://schemas.openxmlformats.org/officeDocument/2006/customXml" ds:itemID="{49131ED4-E0D8-468C-892A-F7AAB4F636B8}">
  <ds:schemaRefs/>
</ds:datastoreItem>
</file>

<file path=customXml/itemProps82.xml><?xml version="1.0" encoding="utf-8"?>
<ds:datastoreItem xmlns:ds="http://schemas.openxmlformats.org/officeDocument/2006/customXml" ds:itemID="{171B1D91-1A55-4D5D-9B86-35C13A6A8D56}">
  <ds:schemaRefs/>
</ds:datastoreItem>
</file>

<file path=customXml/itemProps83.xml><?xml version="1.0" encoding="utf-8"?>
<ds:datastoreItem xmlns:ds="http://schemas.openxmlformats.org/officeDocument/2006/customXml" ds:itemID="{55B4A37C-BCC5-4CD7-84F7-2CE99D56CD73}">
  <ds:schemaRefs/>
</ds:datastoreItem>
</file>

<file path=customXml/itemProps84.xml><?xml version="1.0" encoding="utf-8"?>
<ds:datastoreItem xmlns:ds="http://schemas.openxmlformats.org/officeDocument/2006/customXml" ds:itemID="{816FD4D6-10DC-45F0-A062-12519C2B29C2}">
  <ds:schemaRefs/>
</ds:datastoreItem>
</file>

<file path=customXml/itemProps85.xml><?xml version="1.0" encoding="utf-8"?>
<ds:datastoreItem xmlns:ds="http://schemas.openxmlformats.org/officeDocument/2006/customXml" ds:itemID="{DAA3C5DA-21B9-4190-8994-4DB39E3DDF61}">
  <ds:schemaRefs/>
</ds:datastoreItem>
</file>

<file path=customXml/itemProps86.xml><?xml version="1.0" encoding="utf-8"?>
<ds:datastoreItem xmlns:ds="http://schemas.openxmlformats.org/officeDocument/2006/customXml" ds:itemID="{100ABB28-5857-40A2-B349-3CA1B25FDA5A}">
  <ds:schemaRefs/>
</ds:datastoreItem>
</file>

<file path=customXml/itemProps87.xml><?xml version="1.0" encoding="utf-8"?>
<ds:datastoreItem xmlns:ds="http://schemas.openxmlformats.org/officeDocument/2006/customXml" ds:itemID="{FF16776F-3F00-4A97-BC91-B703318F7E7B}">
  <ds:schemaRefs/>
</ds:datastoreItem>
</file>

<file path=customXml/itemProps88.xml><?xml version="1.0" encoding="utf-8"?>
<ds:datastoreItem xmlns:ds="http://schemas.openxmlformats.org/officeDocument/2006/customXml" ds:itemID="{12A2B071-1276-4EC4-BD6F-0852B5C8A425}">
  <ds:schemaRefs/>
</ds:datastoreItem>
</file>

<file path=customXml/itemProps89.xml><?xml version="1.0" encoding="utf-8"?>
<ds:datastoreItem xmlns:ds="http://schemas.openxmlformats.org/officeDocument/2006/customXml" ds:itemID="{E0A381F0-7E1F-42B4-82E1-7849784DC6AA}">
  <ds:schemaRefs/>
</ds:datastoreItem>
</file>

<file path=customXml/itemProps90.xml><?xml version="1.0" encoding="utf-8"?>
<ds:datastoreItem xmlns:ds="http://schemas.openxmlformats.org/officeDocument/2006/customXml" ds:itemID="{3B610659-0D9B-4111-8A71-17D08E4F134C}">
  <ds:schemaRefs/>
</ds:datastoreItem>
</file>

<file path=customXml/itemProps91.xml><?xml version="1.0" encoding="utf-8"?>
<ds:datastoreItem xmlns:ds="http://schemas.openxmlformats.org/officeDocument/2006/customXml" ds:itemID="{61108C2E-419D-465F-AB9B-4229C1699ABB}">
  <ds:schemaRefs/>
</ds:datastoreItem>
</file>

<file path=customXml/itemProps92.xml><?xml version="1.0" encoding="utf-8"?>
<ds:datastoreItem xmlns:ds="http://schemas.openxmlformats.org/officeDocument/2006/customXml" ds:itemID="{83C8B6E0-50AE-48A9-82F9-3FA6D22F2497}">
  <ds:schemaRefs/>
</ds:datastoreItem>
</file>

<file path=customXml/itemProps93.xml><?xml version="1.0" encoding="utf-8"?>
<ds:datastoreItem xmlns:ds="http://schemas.openxmlformats.org/officeDocument/2006/customXml" ds:itemID="{ACFC7F31-288A-4247-B257-C8ED53B46B09}">
  <ds:schemaRefs/>
</ds:datastoreItem>
</file>

<file path=customXml/itemProps94.xml><?xml version="1.0" encoding="utf-8"?>
<ds:datastoreItem xmlns:ds="http://schemas.openxmlformats.org/officeDocument/2006/customXml" ds:itemID="{7DDB416A-222A-4EEF-AB60-F7540A525DFE}">
  <ds:schemaRefs/>
</ds:datastoreItem>
</file>

<file path=customXml/itemProps95.xml><?xml version="1.0" encoding="utf-8"?>
<ds:datastoreItem xmlns:ds="http://schemas.openxmlformats.org/officeDocument/2006/customXml" ds:itemID="{52014317-21A3-4C99-A0EC-F4DBF01D3762}">
  <ds:schemaRefs/>
</ds:datastoreItem>
</file>

<file path=customXml/itemProps96.xml><?xml version="1.0" encoding="utf-8"?>
<ds:datastoreItem xmlns:ds="http://schemas.openxmlformats.org/officeDocument/2006/customXml" ds:itemID="{52B7F77E-D906-4800-8770-50DBCA4018EC}">
  <ds:schemaRefs/>
</ds:datastoreItem>
</file>

<file path=customXml/itemProps97.xml><?xml version="1.0" encoding="utf-8"?>
<ds:datastoreItem xmlns:ds="http://schemas.openxmlformats.org/officeDocument/2006/customXml" ds:itemID="{3623FFA5-A0F3-4327-B325-5F7B26A1107C}">
  <ds:schemaRefs/>
</ds:datastoreItem>
</file>

<file path=customXml/itemProps98.xml><?xml version="1.0" encoding="utf-8"?>
<ds:datastoreItem xmlns:ds="http://schemas.openxmlformats.org/officeDocument/2006/customXml" ds:itemID="{5B98B73E-7E31-4362-94DF-3D8F38179CDE}">
  <ds:schemaRefs/>
</ds:datastoreItem>
</file>

<file path=customXml/itemProps99.xml><?xml version="1.0" encoding="utf-8"?>
<ds:datastoreItem xmlns:ds="http://schemas.openxmlformats.org/officeDocument/2006/customXml" ds:itemID="{FC9433DB-15AA-41DD-B380-2BC14E8A8211}">
  <ds:schemaRefs/>
</ds:datastoreItem>
</file>

<file path=customXml/itemProps100.xml><?xml version="1.0" encoding="utf-8"?>
<ds:datastoreItem xmlns:ds="http://schemas.openxmlformats.org/officeDocument/2006/customXml" ds:itemID="{81350A72-288F-44ED-8406-63E1534FDD62}">
  <ds:schemaRefs/>
</ds:datastoreItem>
</file>

<file path=customXml/itemProps101.xml><?xml version="1.0" encoding="utf-8"?>
<ds:datastoreItem xmlns:ds="http://schemas.openxmlformats.org/officeDocument/2006/customXml" ds:itemID="{89e6ed40-ad77-4aa6-9c84-4306e4acce6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76</Pages>
  <Words>5163</Words>
  <Characters>5638</Characters>
  <Lines>206</Lines>
  <Paragraphs>58</Paragraphs>
  <TotalTime>6</TotalTime>
  <ScaleCrop>false</ScaleCrop>
  <LinksUpToDate>false</LinksUpToDate>
  <CharactersWithSpaces>5676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2020-10-09T04:08:00Z</dcterms:created>
  <dc:creator>廉柳俊</dc:creator>
  <cp:lastModifiedBy>珍惜</cp:lastModifiedBy>
  <cp:lastPrinted>2024-08-14T10:46:00Z</cp:lastPrinted>
  <dcterms:modified xsi:type="dcterms:W3CDTF">2026-09-03T03:29:10Z</dcterms:modified>
  <cp:revision>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0A48DD0E05C64D8C9540F167A93F9631_13</vt:lpwstr>
  </property>
  <property fmtid="{D5CDD505-2E9C-101B-9397-08002B2CF9AE}" pid="4" name="KSOSaveFontToCloudKey">
    <vt:lpwstr>287616873_btnclosed</vt:lpwstr>
  </property>
  <property fmtid="{D5CDD505-2E9C-101B-9397-08002B2CF9AE}" pid="5" name="KSOTemplateDocerSaveRecord">
    <vt:lpwstr>eyJoZGlkIjoiN2YzNjBkOTgyNWQ1YTMxYzM3MzMwNWFiODNmOWIzYWMiLCJ1c2VySWQiOiIxMTQ0MjcyMjM5In0=</vt:lpwstr>
  </property>
</Properties>
</file>