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3D3A5">
      <w:pPr>
        <w:keepNext w:val="0"/>
        <w:keepLines w:val="0"/>
        <w:pageBreakBefore w:val="0"/>
        <w:widowControl w:val="0"/>
        <w:kinsoku/>
        <w:wordWrap/>
        <w:overflowPunct/>
        <w:topLinePunct w:val="0"/>
        <w:autoSpaceDE/>
        <w:autoSpaceDN/>
        <w:bidi w:val="0"/>
        <w:adjustRightInd/>
        <w:snapToGrid/>
        <w:spacing w:line="620" w:lineRule="exact"/>
        <w:ind w:left="0" w:leftChars="0"/>
        <w:jc w:val="center"/>
        <w:textAlignment w:val="auto"/>
        <w:rPr>
          <w:rFonts w:hint="default" w:ascii="Times New Roman" w:hAnsi="Times New Roman" w:eastAsia="黑体" w:cs="仿宋_GB2312"/>
          <w:b/>
          <w:bCs/>
          <w:sz w:val="52"/>
          <w:szCs w:val="52"/>
        </w:rPr>
      </w:pPr>
      <w:bookmarkStart w:id="0" w:name="_Toc11767"/>
      <w:bookmarkStart w:id="1" w:name="_Toc26560"/>
      <w:bookmarkStart w:id="2" w:name="_Toc27779"/>
      <w:bookmarkStart w:id="3" w:name="_Toc6248"/>
      <w:bookmarkStart w:id="4" w:name="_Toc3685"/>
      <w:bookmarkStart w:id="5" w:name="_Toc21419"/>
      <w:bookmarkStart w:id="6" w:name="_Toc21880"/>
      <w:bookmarkStart w:id="7" w:name="_Toc10441"/>
      <w:bookmarkStart w:id="8" w:name="_Toc5217"/>
      <w:bookmarkStart w:id="9" w:name="_Toc23983"/>
      <w:r>
        <w:rPr>
          <w:rFonts w:ascii="Times New Roman" w:hAnsi="Times New Roman"/>
          <w:sz w:val="36"/>
        </w:rPr>
        <mc:AlternateContent>
          <mc:Choice Requires="wps">
            <w:drawing>
              <wp:anchor distT="0" distB="0" distL="114300" distR="114300" simplePos="0" relativeHeight="251660288" behindDoc="0" locked="0" layoutInCell="1" allowOverlap="1">
                <wp:simplePos x="0" y="0"/>
                <wp:positionH relativeFrom="page">
                  <wp:posOffset>1619885</wp:posOffset>
                </wp:positionH>
                <wp:positionV relativeFrom="paragraph">
                  <wp:posOffset>32385</wp:posOffset>
                </wp:positionV>
                <wp:extent cx="4319905" cy="1800225"/>
                <wp:effectExtent l="0" t="0" r="8255" b="13335"/>
                <wp:wrapNone/>
                <wp:docPr id="1482371521" name="文本框 1482371521"/>
                <wp:cNvGraphicFramePr/>
                <a:graphic xmlns:a="http://schemas.openxmlformats.org/drawingml/2006/main">
                  <a:graphicData uri="http://schemas.microsoft.com/office/word/2010/wordprocessingShape">
                    <wps:wsp>
                      <wps:cNvSpPr txBox="1"/>
                      <wps:spPr>
                        <a:xfrm>
                          <a:off x="0" y="0"/>
                          <a:ext cx="4319905" cy="1800225"/>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4E8F09FF">
                            <w:pPr>
                              <w:jc w:val="center"/>
                              <w:rPr>
                                <w:rFonts w:ascii="Times New Roman" w:hAnsi="Times New Roman" w:eastAsia="黑体"/>
                                <w:b/>
                                <w:bCs/>
                                <w:sz w:val="52"/>
                                <w:szCs w:val="52"/>
                              </w:rPr>
                            </w:pPr>
                            <w:bookmarkStart w:id="374" w:name="_Toc7430"/>
                            <w:bookmarkStart w:id="375" w:name="_Toc1870"/>
                            <w:bookmarkStart w:id="376" w:name="_Toc2048"/>
                            <w:bookmarkStart w:id="377" w:name="_Toc32066"/>
                            <w:bookmarkStart w:id="378" w:name="_Toc7557"/>
                            <w:bookmarkStart w:id="379" w:name="_Toc1431"/>
                            <w:bookmarkStart w:id="380" w:name="_Toc4017"/>
                            <w:bookmarkStart w:id="381" w:name="_Toc12186"/>
                            <w:bookmarkStart w:id="382" w:name="_Toc8922"/>
                            <w:bookmarkStart w:id="383" w:name="_Toc21932"/>
                            <w:bookmarkStart w:id="384" w:name="_Toc21564"/>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374"/>
                            <w:bookmarkEnd w:id="375"/>
                            <w:bookmarkEnd w:id="376"/>
                            <w:bookmarkEnd w:id="377"/>
                            <w:bookmarkEnd w:id="378"/>
                            <w:bookmarkEnd w:id="379"/>
                            <w:bookmarkEnd w:id="380"/>
                            <w:bookmarkEnd w:id="381"/>
                            <w:bookmarkEnd w:id="382"/>
                            <w:bookmarkEnd w:id="383"/>
                            <w:bookmarkEnd w:id="384"/>
                          </w:p>
                          <w:p w14:paraId="563191CC">
                            <w:pPr>
                              <w:jc w:val="center"/>
                              <w:rPr>
                                <w:rFonts w:ascii="Times New Roman" w:hAnsi="Times New Roman" w:eastAsia="黑体"/>
                                <w:b/>
                                <w:bCs/>
                                <w:sz w:val="52"/>
                                <w:szCs w:val="52"/>
                              </w:rPr>
                            </w:pPr>
                            <w:r>
                              <w:rPr>
                                <w:rFonts w:ascii="Times New Roman" w:hAnsi="Times New Roman" w:eastAsia="黑体"/>
                                <w:b/>
                                <w:bCs/>
                                <w:sz w:val="52"/>
                                <w:szCs w:val="52"/>
                              </w:rPr>
                              <w:t>预算绩效评价报告</w:t>
                            </w:r>
                          </w:p>
                          <w:p w14:paraId="1EDA4F87">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eastAsia="方正仿宋_GBK"/>
                                <w:b/>
                                <w:bCs/>
                                <w:sz w:val="32"/>
                                <w:szCs w:val="32"/>
                                <w:lang w:val="en-US" w:eastAsia="zh-CN"/>
                              </w:rPr>
                              <w:t>第</w:t>
                            </w:r>
                            <w:r>
                              <w:rPr>
                                <w:rFonts w:hint="eastAsia" w:ascii="Times New Roman" w:hAnsi="Times New Roman" w:eastAsia="仿宋_GB2312" w:cs="仿宋_GB2312"/>
                                <w:b/>
                                <w:sz w:val="32"/>
                                <w:szCs w:val="32"/>
                                <w:lang w:val="en-US" w:eastAsia="zh-CN"/>
                              </w:rPr>
                              <w:t>05</w:t>
                            </w:r>
                            <w:r>
                              <w:rPr>
                                <w:rFonts w:hint="eastAsia" w:eastAsia="仿宋_GB2312" w:cs="仿宋_GB2312"/>
                                <w:b/>
                                <w:sz w:val="32"/>
                                <w:szCs w:val="32"/>
                                <w:lang w:val="en-US" w:eastAsia="zh-CN"/>
                              </w:rPr>
                              <w:t>8</w:t>
                            </w:r>
                            <w:r>
                              <w:rPr>
                                <w:rFonts w:hint="eastAsia" w:ascii="Times New Roman" w:hAnsi="Times New Roman" w:eastAsia="仿宋_GB2312" w:cs="仿宋_GB2312"/>
                                <w:b/>
                                <w:sz w:val="32"/>
                                <w:szCs w:val="32"/>
                                <w:lang w:val="en-US" w:eastAsia="zh-CN"/>
                              </w:rPr>
                              <w:t>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55pt;margin-top:2.55pt;height:141.75pt;width:340.15pt;mso-position-horizontal-relative:page;z-index:251660288;mso-width-relative:page;mso-height-relative:page;" fillcolor="#FFFFFF [3201]" filled="t" stroked="f" coordsize="21600,21600" o:gfxdata="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S3Krt2QAAAAkBAAAP&#10;AAAAAAAAAAEAIAAAACIAAABkcnMvZG93bnJldi54bWxQSwECFAAUAAAACACHTuJAJWh2rIkCAAD1&#10;BAAADgAAAAAAAAABACAAAAAoAQAAZHJzL2Uyb0RvYy54bWxQSwUGAAAAAAYABgBZAQAAIwYAAAAA&#10;">
                <v:fill on="t" focussize="0,0"/>
                <v:stroke on="f" weight="1pt" miterlimit="8" joinstyle="miter" dashstyle="1 1"/>
                <v:imagedata o:title=""/>
                <o:lock v:ext="edit" aspectratio="f"/>
                <v:textbox>
                  <w:txbxContent>
                    <w:p w14:paraId="4E8F09FF">
                      <w:pPr>
                        <w:jc w:val="center"/>
                        <w:rPr>
                          <w:rFonts w:ascii="Times New Roman" w:hAnsi="Times New Roman" w:eastAsia="黑体"/>
                          <w:b/>
                          <w:bCs/>
                          <w:sz w:val="52"/>
                          <w:szCs w:val="52"/>
                        </w:rPr>
                      </w:pPr>
                      <w:bookmarkStart w:id="374" w:name="_Toc7430"/>
                      <w:bookmarkStart w:id="375" w:name="_Toc1870"/>
                      <w:bookmarkStart w:id="376" w:name="_Toc2048"/>
                      <w:bookmarkStart w:id="377" w:name="_Toc32066"/>
                      <w:bookmarkStart w:id="378" w:name="_Toc7557"/>
                      <w:bookmarkStart w:id="379" w:name="_Toc1431"/>
                      <w:bookmarkStart w:id="380" w:name="_Toc4017"/>
                      <w:bookmarkStart w:id="381" w:name="_Toc12186"/>
                      <w:bookmarkStart w:id="382" w:name="_Toc8922"/>
                      <w:bookmarkStart w:id="383" w:name="_Toc21932"/>
                      <w:bookmarkStart w:id="384" w:name="_Toc21564"/>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374"/>
                      <w:bookmarkEnd w:id="375"/>
                      <w:bookmarkEnd w:id="376"/>
                      <w:bookmarkEnd w:id="377"/>
                      <w:bookmarkEnd w:id="378"/>
                      <w:bookmarkEnd w:id="379"/>
                      <w:bookmarkEnd w:id="380"/>
                      <w:bookmarkEnd w:id="381"/>
                      <w:bookmarkEnd w:id="382"/>
                      <w:bookmarkEnd w:id="383"/>
                      <w:bookmarkEnd w:id="384"/>
                    </w:p>
                    <w:p w14:paraId="563191CC">
                      <w:pPr>
                        <w:jc w:val="center"/>
                        <w:rPr>
                          <w:rFonts w:ascii="Times New Roman" w:hAnsi="Times New Roman" w:eastAsia="黑体"/>
                          <w:b/>
                          <w:bCs/>
                          <w:sz w:val="52"/>
                          <w:szCs w:val="52"/>
                        </w:rPr>
                      </w:pPr>
                      <w:r>
                        <w:rPr>
                          <w:rFonts w:ascii="Times New Roman" w:hAnsi="Times New Roman" w:eastAsia="黑体"/>
                          <w:b/>
                          <w:bCs/>
                          <w:sz w:val="52"/>
                          <w:szCs w:val="52"/>
                        </w:rPr>
                        <w:t>预算绩效评价报告</w:t>
                      </w:r>
                    </w:p>
                    <w:p w14:paraId="1EDA4F87">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eastAsia="方正仿宋_GBK"/>
                          <w:b/>
                          <w:bCs/>
                          <w:sz w:val="32"/>
                          <w:szCs w:val="32"/>
                          <w:lang w:val="en-US" w:eastAsia="zh-CN"/>
                        </w:rPr>
                        <w:t>第</w:t>
                      </w:r>
                      <w:r>
                        <w:rPr>
                          <w:rFonts w:hint="eastAsia" w:ascii="Times New Roman" w:hAnsi="Times New Roman" w:eastAsia="仿宋_GB2312" w:cs="仿宋_GB2312"/>
                          <w:b/>
                          <w:sz w:val="32"/>
                          <w:szCs w:val="32"/>
                          <w:lang w:val="en-US" w:eastAsia="zh-CN"/>
                        </w:rPr>
                        <w:t>05</w:t>
                      </w:r>
                      <w:r>
                        <w:rPr>
                          <w:rFonts w:hint="eastAsia" w:eastAsia="仿宋_GB2312" w:cs="仿宋_GB2312"/>
                          <w:b/>
                          <w:sz w:val="32"/>
                          <w:szCs w:val="32"/>
                          <w:lang w:val="en-US" w:eastAsia="zh-CN"/>
                        </w:rPr>
                        <w:t>8</w:t>
                      </w:r>
                      <w:r>
                        <w:rPr>
                          <w:rFonts w:hint="eastAsia" w:ascii="Times New Roman" w:hAnsi="Times New Roman" w:eastAsia="仿宋_GB2312" w:cs="仿宋_GB2312"/>
                          <w:b/>
                          <w:sz w:val="32"/>
                          <w:szCs w:val="32"/>
                          <w:lang w:val="en-US" w:eastAsia="zh-CN"/>
                        </w:rPr>
                        <w:t>号</w:t>
                      </w:r>
                    </w:p>
                  </w:txbxContent>
                </v:textbox>
              </v:shape>
            </w:pict>
          </mc:Fallback>
        </mc:AlternateContent>
      </w:r>
    </w:p>
    <w:bookmarkEnd w:id="0"/>
    <w:bookmarkEnd w:id="1"/>
    <w:bookmarkEnd w:id="2"/>
    <w:bookmarkEnd w:id="3"/>
    <w:bookmarkEnd w:id="4"/>
    <w:bookmarkEnd w:id="5"/>
    <w:bookmarkEnd w:id="6"/>
    <w:bookmarkEnd w:id="7"/>
    <w:bookmarkEnd w:id="8"/>
    <w:bookmarkEnd w:id="9"/>
    <w:p w14:paraId="140CEEF1">
      <w:pPr>
        <w:keepNext w:val="0"/>
        <w:keepLines w:val="0"/>
        <w:pageBreakBefore w:val="0"/>
        <w:widowControl w:val="0"/>
        <w:kinsoku/>
        <w:wordWrap/>
        <w:overflowPunct/>
        <w:topLinePunct w:val="0"/>
        <w:autoSpaceDE/>
        <w:autoSpaceDN/>
        <w:bidi w:val="0"/>
        <w:adjustRightInd/>
        <w:snapToGrid/>
        <w:spacing w:line="620" w:lineRule="exact"/>
        <w:ind w:left="0" w:leftChars="0"/>
        <w:rPr>
          <w:rFonts w:hint="default" w:ascii="Times New Roman" w:hAnsi="Times New Roman" w:cs="仿宋_GB2312"/>
        </w:rPr>
      </w:pPr>
    </w:p>
    <w:p w14:paraId="3FF7198D">
      <w:pPr>
        <w:pStyle w:val="3"/>
        <w:keepNext w:val="0"/>
        <w:keepLines w:val="0"/>
        <w:pageBreakBefore w:val="0"/>
        <w:widowControl w:val="0"/>
        <w:kinsoku/>
        <w:wordWrap/>
        <w:overflowPunct/>
        <w:topLinePunct w:val="0"/>
        <w:autoSpaceDE/>
        <w:autoSpaceDN/>
        <w:bidi w:val="0"/>
        <w:adjustRightInd/>
        <w:snapToGrid/>
        <w:spacing w:before="0" w:after="0" w:line="620" w:lineRule="exact"/>
        <w:ind w:left="0" w:leftChars="0"/>
        <w:rPr>
          <w:rFonts w:hint="default" w:ascii="Times New Roman" w:hAnsi="Times New Roman" w:cs="仿宋_GB2312"/>
        </w:rPr>
      </w:pPr>
    </w:p>
    <w:p w14:paraId="07BDE3AD">
      <w:pPr>
        <w:keepNext w:val="0"/>
        <w:keepLines w:val="0"/>
        <w:pageBreakBefore w:val="0"/>
        <w:widowControl w:val="0"/>
        <w:kinsoku/>
        <w:wordWrap/>
        <w:overflowPunct/>
        <w:topLinePunct w:val="0"/>
        <w:autoSpaceDE/>
        <w:autoSpaceDN/>
        <w:bidi w:val="0"/>
        <w:adjustRightInd/>
        <w:snapToGrid/>
        <w:spacing w:line="620" w:lineRule="exact"/>
        <w:ind w:left="0" w:leftChars="0"/>
        <w:rPr>
          <w:rFonts w:hint="default" w:ascii="Times New Roman" w:hAnsi="Times New Roman" w:cs="仿宋_GB2312"/>
        </w:rPr>
      </w:pPr>
    </w:p>
    <w:p w14:paraId="5347E9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5A82DA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68E7BA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0E9889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58CA46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0CAC97F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2268DA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p>
    <w:p w14:paraId="5BF3A5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rPr>
      </w:pPr>
      <w:r>
        <w:rPr>
          <w:rFonts w:hint="default" w:ascii="Times New Roman" w:hAnsi="Times New Roman" w:eastAsia="黑体" w:cs="仿宋_GB2312"/>
          <w:bCs/>
          <w:kern w:val="0"/>
          <w:sz w:val="32"/>
          <w:szCs w:val="32"/>
        </w:rPr>
        <w:t>项目名称：2025年政府购买精康融合行动服务项目</w:t>
      </w:r>
    </w:p>
    <w:p w14:paraId="22278BB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sz w:val="32"/>
          <w:szCs w:val="32"/>
          <w:highlight w:val="none"/>
          <w:lang w:val="en-US"/>
        </w:rPr>
      </w:pPr>
      <w:r>
        <w:rPr>
          <w:rFonts w:hint="default" w:ascii="Times New Roman" w:hAnsi="Times New Roman" w:eastAsia="黑体" w:cs="仿宋_GB2312"/>
          <w:bCs/>
          <w:kern w:val="0"/>
          <w:sz w:val="32"/>
          <w:szCs w:val="32"/>
        </w:rPr>
        <w:t>项目单位：</w:t>
      </w:r>
      <w:r>
        <w:rPr>
          <w:rFonts w:hint="default" w:ascii="Times New Roman" w:hAnsi="Times New Roman" w:eastAsia="黑体" w:cs="仿宋_GB2312"/>
          <w:bCs/>
          <w:kern w:val="0"/>
          <w:sz w:val="32"/>
          <w:szCs w:val="32"/>
          <w:highlight w:val="none"/>
        </w:rPr>
        <w:t>喀什</w:t>
      </w:r>
      <w:r>
        <w:rPr>
          <w:rFonts w:hint="default" w:ascii="Times New Roman" w:hAnsi="Times New Roman" w:eastAsia="黑体" w:cs="仿宋_GB2312"/>
          <w:bCs/>
          <w:kern w:val="0"/>
          <w:sz w:val="32"/>
          <w:szCs w:val="32"/>
          <w:highlight w:val="none"/>
          <w:lang w:val="en-US" w:eastAsia="zh-CN"/>
        </w:rPr>
        <w:t>市民政局</w:t>
      </w:r>
    </w:p>
    <w:p w14:paraId="44B70EA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highlight w:val="yellow"/>
        </w:rPr>
      </w:pPr>
      <w:r>
        <w:rPr>
          <w:rFonts w:hint="default" w:ascii="Times New Roman" w:hAnsi="Times New Roman" w:eastAsia="黑体" w:cs="仿宋_GB2312"/>
          <w:bCs/>
          <w:kern w:val="0"/>
          <w:sz w:val="32"/>
          <w:szCs w:val="32"/>
          <w:highlight w:val="none"/>
        </w:rPr>
        <w:t>主管部门：喀什</w:t>
      </w:r>
      <w:r>
        <w:rPr>
          <w:rFonts w:hint="default" w:ascii="Times New Roman" w:hAnsi="Times New Roman" w:eastAsia="黑体" w:cs="仿宋_GB2312"/>
          <w:bCs/>
          <w:kern w:val="0"/>
          <w:sz w:val="32"/>
          <w:szCs w:val="32"/>
          <w:highlight w:val="none"/>
          <w:lang w:val="en-US" w:eastAsia="zh-CN"/>
        </w:rPr>
        <w:t>市民政局</w:t>
      </w:r>
    </w:p>
    <w:p w14:paraId="7DAE556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sz w:val="32"/>
          <w:szCs w:val="32"/>
          <w:highlight w:val="none"/>
        </w:rPr>
      </w:pPr>
      <w:r>
        <w:rPr>
          <w:rFonts w:hint="default" w:ascii="Times New Roman" w:hAnsi="Times New Roman" w:eastAsia="黑体" w:cs="仿宋_GB2312"/>
          <w:bCs/>
          <w:kern w:val="0"/>
          <w:sz w:val="32"/>
          <w:szCs w:val="32"/>
          <w:highlight w:val="none"/>
        </w:rPr>
        <w:t>委托单位：喀什</w:t>
      </w:r>
      <w:r>
        <w:rPr>
          <w:rFonts w:hint="default" w:ascii="Times New Roman" w:hAnsi="Times New Roman" w:eastAsia="黑体" w:cs="仿宋_GB2312"/>
          <w:bCs/>
          <w:kern w:val="0"/>
          <w:sz w:val="32"/>
          <w:szCs w:val="32"/>
          <w:highlight w:val="none"/>
          <w:lang w:val="en-US" w:eastAsia="zh-CN"/>
        </w:rPr>
        <w:t>市</w:t>
      </w:r>
      <w:r>
        <w:rPr>
          <w:rFonts w:hint="default" w:ascii="Times New Roman" w:hAnsi="Times New Roman" w:eastAsia="黑体" w:cs="仿宋_GB2312"/>
          <w:bCs/>
          <w:kern w:val="0"/>
          <w:sz w:val="32"/>
          <w:szCs w:val="32"/>
          <w:highlight w:val="none"/>
        </w:rPr>
        <w:t>财政局</w:t>
      </w:r>
    </w:p>
    <w:p w14:paraId="240F458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sz w:val="32"/>
          <w:szCs w:val="32"/>
          <w:highlight w:val="none"/>
        </w:rPr>
      </w:pPr>
      <w:r>
        <w:rPr>
          <w:rFonts w:hint="default" w:ascii="Times New Roman" w:hAnsi="Times New Roman" w:eastAsia="黑体" w:cs="仿宋_GB2312"/>
          <w:bCs/>
          <w:kern w:val="0"/>
          <w:sz w:val="32"/>
          <w:szCs w:val="32"/>
          <w:highlight w:val="none"/>
        </w:rPr>
        <w:t>评价机构：新疆高博有限责任会计师事务所</w:t>
      </w:r>
    </w:p>
    <w:p w14:paraId="78EB48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highlight w:val="none"/>
          <w:lang w:val="en-US" w:eastAsia="zh-CN"/>
        </w:rPr>
      </w:pPr>
      <w:r>
        <w:rPr>
          <w:rFonts w:hint="default" w:ascii="Times New Roman" w:hAnsi="Times New Roman" w:eastAsia="黑体" w:cs="仿宋_GB2312"/>
          <w:bCs/>
          <w:kern w:val="0"/>
          <w:sz w:val="32"/>
          <w:szCs w:val="32"/>
          <w:highlight w:val="none"/>
        </w:rPr>
        <w:t>主评人：</w:t>
      </w:r>
      <w:r>
        <w:rPr>
          <w:rFonts w:hint="default" w:ascii="Times New Roman" w:hAnsi="Times New Roman" w:eastAsia="黑体" w:cs="仿宋_GB2312"/>
          <w:bCs/>
          <w:kern w:val="0"/>
          <w:sz w:val="32"/>
          <w:szCs w:val="32"/>
          <w:highlight w:val="none"/>
          <w:lang w:val="en-US" w:eastAsia="zh-CN"/>
        </w:rPr>
        <w:t>张红霞</w:t>
      </w:r>
    </w:p>
    <w:p w14:paraId="153302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黑体" w:cs="仿宋_GB2312"/>
          <w:bCs/>
          <w:kern w:val="0"/>
          <w:sz w:val="32"/>
          <w:szCs w:val="32"/>
          <w:highlight w:val="none"/>
          <w:lang w:val="en-US" w:eastAsia="zh-CN"/>
        </w:rPr>
      </w:pPr>
    </w:p>
    <w:p w14:paraId="754EE4C3">
      <w:pPr>
        <w:keepNext w:val="0"/>
        <w:keepLines w:val="0"/>
        <w:pageBreakBefore w:val="0"/>
        <w:widowControl w:val="0"/>
        <w:kinsoku/>
        <w:wordWrap/>
        <w:overflowPunct/>
        <w:topLinePunct w:val="0"/>
        <w:autoSpaceDE/>
        <w:autoSpaceDN/>
        <w:bidi w:val="0"/>
        <w:adjustRightInd/>
        <w:snapToGrid/>
        <w:spacing w:line="620" w:lineRule="exact"/>
        <w:ind w:left="0" w:leftChars="0" w:firstLine="3200" w:firstLineChars="1000"/>
        <w:jc w:val="left"/>
        <w:textAlignment w:val="auto"/>
        <w:rPr>
          <w:rFonts w:hint="default" w:ascii="Times New Roman" w:hAnsi="Times New Roman" w:eastAsia="黑体" w:cs="仿宋_GB2312"/>
          <w:bCs/>
          <w:sz w:val="32"/>
          <w:szCs w:val="32"/>
          <w:highlight w:val="none"/>
        </w:rPr>
        <w:sectPr>
          <w:pgSz w:w="11906" w:h="16838"/>
          <w:pgMar w:top="2835" w:right="1701" w:bottom="1701" w:left="1701" w:header="851" w:footer="992" w:gutter="0"/>
          <w:cols w:space="0" w:num="1"/>
          <w:docGrid w:type="lines" w:linePitch="408" w:charSpace="0"/>
        </w:sectPr>
      </w:pPr>
      <w:r>
        <w:rPr>
          <w:rFonts w:hint="eastAsia" w:ascii="Times New Roman" w:hAnsi="Times New Roman" w:eastAsia="黑体" w:cs="仿宋_GB2312"/>
          <w:kern w:val="0"/>
          <w:sz w:val="32"/>
          <w:szCs w:val="32"/>
          <w:highlight w:val="none"/>
          <w:lang w:eastAsia="zh-CN"/>
        </w:rPr>
        <w:t>2026年8月</w:t>
      </w:r>
    </w:p>
    <w:p w14:paraId="6EAB12BC">
      <w:pPr>
        <w:pStyle w:val="9"/>
        <w:keepNext w:val="0"/>
        <w:keepLines w:val="0"/>
        <w:pageBreakBefore w:val="0"/>
        <w:widowControl w:val="0"/>
        <w:tabs>
          <w:tab w:val="right" w:leader="dot" w:pos="8302"/>
        </w:tabs>
        <w:kinsoku/>
        <w:wordWrap/>
        <w:overflowPunct/>
        <w:topLinePunct w:val="0"/>
        <w:autoSpaceDE/>
        <w:autoSpaceDN/>
        <w:bidi w:val="0"/>
        <w:adjustRightInd/>
        <w:snapToGrid/>
        <w:spacing w:afterAutospacing="0" w:line="660" w:lineRule="exact"/>
        <w:ind w:left="0" w:leftChars="0"/>
        <w:jc w:val="center"/>
        <w:textAlignment w:val="auto"/>
        <w:rPr>
          <w:rFonts w:hint="default" w:ascii="Times New Roman" w:hAnsi="Times New Roman" w:eastAsia="方正小标宋_GBK" w:cs="仿宋_GB2312"/>
          <w:b w:val="0"/>
          <w:bCs/>
          <w:color w:val="auto"/>
          <w:kern w:val="0"/>
          <w:sz w:val="44"/>
          <w:szCs w:val="44"/>
          <w:highlight w:val="none"/>
        </w:rPr>
      </w:pPr>
      <w:bookmarkStart w:id="10" w:name="_Toc5178"/>
      <w:bookmarkStart w:id="11" w:name="_Toc11681"/>
      <w:r>
        <w:rPr>
          <w:rFonts w:hint="default" w:ascii="Times New Roman" w:hAnsi="Times New Roman" w:eastAsia="方正小标宋_GBK" w:cs="仿宋_GB2312"/>
          <w:b w:val="0"/>
          <w:bCs/>
          <w:color w:val="auto"/>
          <w:kern w:val="0"/>
          <w:sz w:val="44"/>
          <w:szCs w:val="44"/>
          <w:highlight w:val="none"/>
        </w:rPr>
        <w:t>摘要</w:t>
      </w:r>
      <w:bookmarkEnd w:id="10"/>
      <w:bookmarkEnd w:id="11"/>
    </w:p>
    <w:p w14:paraId="33FAA6E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方正黑体_GBK" w:cs="仿宋_GB2312"/>
          <w:color w:val="auto"/>
          <w:kern w:val="0"/>
          <w:sz w:val="28"/>
          <w:szCs w:val="28"/>
          <w:highlight w:val="none"/>
          <w:lang w:bidi="en-US"/>
        </w:rPr>
      </w:pPr>
      <w:bookmarkStart w:id="12" w:name="_Toc31014"/>
      <w:bookmarkStart w:id="13" w:name="_Toc9924"/>
      <w:bookmarkStart w:id="14" w:name="_Toc21206"/>
      <w:r>
        <w:rPr>
          <w:rFonts w:hint="default" w:ascii="Times New Roman" w:hAnsi="Times New Roman" w:eastAsia="黑体" w:cs="仿宋_GB2312"/>
          <w:color w:val="auto"/>
          <w:kern w:val="0"/>
          <w:sz w:val="32"/>
          <w:szCs w:val="32"/>
          <w:highlight w:val="none"/>
          <w:lang w:bidi="en-US"/>
        </w:rPr>
        <w:t>一、项目概述</w:t>
      </w:r>
      <w:bookmarkEnd w:id="12"/>
      <w:bookmarkEnd w:id="13"/>
      <w:bookmarkEnd w:id="14"/>
    </w:p>
    <w:p w14:paraId="31E2392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eastAsia="zh-CN"/>
        </w:rPr>
      </w:pPr>
      <w:bookmarkStart w:id="15" w:name="_Toc13960"/>
      <w:bookmarkStart w:id="16" w:name="_Toc1580"/>
      <w:r>
        <w:rPr>
          <w:rFonts w:hint="default" w:ascii="Times New Roman" w:hAnsi="Times New Roman" w:eastAsia="楷体" w:cs="仿宋_GB2312"/>
          <w:b/>
          <w:bCs/>
          <w:color w:val="auto"/>
          <w:sz w:val="32"/>
          <w:szCs w:val="32"/>
          <w:highlight w:val="none"/>
          <w:lang w:eastAsia="zh-CN"/>
        </w:rPr>
        <w:t>（一）项目概述</w:t>
      </w:r>
      <w:bookmarkEnd w:id="15"/>
      <w:bookmarkEnd w:id="16"/>
    </w:p>
    <w:p w14:paraId="77C68C6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在国家高度重视精神卫生工作的大背景下，喀什市积极响应政策号召，深入推进精康融合行动。习近平总书记强调</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关心关爱精神障碍人员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，为精神卫生工作指明方向。民政部、财政部、国家卫生健康委、中国残联联合发布《关于开展</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精康融合行动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的通知》，明确提出构建专业化、规范化、标准化的精神障碍社区康复服务体系，这一体系建设成为各地工作的重要指引。以习近平新时代中国特色社会主义思想为指导，深入贯彻落实党的二十大精神，坚持以人民为中心，认真履行基本民生保障、基层社会治理、基本社会服务等职责，以促进患者回归和融入社会、减轻精神障碍患者、家庭及社会总负担为目标，着力推动精神障碍社区康复服务体系布局优化、资源投入整合强化、服务内容提质增效，促进基层治理体系和治理能力现代化，增强精神障碍患者及家庭获得感、幸福感，努力为全面建设社会主义现代化国家营造安全、平稳、健康、有序的社会环境。</w:t>
      </w:r>
    </w:p>
    <w:p w14:paraId="646C0BD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17" w:name="_Toc2622"/>
      <w:bookmarkStart w:id="18" w:name="_Toc17200"/>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lang w:val="en-US" w:eastAsia="zh-CN"/>
        </w:rPr>
        <w:t>二）</w:t>
      </w:r>
      <w:r>
        <w:rPr>
          <w:rFonts w:hint="default" w:ascii="Times New Roman" w:hAnsi="Times New Roman" w:eastAsia="楷体" w:cs="仿宋_GB2312"/>
          <w:b/>
          <w:bCs/>
          <w:color w:val="auto"/>
          <w:sz w:val="32"/>
          <w:szCs w:val="32"/>
          <w:highlight w:val="none"/>
        </w:rPr>
        <w:t>项目实施情况</w:t>
      </w:r>
      <w:bookmarkEnd w:id="17"/>
      <w:bookmarkEnd w:id="18"/>
    </w:p>
    <w:p w14:paraId="48E5EA1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项目实施单位：由喀什市民政局牵头，向第三方深圳市对口支援新疆（喀什）社会工作站（后改名为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喀什市臻善社会工作站</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购买精康服务，项目服务资金为20万元。购买服务内容为：喀什市臻善社会工作站按照喀什市民政局要求，积极响应国家精神卫生政策，聚焦患者康复、家属支持及社区环境优化的需求，为精神障碍患者及其家庭提供全面支持，推动社区融合。通过专业评估，为精神障碍患者定制个性化康复服务，涵盖生活、社交和职业技能训练，助力患者提升自理能力、融入社会。同时，为家属开展护理知识培训和心理支持活动，减轻其照顾负担。此外，积极开展社区宣传与融合活动，消除居民对精神障碍患者的偏见，营造包容接纳的社区氛围，为喀什市精神障碍社区康复服务长效机制建设贡献力量。</w:t>
      </w:r>
    </w:p>
    <w:p w14:paraId="03D41CD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提升患者康复水平：依据《DB65T精神障碍社区康复服务与管理规范》的康复标准，帮助80%进入社区康复服务的服务对象在生活自理、社交、职业技能等方面得到提升，能够独立完成更多日常生活活动，掌握基本社交技巧，提高职业技能。</w:t>
      </w:r>
    </w:p>
    <w:p w14:paraId="441A758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2.增强家属支持能力：通过培训和交流活动，使90%参与服务的家属掌握科学的护理方法和心理调适技巧，减轻照顾压力，提升家庭支持系统的功能。</w:t>
      </w:r>
    </w:p>
    <w:p w14:paraId="6FB1FE5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3.促进社区融合：开展社区宣传和融合活动，使社区居民对精神障碍患者的认知正确率进一步提高，减少社会歧视，营造包容、支持的社区环境，帮助患者更好地融入社区生活。</w:t>
      </w:r>
    </w:p>
    <w:p w14:paraId="6F979FA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val="en-US" w:eastAsia="zh-CN"/>
        </w:rPr>
      </w:pPr>
      <w:bookmarkStart w:id="19" w:name="_Toc698"/>
      <w:bookmarkStart w:id="20" w:name="_Toc3167"/>
      <w:r>
        <w:rPr>
          <w:rFonts w:hint="default" w:ascii="Times New Roman" w:hAnsi="Times New Roman" w:eastAsia="楷体" w:cs="仿宋_GB2312"/>
          <w:b/>
          <w:bCs/>
          <w:color w:val="auto"/>
          <w:sz w:val="32"/>
          <w:szCs w:val="32"/>
          <w:highlight w:val="none"/>
          <w:lang w:val="en-US" w:eastAsia="zh-CN"/>
        </w:rPr>
        <w:t>（三）绩效目标</w:t>
      </w:r>
      <w:bookmarkEnd w:id="19"/>
      <w:bookmarkEnd w:id="20"/>
    </w:p>
    <w:p w14:paraId="3F08AD1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1.绩效总目标</w:t>
      </w:r>
    </w:p>
    <w:p w14:paraId="512D647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立足中央民政部的政策要求，结合喀什市实际情况，构建完备的精神障碍康复支持体系，推动患者全面融入社会，营造包容接纳的社会环境。根据服务对象需求分层分类，由持证社工或心理咨询师及专业医生或康复师</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喀什市人民医院公共卫生科及喀什地区第一人民医院精神科提供支持）提供服务，着力提升精康患者的各项能力，同时提高家属的护理能力。</w:t>
      </w:r>
    </w:p>
    <w:p w14:paraId="59AC046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2.年度绩效目标</w:t>
      </w:r>
    </w:p>
    <w:p w14:paraId="1D1322A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2025年喀什市民政局根据民政部等四部门联合发布的《关于加快精神障碍社区康复服务发展的意见》（民发〔2017〕167号）要求，委托喀什市臻善社会工作站走访精康患者并对其开展评估工作，依据评估结果为每位精康患者制定个性化康复服务方案。</w:t>
      </w:r>
    </w:p>
    <w:p w14:paraId="662202A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2025年政府购买精康融合行动服务项目预算金额20万元。设置了4个一级指标，6个二级指标，1</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个三级指标，具体情况如下：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表1</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2025年政府购买精康融合行动服务项目年度绩效目标表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w:t>
      </w:r>
    </w:p>
    <w:p w14:paraId="44EC1757">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cs="仿宋_GB2312"/>
          <w:b/>
          <w:bCs/>
          <w:color w:val="auto"/>
          <w:kern w:val="2"/>
          <w:sz w:val="21"/>
          <w:szCs w:val="21"/>
          <w:highlight w:val="none"/>
          <w:lang w:bidi="ar-SA"/>
        </w:rPr>
      </w:pPr>
      <w:r>
        <w:rPr>
          <w:rFonts w:hint="default" w:ascii="Times New Roman" w:hAnsi="Times New Roman" w:cs="仿宋_GB2312"/>
          <w:b/>
          <w:bCs/>
          <w:color w:val="auto"/>
          <w:kern w:val="2"/>
          <w:sz w:val="21"/>
          <w:szCs w:val="21"/>
          <w:highlight w:val="none"/>
          <w:lang w:bidi="ar-SA"/>
        </w:rPr>
        <w:t>表1</w:t>
      </w:r>
      <w:r>
        <w:rPr>
          <w:rFonts w:hint="eastAsia" w:ascii="Times New Roman" w:hAnsi="Times New Roman" w:cs="仿宋_GB2312"/>
          <w:b/>
          <w:bCs/>
          <w:color w:val="auto"/>
          <w:kern w:val="2"/>
          <w:sz w:val="21"/>
          <w:szCs w:val="21"/>
          <w:highlight w:val="none"/>
          <w:lang w:eastAsia="zh-CN" w:bidi="ar-SA"/>
        </w:rPr>
        <w:t>:</w:t>
      </w:r>
      <w:r>
        <w:rPr>
          <w:rFonts w:hint="default" w:ascii="Times New Roman" w:hAnsi="Times New Roman" w:cs="仿宋_GB2312"/>
          <w:b/>
          <w:bCs/>
          <w:color w:val="auto"/>
          <w:kern w:val="2"/>
          <w:sz w:val="21"/>
          <w:szCs w:val="21"/>
          <w:highlight w:val="none"/>
          <w:lang w:eastAsia="zh-CN" w:bidi="ar-SA"/>
        </w:rPr>
        <w:t>2025年政府购买精康融合行动服务项目</w:t>
      </w:r>
      <w:r>
        <w:rPr>
          <w:rFonts w:hint="default" w:ascii="Times New Roman" w:hAnsi="Times New Roman" w:cs="仿宋_GB2312"/>
          <w:b/>
          <w:bCs/>
          <w:color w:val="auto"/>
          <w:kern w:val="2"/>
          <w:sz w:val="21"/>
          <w:szCs w:val="21"/>
          <w:highlight w:val="none"/>
          <w:lang w:bidi="ar-SA"/>
        </w:rPr>
        <w:t>年度绩效目标表</w:t>
      </w:r>
    </w:p>
    <w:tbl>
      <w:tblPr>
        <w:tblStyle w:val="13"/>
        <w:tblW w:w="82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1"/>
        <w:gridCol w:w="1380"/>
        <w:gridCol w:w="3624"/>
        <w:gridCol w:w="2004"/>
      </w:tblGrid>
      <w:tr w14:paraId="706C6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4819">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一级指标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D67E">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二级指标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E511">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三级指标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273D">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指标值</w:t>
            </w:r>
          </w:p>
        </w:tc>
      </w:tr>
      <w:tr w14:paraId="3EFA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A90B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产出指标</w:t>
            </w:r>
          </w:p>
        </w:tc>
        <w:tc>
          <w:tcPr>
            <w:tcW w:w="1380" w:type="dxa"/>
            <w:vMerge w:val="restart"/>
            <w:tcBorders>
              <w:top w:val="single" w:color="000000" w:sz="4" w:space="0"/>
              <w:left w:val="single" w:color="000000" w:sz="4" w:space="0"/>
              <w:right w:val="single" w:color="000000" w:sz="4" w:space="0"/>
            </w:tcBorders>
            <w:shd w:val="clear" w:color="auto" w:fill="auto"/>
            <w:vAlign w:val="center"/>
          </w:tcPr>
          <w:p w14:paraId="7C7343D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数量指标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2FF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走访精康患者数量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26E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&gt;=290人</w:t>
            </w:r>
          </w:p>
        </w:tc>
      </w:tr>
      <w:tr w14:paraId="6B585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E183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73451BA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47B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服务精神障碍患者人数</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5A8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&gt;=100人</w:t>
            </w:r>
          </w:p>
        </w:tc>
      </w:tr>
      <w:tr w14:paraId="417EB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C224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0588267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353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精康患者评估人次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46B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&gt;=300人</w:t>
            </w:r>
          </w:p>
        </w:tc>
      </w:tr>
      <w:tr w14:paraId="1965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7E39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7580E76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912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个案咨询服务人次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2BB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&gt;=20人次</w:t>
            </w:r>
          </w:p>
        </w:tc>
      </w:tr>
      <w:tr w14:paraId="715C3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85A2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757572C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F9F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开展宣传、培训、训练等活动数量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78C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&gt;=54场次</w:t>
            </w:r>
          </w:p>
        </w:tc>
      </w:tr>
      <w:tr w14:paraId="738A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FCED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43CA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质量指标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E69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成果验收合格率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BE1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5A45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9F3F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AAE2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428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政府采购率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AD9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18B5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E56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38D7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59F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委托任务完成率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F2F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2CC92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A4E4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E6E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时效指标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F2F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向本行政区域县级财政部门下达自治区财政补助资金</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843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000000"/>
                <w:sz w:val="22"/>
                <w:szCs w:val="22"/>
                <w:u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收到补助资金后30日内</w:t>
            </w:r>
          </w:p>
        </w:tc>
      </w:tr>
      <w:tr w14:paraId="4E8F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6863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成本指标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4AB1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经济成本指标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EB6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项目购买服务资金标准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755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000000"/>
                <w:sz w:val="22"/>
                <w:szCs w:val="22"/>
                <w:u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&lt;=20万元/个</w:t>
            </w:r>
          </w:p>
        </w:tc>
      </w:tr>
      <w:tr w14:paraId="1A4E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00A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F0C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6E0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政府采购节约率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72D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&lt;=3%</w:t>
            </w:r>
          </w:p>
        </w:tc>
      </w:tr>
      <w:tr w14:paraId="02B9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187E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效益指标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19D6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社会效益指标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892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项目直接受益人员</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5D7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＞=2155人</w:t>
            </w:r>
          </w:p>
        </w:tc>
      </w:tr>
      <w:tr w14:paraId="076C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FDB4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11C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F59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引导社区康复机构的规范化运作</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BE6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有效引导</w:t>
            </w:r>
          </w:p>
        </w:tc>
      </w:tr>
      <w:tr w14:paraId="4871F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186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满意度指标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495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满意度指标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E4E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受益患者满意度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7FB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&gt;=95%</w:t>
            </w:r>
          </w:p>
        </w:tc>
      </w:tr>
    </w:tbl>
    <w:p w14:paraId="6026D8C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21" w:name="_Toc14561"/>
      <w:bookmarkStart w:id="22" w:name="_Toc14923"/>
      <w:r>
        <w:rPr>
          <w:rFonts w:hint="default" w:ascii="Times New Roman" w:hAnsi="Times New Roman" w:eastAsia="黑体" w:cs="仿宋_GB2312"/>
          <w:color w:val="auto"/>
          <w:kern w:val="0"/>
          <w:sz w:val="32"/>
          <w:szCs w:val="32"/>
          <w:highlight w:val="none"/>
          <w:lang w:bidi="en-US"/>
        </w:rPr>
        <w:t>二、绩效评价情况</w:t>
      </w:r>
      <w:bookmarkEnd w:id="21"/>
      <w:bookmarkEnd w:id="22"/>
    </w:p>
    <w:p w14:paraId="443142E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23" w:name="_Toc2119"/>
      <w:bookmarkStart w:id="24" w:name="_Toc13708"/>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一</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评价结论</w:t>
      </w:r>
      <w:bookmarkEnd w:id="23"/>
      <w:bookmarkEnd w:id="24"/>
    </w:p>
    <w:p w14:paraId="4A0D50F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喀什市民政局实施的2025年政府购买精康融合行动服务项目截至2025年12月31日，实际支出资金20万元。通过政府购买服务的方式完成1个精康融合行动服务项目，服务342名精神障碍康复患者，进一步健全完善政策体系，加强技术指导，人才培养及评估服务，引导社区康复机构的规范化运作，有效提高精神障碍康复服务能力。</w:t>
      </w:r>
    </w:p>
    <w:p w14:paraId="5F5C6FE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经对2025年政府购买精康融合行动服务项目进行客观评价，最终评分结果：评价总分9</w:t>
      </w:r>
      <w:r>
        <w:rPr>
          <w:rFonts w:hint="eastAsia" w:ascii="Times New Roman" w:hAnsi="Times New Roman"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.5分，绩效等级为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。得分情况见</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表2</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2025年政府购买精康融合行动服务项目绩效评价评分汇总表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，详细评分过程见《2025年政府购买精康融合行动服务项目绩效评价指标综合评分表》（附件1）：</w:t>
      </w:r>
    </w:p>
    <w:p w14:paraId="21172F6C">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1476" w:firstLineChars="700"/>
        <w:jc w:val="both"/>
        <w:textAlignment w:val="auto"/>
        <w:rPr>
          <w:rFonts w:hint="default" w:ascii="Times New Roman" w:hAnsi="Times New Roman" w:cs="仿宋_GB2312"/>
          <w:b/>
          <w:bCs/>
          <w:color w:val="auto"/>
          <w:kern w:val="2"/>
          <w:sz w:val="21"/>
          <w:szCs w:val="21"/>
          <w:highlight w:val="none"/>
          <w:lang w:bidi="ar-SA"/>
        </w:rPr>
      </w:pPr>
      <w:r>
        <w:rPr>
          <w:rFonts w:hint="default" w:ascii="Times New Roman" w:hAnsi="Times New Roman" w:cs="仿宋_GB2312"/>
          <w:b/>
          <w:bCs/>
          <w:color w:val="auto"/>
          <w:kern w:val="2"/>
          <w:sz w:val="21"/>
          <w:szCs w:val="21"/>
          <w:highlight w:val="none"/>
          <w:lang w:bidi="ar-SA"/>
        </w:rPr>
        <w:t>表</w:t>
      </w:r>
      <w:r>
        <w:rPr>
          <w:rFonts w:hint="default" w:ascii="Times New Roman" w:hAnsi="Times New Roman" w:cs="仿宋_GB2312"/>
          <w:b/>
          <w:bCs/>
          <w:color w:val="auto"/>
          <w:kern w:val="2"/>
          <w:sz w:val="21"/>
          <w:szCs w:val="21"/>
          <w:highlight w:val="none"/>
          <w:lang w:val="en-US" w:eastAsia="zh-CN" w:bidi="ar-SA"/>
        </w:rPr>
        <w:t>2</w:t>
      </w:r>
      <w:r>
        <w:rPr>
          <w:rFonts w:hint="eastAsia" w:ascii="Times New Roman" w:hAnsi="Times New Roman" w:cs="仿宋_GB2312"/>
          <w:b/>
          <w:bCs/>
          <w:color w:val="auto"/>
          <w:kern w:val="2"/>
          <w:sz w:val="21"/>
          <w:szCs w:val="21"/>
          <w:highlight w:val="none"/>
          <w:lang w:val="en-US" w:eastAsia="zh-CN" w:bidi="ar-SA"/>
        </w:rPr>
        <w:t>:</w:t>
      </w:r>
      <w:r>
        <w:rPr>
          <w:rFonts w:hint="default" w:ascii="Times New Roman" w:hAnsi="Times New Roman" w:cs="仿宋_GB2312"/>
          <w:b/>
          <w:bCs/>
          <w:color w:val="auto"/>
          <w:kern w:val="2"/>
          <w:sz w:val="21"/>
          <w:szCs w:val="21"/>
          <w:highlight w:val="none"/>
          <w:lang w:val="en-US" w:eastAsia="zh-CN" w:bidi="ar-SA"/>
        </w:rPr>
        <w:t>2025年政府购买精康融合行动服务项目</w:t>
      </w:r>
      <w:r>
        <w:rPr>
          <w:rFonts w:hint="default" w:ascii="Times New Roman" w:hAnsi="Times New Roman" w:cs="仿宋_GB2312"/>
          <w:b/>
          <w:bCs/>
          <w:color w:val="auto"/>
          <w:kern w:val="2"/>
          <w:sz w:val="21"/>
          <w:szCs w:val="21"/>
          <w:highlight w:val="none"/>
          <w:lang w:bidi="ar-SA"/>
        </w:rPr>
        <w:t>绩效评价评分汇总表</w:t>
      </w:r>
    </w:p>
    <w:tbl>
      <w:tblPr>
        <w:tblStyle w:val="13"/>
        <w:tblW w:w="8902" w:type="dxa"/>
        <w:tblInd w:w="0" w:type="dxa"/>
        <w:tblLayout w:type="fixed"/>
        <w:tblCellMar>
          <w:top w:w="0" w:type="dxa"/>
          <w:left w:w="0" w:type="dxa"/>
          <w:bottom w:w="0" w:type="dxa"/>
          <w:right w:w="0" w:type="dxa"/>
        </w:tblCellMar>
      </w:tblPr>
      <w:tblGrid>
        <w:gridCol w:w="2224"/>
        <w:gridCol w:w="2224"/>
        <w:gridCol w:w="2227"/>
        <w:gridCol w:w="2227"/>
      </w:tblGrid>
      <w:tr w14:paraId="7B383B96">
        <w:tblPrEx>
          <w:tblCellMar>
            <w:top w:w="0" w:type="dxa"/>
            <w:left w:w="0" w:type="dxa"/>
            <w:bottom w:w="0" w:type="dxa"/>
            <w:right w:w="0" w:type="dxa"/>
          </w:tblCellMar>
        </w:tblPrEx>
        <w:trPr>
          <w:trHeight w:val="454" w:hRule="exact"/>
          <w:tblHeader/>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0820723">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仿宋_GB2312" w:cs="仿宋_GB2312"/>
                <w:b/>
                <w:bCs/>
                <w:i w:val="0"/>
                <w:iCs w:val="0"/>
                <w:color w:val="auto"/>
                <w:kern w:val="0"/>
                <w:sz w:val="22"/>
                <w:szCs w:val="22"/>
                <w:highlight w:val="none"/>
                <w:u w:val="none"/>
                <w:lang w:val="en-US" w:eastAsia="zh-CN" w:bidi="ar"/>
              </w:rPr>
            </w:pPr>
            <w:r>
              <w:rPr>
                <w:rFonts w:hint="default" w:ascii="Times New Roman" w:hAnsi="Times New Roman" w:eastAsia="仿宋_GB2312" w:cs="仿宋_GB2312"/>
                <w:b/>
                <w:bCs/>
                <w:i w:val="0"/>
                <w:iCs w:val="0"/>
                <w:color w:val="auto"/>
                <w:kern w:val="0"/>
                <w:sz w:val="22"/>
                <w:szCs w:val="22"/>
                <w:highlight w:val="none"/>
                <w:u w:val="none"/>
                <w:lang w:val="en-US" w:eastAsia="zh-CN" w:bidi="ar"/>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A6F66F3">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仿宋_GB2312" w:cs="仿宋_GB2312"/>
                <w:b/>
                <w:bCs/>
                <w:i w:val="0"/>
                <w:iCs w:val="0"/>
                <w:color w:val="auto"/>
                <w:kern w:val="0"/>
                <w:sz w:val="22"/>
                <w:szCs w:val="22"/>
                <w:highlight w:val="none"/>
                <w:u w:val="none"/>
                <w:lang w:val="en-US" w:eastAsia="zh-CN" w:bidi="ar"/>
              </w:rPr>
            </w:pPr>
            <w:r>
              <w:rPr>
                <w:rFonts w:hint="default" w:ascii="Times New Roman" w:hAnsi="Times New Roman" w:eastAsia="仿宋_GB2312" w:cs="仿宋_GB2312"/>
                <w:b/>
                <w:bCs/>
                <w:i w:val="0"/>
                <w:iCs w:val="0"/>
                <w:color w:val="auto"/>
                <w:kern w:val="0"/>
                <w:sz w:val="22"/>
                <w:szCs w:val="22"/>
                <w:highlight w:val="none"/>
                <w:u w:val="none"/>
                <w:lang w:val="en-US" w:eastAsia="zh-CN" w:bidi="ar"/>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8F041EE">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仿宋_GB2312" w:cs="仿宋_GB2312"/>
                <w:b/>
                <w:bCs/>
                <w:i w:val="0"/>
                <w:iCs w:val="0"/>
                <w:color w:val="auto"/>
                <w:kern w:val="0"/>
                <w:sz w:val="22"/>
                <w:szCs w:val="22"/>
                <w:highlight w:val="none"/>
                <w:u w:val="none"/>
                <w:lang w:val="en-US" w:eastAsia="zh-CN" w:bidi="ar"/>
              </w:rPr>
            </w:pPr>
            <w:r>
              <w:rPr>
                <w:rFonts w:hint="default" w:ascii="Times New Roman" w:hAnsi="Times New Roman" w:eastAsia="仿宋_GB2312" w:cs="仿宋_GB2312"/>
                <w:b/>
                <w:bCs/>
                <w:i w:val="0"/>
                <w:iCs w:val="0"/>
                <w:color w:val="auto"/>
                <w:kern w:val="0"/>
                <w:sz w:val="22"/>
                <w:szCs w:val="22"/>
                <w:highlight w:val="none"/>
                <w:u w:val="none"/>
                <w:lang w:val="en-US" w:eastAsia="zh-CN" w:bidi="ar"/>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C7218E">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仿宋_GB2312" w:cs="仿宋_GB2312"/>
                <w:b/>
                <w:bCs/>
                <w:i w:val="0"/>
                <w:iCs w:val="0"/>
                <w:color w:val="auto"/>
                <w:kern w:val="0"/>
                <w:sz w:val="22"/>
                <w:szCs w:val="22"/>
                <w:highlight w:val="none"/>
                <w:u w:val="none"/>
                <w:lang w:val="en-US" w:eastAsia="zh-CN" w:bidi="ar"/>
              </w:rPr>
            </w:pPr>
            <w:r>
              <w:rPr>
                <w:rFonts w:hint="default" w:ascii="Times New Roman" w:hAnsi="Times New Roman" w:eastAsia="仿宋_GB2312" w:cs="仿宋_GB2312"/>
                <w:b/>
                <w:bCs/>
                <w:i w:val="0"/>
                <w:iCs w:val="0"/>
                <w:color w:val="auto"/>
                <w:kern w:val="0"/>
                <w:sz w:val="22"/>
                <w:szCs w:val="22"/>
                <w:highlight w:val="none"/>
                <w:u w:val="none"/>
                <w:lang w:val="en-US" w:eastAsia="zh-CN" w:bidi="ar"/>
              </w:rPr>
              <w:t>得分率</w:t>
            </w:r>
          </w:p>
        </w:tc>
      </w:tr>
      <w:tr w14:paraId="09226BA9">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AAB0B3C">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color w:val="auto"/>
                <w:sz w:val="22"/>
                <w:szCs w:val="22"/>
                <w:highlight w:val="none"/>
              </w:rPr>
            </w:pPr>
            <w:r>
              <w:rPr>
                <w:rFonts w:hint="default" w:ascii="Times New Roman" w:hAnsi="Times New Roman" w:eastAsia="仿宋_GB2312" w:cs="仿宋_GB2312"/>
                <w:color w:val="auto"/>
                <w:sz w:val="22"/>
                <w:szCs w:val="22"/>
                <w:highlight w:val="none"/>
              </w:rPr>
              <w:t>决策指标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E2D0F7F">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20.00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FC142A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w:t>
            </w:r>
            <w:r>
              <w:rPr>
                <w:rFonts w:hint="eastAsia" w:ascii="Times New Roman" w:hAnsi="Times New Roman" w:cs="仿宋_GB2312"/>
                <w:color w:val="auto"/>
                <w:kern w:val="0"/>
                <w:sz w:val="22"/>
                <w:szCs w:val="22"/>
                <w:highlight w:val="none"/>
                <w:lang w:val="en-US" w:eastAsia="zh-CN" w:bidi="en-US"/>
              </w:rPr>
              <w:t>8</w:t>
            </w:r>
            <w:r>
              <w:rPr>
                <w:rFonts w:hint="default" w:ascii="Times New Roman" w:hAnsi="Times New Roman" w:eastAsia="仿宋_GB2312" w:cs="仿宋_GB2312"/>
                <w:color w:val="auto"/>
                <w:kern w:val="0"/>
                <w:sz w:val="22"/>
                <w:szCs w:val="22"/>
                <w:highlight w:val="none"/>
                <w:lang w:val="en-US" w:eastAsia="zh-CN" w:bidi="en-US"/>
              </w:rPr>
              <w:t>.00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8A14AC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0</w:t>
            </w:r>
            <w:r>
              <w:rPr>
                <w:rFonts w:hint="default" w:ascii="Times New Roman" w:hAnsi="Times New Roman" w:eastAsia="仿宋_GB2312" w:cs="仿宋_GB2312"/>
                <w:color w:val="auto"/>
                <w:kern w:val="0"/>
                <w:sz w:val="22"/>
                <w:szCs w:val="22"/>
                <w:highlight w:val="none"/>
                <w:lang w:val="en-US" w:eastAsia="zh-CN" w:bidi="en-US"/>
              </w:rPr>
              <w:t>.00%</w:t>
            </w:r>
          </w:p>
        </w:tc>
      </w:tr>
      <w:tr w14:paraId="350D5CFC">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D507E8">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color w:val="auto"/>
                <w:sz w:val="22"/>
                <w:szCs w:val="22"/>
                <w:highlight w:val="none"/>
              </w:rPr>
            </w:pPr>
            <w:r>
              <w:rPr>
                <w:rFonts w:hint="default" w:ascii="Times New Roman" w:hAnsi="Times New Roman" w:eastAsia="仿宋_GB2312" w:cs="仿宋_GB2312"/>
                <w:color w:val="auto"/>
                <w:sz w:val="22"/>
                <w:szCs w:val="22"/>
                <w:highlight w:val="none"/>
              </w:rPr>
              <w:t>过程指标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0F5121A">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30.00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7D73D6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29.50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359E04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98.33%</w:t>
            </w:r>
          </w:p>
        </w:tc>
      </w:tr>
      <w:tr w14:paraId="543ED9AD">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3E762A9">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color w:val="auto"/>
                <w:sz w:val="22"/>
                <w:szCs w:val="22"/>
                <w:highlight w:val="none"/>
              </w:rPr>
            </w:pPr>
            <w:r>
              <w:rPr>
                <w:rFonts w:hint="default" w:ascii="Times New Roman" w:hAnsi="Times New Roman" w:eastAsia="仿宋_GB2312" w:cs="仿宋_GB2312"/>
                <w:color w:val="auto"/>
                <w:sz w:val="22"/>
                <w:szCs w:val="22"/>
                <w:highlight w:val="none"/>
              </w:rPr>
              <w:t>产出指标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610C05">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bidi="en-US"/>
              </w:rPr>
            </w:pPr>
            <w:r>
              <w:rPr>
                <w:rFonts w:hint="default" w:ascii="Times New Roman" w:hAnsi="Times New Roman" w:eastAsia="仿宋_GB2312" w:cs="仿宋_GB2312"/>
                <w:color w:val="auto"/>
                <w:kern w:val="0"/>
                <w:sz w:val="22"/>
                <w:szCs w:val="22"/>
                <w:highlight w:val="none"/>
                <w:lang w:val="en-US" w:eastAsia="zh-CN" w:bidi="en-US"/>
              </w:rPr>
              <w:t>35</w:t>
            </w:r>
            <w:r>
              <w:rPr>
                <w:rFonts w:hint="default" w:ascii="Times New Roman" w:hAnsi="Times New Roman" w:eastAsia="仿宋_GB2312" w:cs="仿宋_GB2312"/>
                <w:color w:val="auto"/>
                <w:kern w:val="0"/>
                <w:sz w:val="22"/>
                <w:szCs w:val="22"/>
                <w:highlight w:val="none"/>
                <w:lang w:bidi="en-US"/>
              </w:rPr>
              <w:t>.00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5B75E8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32.00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C57D3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91.43%</w:t>
            </w:r>
          </w:p>
        </w:tc>
      </w:tr>
      <w:tr w14:paraId="1F2AAE0E">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3D7AE86">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color w:val="auto"/>
                <w:sz w:val="22"/>
                <w:szCs w:val="22"/>
                <w:highlight w:val="none"/>
              </w:rPr>
            </w:pPr>
            <w:r>
              <w:rPr>
                <w:rFonts w:hint="default" w:ascii="Times New Roman" w:hAnsi="Times New Roman" w:eastAsia="仿宋_GB2312" w:cs="仿宋_GB2312"/>
                <w:color w:val="auto"/>
                <w:sz w:val="22"/>
                <w:szCs w:val="22"/>
                <w:highlight w:val="none"/>
              </w:rPr>
              <w:t>效益指标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639D65">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15.00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94CEC7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15.00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A3507F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100.00%</w:t>
            </w:r>
          </w:p>
        </w:tc>
      </w:tr>
      <w:tr w14:paraId="02D18897">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77C2F51">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color w:val="auto"/>
                <w:sz w:val="22"/>
                <w:szCs w:val="22"/>
                <w:highlight w:val="none"/>
              </w:rPr>
            </w:pPr>
            <w:r>
              <w:rPr>
                <w:rFonts w:hint="default" w:ascii="Times New Roman" w:hAnsi="Times New Roman" w:eastAsia="仿宋_GB2312" w:cs="仿宋_GB2312"/>
                <w:color w:val="auto"/>
                <w:sz w:val="22"/>
                <w:szCs w:val="22"/>
                <w:highlight w:val="none"/>
              </w:rPr>
              <w:t>合计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5CDF3DF">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bidi="en-US"/>
              </w:rPr>
            </w:pPr>
            <w:r>
              <w:rPr>
                <w:rFonts w:hint="default" w:ascii="Times New Roman" w:hAnsi="Times New Roman" w:eastAsia="仿宋_GB2312" w:cs="仿宋_GB2312"/>
                <w:color w:val="auto"/>
                <w:kern w:val="0"/>
                <w:sz w:val="22"/>
                <w:szCs w:val="22"/>
                <w:highlight w:val="none"/>
                <w:lang w:bidi="en-US"/>
              </w:rPr>
              <w:t>100.00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B87541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4</w:t>
            </w:r>
            <w:r>
              <w:rPr>
                <w:rFonts w:hint="default" w:ascii="Times New Roman" w:hAnsi="Times New Roman" w:eastAsia="仿宋_GB2312" w:cs="仿宋_GB2312"/>
                <w:color w:val="auto"/>
                <w:kern w:val="0"/>
                <w:sz w:val="22"/>
                <w:szCs w:val="22"/>
                <w:highlight w:val="none"/>
                <w:lang w:val="en-US" w:eastAsia="zh-CN" w:bidi="en-US"/>
              </w:rPr>
              <w:t>.50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DD721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4</w:t>
            </w:r>
            <w:r>
              <w:rPr>
                <w:rFonts w:hint="default" w:ascii="Times New Roman" w:hAnsi="Times New Roman" w:eastAsia="仿宋_GB2312" w:cs="仿宋_GB2312"/>
                <w:color w:val="auto"/>
                <w:kern w:val="0"/>
                <w:sz w:val="22"/>
                <w:szCs w:val="22"/>
                <w:highlight w:val="none"/>
                <w:lang w:val="en-US" w:eastAsia="zh-CN" w:bidi="en-US"/>
              </w:rPr>
              <w:t>.50%</w:t>
            </w:r>
          </w:p>
        </w:tc>
      </w:tr>
    </w:tbl>
    <w:p w14:paraId="4BEDCF9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本项目绩效评价结果为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，建议根据《关于进一步加强和规范喀什地区项目支出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全过程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预算管理结果应用的通知》（喀地财绩〔2022〕2号）文件规定，对绩效评价结果为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：属延续性项目的，在下一年度部门预算编制中，可优先予以安排。</w:t>
      </w:r>
    </w:p>
    <w:p w14:paraId="1BFE0A8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25" w:name="_Toc4206"/>
      <w:bookmarkStart w:id="26" w:name="_Toc4725"/>
      <w:r>
        <w:rPr>
          <w:rFonts w:hint="default" w:ascii="Times New Roman" w:hAnsi="Times New Roman" w:eastAsia="楷体" w:cs="仿宋_GB2312"/>
          <w:b/>
          <w:bCs/>
          <w:color w:val="auto"/>
          <w:sz w:val="32"/>
          <w:szCs w:val="32"/>
          <w:highlight w:val="none"/>
        </w:rPr>
        <w:t>（二）预算执行情况</w:t>
      </w:r>
      <w:bookmarkEnd w:id="25"/>
      <w:bookmarkEnd w:id="26"/>
    </w:p>
    <w:p w14:paraId="2EF13F4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截至2025年12月31日，2025年政府购买精康融合行动服务项目实际支出资金20万元，其中：服务成本9.72万元，志愿者及技术专家（医生、康复师等）</w:t>
      </w:r>
      <w:r>
        <w:rPr>
          <w:rFonts w:hint="eastAsia" w:ascii="Times New Roman" w:hAnsi="Times New Roman" w:cs="仿宋_GB2312"/>
          <w:bCs/>
          <w:kern w:val="0"/>
          <w:sz w:val="32"/>
          <w:szCs w:val="32"/>
          <w:lang w:val="en-US" w:eastAsia="zh-CN" w:bidi="ar"/>
        </w:rPr>
        <w:t>劳务、误餐、交通等补贴</w:t>
      </w:r>
      <w:r>
        <w:rPr>
          <w:rFonts w:hint="default" w:ascii="Times New Roman" w:hAnsi="Times New Roman" w:eastAsia="仿宋_GB2312" w:cs="仿宋_GB2312"/>
          <w:bCs/>
          <w:kern w:val="0"/>
          <w:sz w:val="32"/>
          <w:szCs w:val="32"/>
          <w:lang w:val="en-US" w:eastAsia="zh-CN" w:bidi="ar"/>
        </w:rPr>
        <w:t>1万元，服务经费5.43万元，宣传费0.6万元，税费1.25万元（6.25%），管理费用含日常办公支出2万元。</w:t>
      </w:r>
    </w:p>
    <w:p w14:paraId="3795764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27" w:name="_Toc18118"/>
      <w:bookmarkStart w:id="28" w:name="_Toc24829"/>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三</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项目绩效情况</w:t>
      </w:r>
      <w:bookmarkEnd w:id="27"/>
      <w:bookmarkEnd w:id="28"/>
    </w:p>
    <w:p w14:paraId="6E2A384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项目到位资金20万元，截至2025年12月31日，本项目实际支出资金20万元，预算执行率为100%。实际通过政府购买服务的方式完成1个精康融合行动服务项目，服务342名精神障碍患者。通过实施本项目，进一步健全完善政策体系，加强技术指导，人才培养及评估服务，引导社区康复机构的规范化运作，有效提高精神障碍康复服务能力。</w:t>
      </w:r>
    </w:p>
    <w:p w14:paraId="7761C12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val="en-US" w:eastAsia="zh-CN" w:bidi="en-US"/>
        </w:rPr>
      </w:pPr>
      <w:bookmarkStart w:id="29" w:name="_Toc27554"/>
      <w:bookmarkStart w:id="30" w:name="_Toc2041"/>
      <w:r>
        <w:rPr>
          <w:rFonts w:hint="default" w:ascii="Times New Roman" w:hAnsi="Times New Roman" w:eastAsia="黑体" w:cs="仿宋_GB2312"/>
          <w:color w:val="auto"/>
          <w:kern w:val="0"/>
          <w:sz w:val="32"/>
          <w:szCs w:val="32"/>
          <w:highlight w:val="none"/>
          <w:lang w:val="en-US" w:eastAsia="zh-CN" w:bidi="en-US"/>
        </w:rPr>
        <w:t>三、经验、问题和建议</w:t>
      </w:r>
      <w:bookmarkEnd w:id="29"/>
      <w:bookmarkEnd w:id="30"/>
    </w:p>
    <w:p w14:paraId="7C3C281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31" w:name="_Toc28839"/>
      <w:bookmarkStart w:id="32" w:name="_Toc11296"/>
      <w:r>
        <w:rPr>
          <w:rFonts w:hint="default" w:ascii="Times New Roman" w:hAnsi="Times New Roman" w:eastAsia="楷体" w:cs="仿宋_GB2312"/>
          <w:b/>
          <w:bCs/>
          <w:color w:val="auto"/>
          <w:sz w:val="32"/>
          <w:szCs w:val="32"/>
          <w:highlight w:val="none"/>
        </w:rPr>
        <w:t>（一）主要经验及做法</w:t>
      </w:r>
      <w:bookmarkEnd w:id="31"/>
      <w:bookmarkEnd w:id="32"/>
    </w:p>
    <w:p w14:paraId="64B328A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1.健全统筹联动机制，打通多部门协同闭环</w:t>
      </w:r>
    </w:p>
    <w:p w14:paraId="55F5D22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由市民政局统筹，卫健委、残联、乡镇（街道）、村（社区）等常态化联合办公，定期互通严重精神障碍患者台账信息，解决信息割裂、转介不畅问题。卫健部门提供精神科医师技术支撑、定期病情评估、复发绿色通道；残联落实残疾人补贴、托养、辅助性就业资源；社区网格员负责日常走访、风险预警、服务转介，形成筛查—诊疗—康复—救助全链条衔接机制。</w:t>
      </w:r>
    </w:p>
    <w:p w14:paraId="4340A21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2.规范过程监管与绩效评估，长效管控服务质量</w:t>
      </w:r>
    </w:p>
    <w:p w14:paraId="22FBA90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（1）全流程标准化服务台账。统一设计入户走访、小组活动、病情评估、转介记录、家属服务标准化表单，做到每次服务留痕、有据可查，适配财政绩效评价、审计核查要求。</w:t>
      </w:r>
    </w:p>
    <w:p w14:paraId="2AD5358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常态化督导与季度绩效评价。市级孵化基地每月下沉站点实地督导，核查服务频次、服务质量、群众满意度；按季度开展项目绩效自评，从服务覆盖率、规范服药率、生活自理提升率、群众满意度、复发率等指标量化成效，动态优化服务方案。</w:t>
      </w:r>
    </w:p>
    <w:p w14:paraId="3AE2AF8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（3）群众反馈闭环机制。通过入户回访、社区座谈、双语意见收集箱收集患者及家属诉求，建立问题整改台账，限时优化服务内容，持续提升群众获得感。</w:t>
      </w:r>
    </w:p>
    <w:p w14:paraId="3E2134C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33" w:name="_Toc7079"/>
      <w:bookmarkStart w:id="34" w:name="_Toc2840"/>
      <w:r>
        <w:rPr>
          <w:rFonts w:hint="default" w:ascii="Times New Roman" w:hAnsi="Times New Roman" w:eastAsia="楷体" w:cs="仿宋_GB2312"/>
          <w:b/>
          <w:bCs/>
          <w:color w:val="auto"/>
          <w:sz w:val="32"/>
          <w:szCs w:val="32"/>
          <w:highlight w:val="none"/>
        </w:rPr>
        <w:t>（二）存在问题与不足</w:t>
      </w:r>
      <w:bookmarkEnd w:id="33"/>
      <w:bookmarkEnd w:id="34"/>
    </w:p>
    <w:p w14:paraId="3925929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1.项目前期论证不足，实施方案编制不科学，绩效目标设置偏低，与实际执行情况偏差较大</w:t>
      </w:r>
    </w:p>
    <w:p w14:paraId="0E8E3F1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项目提供了完整的《项目支出绩效目标表》，并制定了实施方案，该项目绩效目标与实际工作内容具有相关性，明确了总体思路及目标项目预期产出和效益基本符合正常的业绩水平，截至2025年12月31日，项目资金支出与预算确定的项目投资额20万元相匹配，本项目实施方案计划“服务精神障碍患者人数100人”，实际服务精神障碍患者342人，实际完成值与预期值差额较大。</w:t>
      </w:r>
      <w:r>
        <w:rPr>
          <w:rFonts w:hint="eastAsia" w:ascii="Times New Roman" w:hAnsi="Times New Roman" w:cs="仿宋_GB2312"/>
          <w:bCs/>
          <w:kern w:val="0"/>
          <w:sz w:val="32"/>
          <w:szCs w:val="32"/>
          <w:lang w:val="en-US" w:eastAsia="zh-CN" w:bidi="ar"/>
        </w:rPr>
        <w:t>开展项目前期工作时，实地调研、现状摸排不够；绩效预期目标测算主观性较强，项目方案不够成熟。</w:t>
      </w:r>
    </w:p>
    <w:p w14:paraId="3B3083E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2.项目期末评估与项目合同的贴合度不够</w:t>
      </w:r>
    </w:p>
    <w:p w14:paraId="7CC51F3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现场检查发现，该项目的评估分为期中和期末，期末对于精康融合行动服务的评估无合同中具体工作指标的评估，项目履约验收不规范。评估工作侧重点发生偏移</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期中评估重点核查项目阶段性产出、服务台账数据，聚焦进度纠偏，因此对服务人次、走访数量、个案数等具体业务数据逐项核验；期末评估更偏向成效、社会效益、满意度定性评价，弱化了业务原始数据核对，缺少量化数据复核环节。</w:t>
      </w:r>
    </w:p>
    <w:p w14:paraId="5075845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val="en-US" w:eastAsia="zh-CN"/>
        </w:rPr>
      </w:pPr>
      <w:bookmarkStart w:id="35" w:name="_Toc12713"/>
      <w:bookmarkStart w:id="36" w:name="_Toc17369"/>
      <w:r>
        <w:rPr>
          <w:rFonts w:hint="default" w:ascii="Times New Roman" w:hAnsi="Times New Roman" w:eastAsia="楷体" w:cs="仿宋_GB2312"/>
          <w:b/>
          <w:bCs/>
          <w:color w:val="auto"/>
          <w:sz w:val="32"/>
          <w:szCs w:val="32"/>
          <w:highlight w:val="none"/>
        </w:rPr>
        <w:t>（三）建议和改进措施</w:t>
      </w:r>
      <w:bookmarkEnd w:id="35"/>
      <w:bookmarkEnd w:id="36"/>
    </w:p>
    <w:p w14:paraId="2A53398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1.加强项目前期深入调研，合理设置绩效目标，力求最大限度与实际执行相符</w:t>
      </w:r>
    </w:p>
    <w:p w14:paraId="1F485AF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深入开展项目的前期调研，了解分析项目的实际需求，根据项目的规模合理编制项目方案，全面考虑项目所涉及的所有范围，使前期论证具有前瞻性、适应性和可操作性，加强与相关业务科室的协调沟通，广泛征求意见，准确把握政策要求和项目实际需求，减少项目预期计划完成工作量与实际完成工作量之间的偏差。合理设置绩效目标，设置的目标需与项目实际情况相对应，确保绩效目标符合实际，尽可能地减小实际完成值与预期目标值之间的差距，做到精准有效，质量保证，最大限度</w:t>
      </w:r>
      <w:r>
        <w:rPr>
          <w:rFonts w:hint="eastAsia" w:ascii="Times New Roman" w:hAnsi="Times New Roman" w:eastAsia="仿宋_GB2312" w:cs="仿宋_GB2312"/>
          <w:bCs/>
          <w:kern w:val="0"/>
          <w:sz w:val="32"/>
          <w:szCs w:val="32"/>
          <w:lang w:val="en-US" w:eastAsia="zh-CN" w:bidi="ar"/>
        </w:rPr>
        <w:t>地</w:t>
      </w:r>
      <w:r>
        <w:rPr>
          <w:rFonts w:hint="default" w:ascii="Times New Roman" w:hAnsi="Times New Roman" w:eastAsia="仿宋_GB2312" w:cs="仿宋_GB2312"/>
          <w:bCs/>
          <w:kern w:val="0"/>
          <w:sz w:val="32"/>
          <w:szCs w:val="32"/>
          <w:lang w:val="en-US" w:eastAsia="zh-CN" w:bidi="ar"/>
        </w:rPr>
        <w:t>发挥资金的使用绩效。</w:t>
      </w:r>
    </w:p>
    <w:p w14:paraId="754F86D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2.加强政府采购需求和履约验收管理</w:t>
      </w:r>
    </w:p>
    <w:p w14:paraId="1CF17A1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加强项目采购需求和履约验收管理，建立健全项目全过程跟踪监督机制，认真学习财政部印发的《关于进一步加强政府采购需求和履约验收管理的指导意见》，提高政府采购需求和履约验收管理的科学化、规范化水平。强化采购人对采购需求和履约验收的主体责任，切实做好需求编制和履约验收工作，完善内部机制、强化内部监督、细化内部流程，对于多阶段验收的项目，统一验收、评估的标准。</w:t>
      </w:r>
    </w:p>
    <w:p w14:paraId="2123462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sectPr>
          <w:headerReference r:id="rId3" w:type="default"/>
          <w:pgSz w:w="11906" w:h="16838"/>
          <w:pgMar w:top="1984" w:right="1531" w:bottom="1701" w:left="1531" w:header="851" w:footer="992" w:gutter="0"/>
          <w:cols w:space="425" w:num="1"/>
          <w:docGrid w:type="lines" w:linePitch="312" w:charSpace="0"/>
        </w:sectPr>
      </w:pPr>
    </w:p>
    <w:sdt>
      <w:sdtPr>
        <w:rPr>
          <w:rFonts w:hint="eastAsia" w:ascii="Times New Roman" w:hAnsi="Times New Roman" w:eastAsia="黑体" w:cs="仿宋_GB2312"/>
          <w:b/>
          <w:bCs/>
          <w:kern w:val="2"/>
          <w:sz w:val="44"/>
          <w:szCs w:val="44"/>
          <w:lang w:val="en-US" w:eastAsia="zh-CN" w:bidi="ar-SA"/>
        </w:rPr>
        <w:id w:val="147458288"/>
        <w15:color w:val="DBDBDB"/>
        <w:docPartObj>
          <w:docPartGallery w:val="Table of Contents"/>
          <w:docPartUnique/>
        </w:docPartObj>
      </w:sdtPr>
      <w:sdtEndPr>
        <w:rPr>
          <w:rFonts w:hint="default" w:ascii="Times New Roman" w:hAnsi="Times New Roman" w:eastAsia="方正小标宋_GBK" w:cs="仿宋_GB2312"/>
          <w:b/>
          <w:bCs/>
          <w:color w:val="auto"/>
          <w:kern w:val="0"/>
          <w:sz w:val="30"/>
          <w:szCs w:val="44"/>
          <w:highlight w:val="none"/>
          <w:lang w:val="en-US" w:eastAsia="zh-CN" w:bidi="ar-SA"/>
        </w:rPr>
      </w:sdtEndPr>
      <w:sdtContent>
        <w:p w14:paraId="7433E17C">
          <w:pPr>
            <w:spacing w:before="0" w:beforeLines="0" w:after="0" w:afterLines="0" w:line="240" w:lineRule="auto"/>
            <w:ind w:left="0" w:leftChars="0" w:right="0" w:rightChars="0" w:firstLine="0" w:firstLineChars="0"/>
            <w:jc w:val="center"/>
            <w:rPr>
              <w:rFonts w:hint="eastAsia" w:ascii="Times New Roman" w:hAnsi="Times New Roman" w:eastAsia="黑体" w:cs="仿宋_GB2312"/>
              <w:b/>
              <w:bCs/>
              <w:kern w:val="2"/>
              <w:sz w:val="44"/>
              <w:szCs w:val="44"/>
              <w:lang w:val="en-US" w:eastAsia="zh-CN" w:bidi="ar-SA"/>
            </w:rPr>
          </w:pPr>
          <w:r>
            <w:rPr>
              <w:rFonts w:hint="eastAsia" w:ascii="Times New Roman" w:hAnsi="Times New Roman" w:eastAsia="黑体" w:cs="仿宋_GB2312"/>
              <w:b/>
              <w:bCs/>
              <w:kern w:val="2"/>
              <w:sz w:val="44"/>
              <w:szCs w:val="44"/>
              <w:lang w:val="en-US" w:eastAsia="zh-CN" w:bidi="ar-SA"/>
            </w:rPr>
            <w:t>目 录</w:t>
          </w:r>
        </w:p>
        <w:p w14:paraId="3C54D139">
          <w:pPr>
            <w:pStyle w:val="11"/>
            <w:tabs>
              <w:tab w:val="right" w:leader="dot" w:pos="8306"/>
            </w:tabs>
            <w:rPr>
              <w:rFonts w:ascii="Times New Roman" w:hAnsi="Times New Roman" w:cs="仿宋_GB2312"/>
            </w:rPr>
          </w:pPr>
          <w:r>
            <w:rPr>
              <w:rFonts w:hint="default" w:ascii="Times New Roman" w:hAnsi="Times New Roman" w:eastAsia="方正小标宋_GBK" w:cs="仿宋_GB2312"/>
              <w:b w:val="0"/>
              <w:bCs/>
              <w:color w:val="auto"/>
              <w:kern w:val="0"/>
              <w:sz w:val="44"/>
              <w:szCs w:val="44"/>
              <w:highlight w:val="none"/>
              <w:lang w:val="en-US" w:eastAsia="zh-CN"/>
            </w:rPr>
            <w:fldChar w:fldCharType="begin"/>
          </w:r>
          <w:r>
            <w:rPr>
              <w:rFonts w:hint="default" w:ascii="Times New Roman" w:hAnsi="Times New Roman" w:eastAsia="方正小标宋_GBK" w:cs="仿宋_GB2312"/>
              <w:b w:val="0"/>
              <w:bCs/>
              <w:color w:val="auto"/>
              <w:kern w:val="0"/>
              <w:sz w:val="44"/>
              <w:szCs w:val="44"/>
              <w:highlight w:val="none"/>
              <w:lang w:val="en-US" w:eastAsia="zh-CN"/>
            </w:rPr>
            <w:instrText xml:space="preserve">TOC \o "1-2" \h \u </w:instrText>
          </w:r>
          <w:r>
            <w:rPr>
              <w:rFonts w:hint="default" w:ascii="Times New Roman" w:hAnsi="Times New Roman" w:eastAsia="方正小标宋_GBK" w:cs="仿宋_GB2312"/>
              <w:b w:val="0"/>
              <w:bCs/>
              <w:color w:val="auto"/>
              <w:kern w:val="0"/>
              <w:sz w:val="44"/>
              <w:szCs w:val="44"/>
              <w:highlight w:val="none"/>
              <w:lang w:val="en-US" w:eastAsia="zh-CN"/>
            </w:rPr>
            <w:fldChar w:fldCharType="separate"/>
          </w:r>
        </w:p>
        <w:p w14:paraId="4A87F7CA">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_Toc6927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val="en-US" w:eastAsia="zh-CN" w:bidi="en-US"/>
            </w:rPr>
            <w:t>一、基本情况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_Toc6927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5B954D1A">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_Toc19275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（一）项目概况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_Toc19275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E4E5787">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_Toc26946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（二）项目绩效目标</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_Toc26946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B33CC53">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_Toc26508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二、绩效评价工作开展情况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_Toc26508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70B5C077">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_Toc30611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（一）</w:t>
          </w:r>
          <w:r>
            <w:rPr>
              <w:rFonts w:hint="eastAsia" w:ascii="Times New Roman" w:hAnsi="Times New Roman" w:eastAsia="仿宋_GB2312" w:cs="仿宋_GB2312"/>
              <w:bCs/>
              <w:sz w:val="32"/>
              <w:szCs w:val="32"/>
              <w:highlight w:val="none"/>
              <w:lang w:val="en-US" w:eastAsia="zh-CN"/>
            </w:rPr>
            <w:t>绩效评价目的、对象、范围、依据及绩效评价时段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_Toc30611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42F2CCF8">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_Toc11389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二</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绩效评价原则、评价指标体系</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附表说明</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、评价方法、评价标准等</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_Toc11389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41D5D28D">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_Toc3505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（三）绩效评价工作过程</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_Toc3505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BF3BEB8">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_Toc7532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三、综合评价情况及评价结论</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_Toc7532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A4951FF">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_Toc31397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四、绩效评价指标分析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_Toc31397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32760319">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_Toc2664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（一）项目决策情况（分值</w:t>
          </w:r>
          <w:r>
            <w:rPr>
              <w:rFonts w:hint="eastAsia" w:ascii="Times New Roman" w:hAnsi="Times New Roman" w:eastAsia="仿宋_GB2312" w:cs="仿宋_GB2312"/>
              <w:bCs/>
              <w:sz w:val="32"/>
              <w:szCs w:val="32"/>
              <w:highlight w:val="none"/>
              <w:lang w:val="en-US" w:eastAsia="zh-CN"/>
            </w:rPr>
            <w:t>20</w:t>
          </w:r>
          <w:r>
            <w:rPr>
              <w:rFonts w:hint="eastAsia" w:ascii="Times New Roman" w:hAnsi="Times New Roman" w:eastAsia="仿宋_GB2312" w:cs="仿宋_GB2312"/>
              <w:bCs/>
              <w:sz w:val="32"/>
              <w:szCs w:val="32"/>
              <w:highlight w:val="none"/>
            </w:rPr>
            <w:t>分，得分</w:t>
          </w:r>
          <w:r>
            <w:rPr>
              <w:rFonts w:hint="eastAsia" w:ascii="Times New Roman" w:hAnsi="Times New Roman" w:eastAsia="仿宋_GB2312" w:cs="仿宋_GB2312"/>
              <w:bCs/>
              <w:sz w:val="32"/>
              <w:szCs w:val="32"/>
              <w:highlight w:val="none"/>
              <w:lang w:val="en-US" w:eastAsia="zh-CN"/>
            </w:rPr>
            <w:t>18</w:t>
          </w:r>
          <w:r>
            <w:rPr>
              <w:rFonts w:hint="eastAsia" w:ascii="Times New Roman" w:hAnsi="Times New Roman" w:eastAsia="仿宋_GB2312" w:cs="仿宋_GB2312"/>
              <w:bCs/>
              <w:sz w:val="32"/>
              <w:szCs w:val="32"/>
              <w:highlight w:val="none"/>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_Toc2664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CB84499">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_Toc16072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（二）项目过程情况（分值</w:t>
          </w:r>
          <w:r>
            <w:rPr>
              <w:rFonts w:hint="eastAsia" w:ascii="Times New Roman" w:hAnsi="Times New Roman" w:eastAsia="仿宋_GB2312" w:cs="仿宋_GB2312"/>
              <w:bCs/>
              <w:sz w:val="32"/>
              <w:szCs w:val="32"/>
              <w:highlight w:val="none"/>
              <w:lang w:val="en-US" w:eastAsia="zh-CN"/>
            </w:rPr>
            <w:t>30</w:t>
          </w:r>
          <w:r>
            <w:rPr>
              <w:rFonts w:hint="eastAsia" w:ascii="Times New Roman" w:hAnsi="Times New Roman" w:eastAsia="仿宋_GB2312" w:cs="仿宋_GB2312"/>
              <w:bCs/>
              <w:sz w:val="32"/>
              <w:szCs w:val="32"/>
              <w:highlight w:val="none"/>
            </w:rPr>
            <w:t>分，得分</w:t>
          </w:r>
          <w:r>
            <w:rPr>
              <w:rFonts w:hint="eastAsia" w:ascii="Times New Roman" w:hAnsi="Times New Roman" w:eastAsia="仿宋_GB2312" w:cs="仿宋_GB2312"/>
              <w:bCs/>
              <w:sz w:val="32"/>
              <w:szCs w:val="32"/>
              <w:highlight w:val="none"/>
              <w:lang w:val="en-US" w:eastAsia="zh-CN"/>
            </w:rPr>
            <w:t>29.5</w:t>
          </w:r>
          <w:r>
            <w:rPr>
              <w:rFonts w:hint="eastAsia" w:ascii="Times New Roman" w:hAnsi="Times New Roman" w:eastAsia="仿宋_GB2312" w:cs="仿宋_GB2312"/>
              <w:bCs/>
              <w:sz w:val="32"/>
              <w:szCs w:val="32"/>
              <w:highlight w:val="none"/>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_Toc16072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0E8CFDD9">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_Toc10467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（三）项目产出情况（分值</w:t>
          </w:r>
          <w:r>
            <w:rPr>
              <w:rFonts w:hint="eastAsia" w:ascii="Times New Roman" w:hAnsi="Times New Roman" w:eastAsia="仿宋_GB2312" w:cs="仿宋_GB2312"/>
              <w:bCs/>
              <w:sz w:val="32"/>
              <w:szCs w:val="32"/>
              <w:highlight w:val="none"/>
              <w:lang w:val="en-US" w:eastAsia="zh-CN"/>
            </w:rPr>
            <w:t>35</w:t>
          </w:r>
          <w:r>
            <w:rPr>
              <w:rFonts w:hint="eastAsia" w:ascii="Times New Roman" w:hAnsi="Times New Roman" w:eastAsia="仿宋_GB2312" w:cs="仿宋_GB2312"/>
              <w:bCs/>
              <w:sz w:val="32"/>
              <w:szCs w:val="32"/>
              <w:highlight w:val="none"/>
            </w:rPr>
            <w:t>分，得分</w:t>
          </w:r>
          <w:r>
            <w:rPr>
              <w:rFonts w:hint="eastAsia" w:ascii="Times New Roman" w:hAnsi="Times New Roman" w:eastAsia="仿宋_GB2312" w:cs="仿宋_GB2312"/>
              <w:bCs/>
              <w:sz w:val="32"/>
              <w:szCs w:val="32"/>
              <w:highlight w:val="none"/>
              <w:lang w:val="en-US" w:eastAsia="zh-CN"/>
            </w:rPr>
            <w:t>32</w:t>
          </w:r>
          <w:r>
            <w:rPr>
              <w:rFonts w:hint="eastAsia" w:ascii="Times New Roman" w:hAnsi="Times New Roman" w:eastAsia="仿宋_GB2312" w:cs="仿宋_GB2312"/>
              <w:bCs/>
              <w:sz w:val="32"/>
              <w:szCs w:val="32"/>
              <w:highlight w:val="none"/>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_Toc10467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142DA8D">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_Toc32334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w:t>
          </w:r>
          <w:r>
            <w:rPr>
              <w:rFonts w:hint="eastAsia" w:ascii="Times New Roman" w:hAnsi="Times New Roman" w:eastAsia="仿宋_GB2312" w:cs="仿宋_GB2312"/>
              <w:bCs/>
              <w:sz w:val="32"/>
              <w:szCs w:val="32"/>
              <w:highlight w:val="none"/>
              <w:lang w:val="en-US" w:eastAsia="zh-CN"/>
            </w:rPr>
            <w:t>四</w:t>
          </w:r>
          <w:r>
            <w:rPr>
              <w:rFonts w:hint="eastAsia" w:ascii="Times New Roman" w:hAnsi="Times New Roman" w:eastAsia="仿宋_GB2312" w:cs="仿宋_GB2312"/>
              <w:bCs/>
              <w:sz w:val="32"/>
              <w:szCs w:val="32"/>
              <w:highlight w:val="none"/>
            </w:rPr>
            <w:t>）项目</w:t>
          </w:r>
          <w:r>
            <w:rPr>
              <w:rFonts w:hint="eastAsia" w:ascii="Times New Roman" w:hAnsi="Times New Roman" w:eastAsia="仿宋_GB2312" w:cs="仿宋_GB2312"/>
              <w:bCs/>
              <w:sz w:val="32"/>
              <w:szCs w:val="32"/>
              <w:highlight w:val="none"/>
              <w:lang w:val="en-US" w:eastAsia="zh-CN"/>
            </w:rPr>
            <w:t>效益</w:t>
          </w:r>
          <w:r>
            <w:rPr>
              <w:rFonts w:hint="eastAsia" w:ascii="Times New Roman" w:hAnsi="Times New Roman" w:eastAsia="仿宋_GB2312" w:cs="仿宋_GB2312"/>
              <w:bCs/>
              <w:sz w:val="32"/>
              <w:szCs w:val="32"/>
              <w:highlight w:val="none"/>
            </w:rPr>
            <w:t>情况（分值</w:t>
          </w:r>
          <w:r>
            <w:rPr>
              <w:rFonts w:hint="eastAsia" w:ascii="Times New Roman" w:hAnsi="Times New Roman" w:eastAsia="仿宋_GB2312" w:cs="仿宋_GB2312"/>
              <w:bCs/>
              <w:sz w:val="32"/>
              <w:szCs w:val="32"/>
              <w:highlight w:val="none"/>
              <w:lang w:val="en-US" w:eastAsia="zh-CN"/>
            </w:rPr>
            <w:t>15</w:t>
          </w:r>
          <w:r>
            <w:rPr>
              <w:rFonts w:hint="eastAsia" w:ascii="Times New Roman" w:hAnsi="Times New Roman" w:eastAsia="仿宋_GB2312" w:cs="仿宋_GB2312"/>
              <w:bCs/>
              <w:sz w:val="32"/>
              <w:szCs w:val="32"/>
              <w:highlight w:val="none"/>
            </w:rPr>
            <w:t>分，得分</w:t>
          </w:r>
          <w:r>
            <w:rPr>
              <w:rFonts w:hint="eastAsia" w:ascii="Times New Roman" w:hAnsi="Times New Roman" w:eastAsia="仿宋_GB2312" w:cs="仿宋_GB2312"/>
              <w:bCs/>
              <w:sz w:val="32"/>
              <w:szCs w:val="32"/>
              <w:highlight w:val="none"/>
              <w:lang w:val="en-US" w:eastAsia="zh-CN"/>
            </w:rPr>
            <w:t>15</w:t>
          </w:r>
          <w:r>
            <w:rPr>
              <w:rFonts w:hint="eastAsia" w:ascii="Times New Roman" w:hAnsi="Times New Roman" w:eastAsia="仿宋_GB2312" w:cs="仿宋_GB2312"/>
              <w:bCs/>
              <w:sz w:val="32"/>
              <w:szCs w:val="32"/>
              <w:highlight w:val="none"/>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_Toc32334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4A98E56D">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_Toc1671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五、主要的经验及做法、存在的问题及原因分析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_Toc1671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1E134463">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_Toc18786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rPr>
            <w:t>（一）主要的经验及做法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_Toc18786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531C26B8">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_Toc20334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val="en-US" w:eastAsia="zh-CN"/>
            </w:rPr>
            <w:t>（二）存在的问题及原因分析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_Toc20334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611472A">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_Toc28133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六、相关建议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_Toc28133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13FE31B">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_Toc27485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val="en-US" w:eastAsia="zh-CN" w:bidi="en-US"/>
            </w:rPr>
            <w:t>七、其他需要说明的问题</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_Toc27485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13C611D2">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_Toc26696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（一）关于评价责任的说明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_Toc26696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35FC8A14">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_Toc20928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（二）本次绩效评价的局限性</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_Toc20928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33B8B85">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_Toc29726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kern w:val="0"/>
              <w:sz w:val="32"/>
              <w:szCs w:val="32"/>
              <w:highlight w:val="none"/>
              <w:lang w:bidi="en-US"/>
            </w:rPr>
            <w:t>八、绩效评价结果应用建议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_Toc29726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3564BC62">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_Toc12903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一</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绩效结果挂钩次年预算资金安排</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_Toc12903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3FC91BA8">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_Toc597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二</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绩效结果挂钩整改措施</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_Toc597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381A7529">
          <w:pPr>
            <w:pStyle w:val="11"/>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_Toc16732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bCs/>
              <w:sz w:val="32"/>
              <w:szCs w:val="32"/>
              <w:highlight w:val="none"/>
              <w:lang w:eastAsia="zh-CN"/>
            </w:rPr>
            <w:t>（三）绩效结果挂钩报告公开</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_Toc16732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9633CA1">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_Toc19011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rPr>
            <w:t>附件1：2025年政府购买精康融合行动服务项目绩效评价指标综合评分表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_Toc19011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72F68C2F">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_Toc9807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rPr>
            <w:t>附件</w:t>
          </w:r>
          <w:r>
            <w:rPr>
              <w:rFonts w:hint="eastAsia" w:ascii="Times New Roman" w:hAnsi="Times New Roman" w:eastAsia="仿宋_GB2312" w:cs="仿宋_GB2312"/>
              <w:sz w:val="32"/>
              <w:szCs w:val="32"/>
              <w:highlight w:val="none"/>
              <w:lang w:val="en-US" w:eastAsia="zh-CN"/>
            </w:rPr>
            <w:t>2</w:t>
          </w:r>
          <w:r>
            <w:rPr>
              <w:rFonts w:hint="eastAsia" w:ascii="Times New Roman" w:hAnsi="Times New Roman" w:eastAsia="仿宋_GB2312" w:cs="仿宋_GB2312"/>
              <w:sz w:val="32"/>
              <w:szCs w:val="32"/>
              <w:highlight w:val="none"/>
            </w:rPr>
            <w:t>：</w:t>
          </w:r>
          <w:r>
            <w:rPr>
              <w:rFonts w:hint="eastAsia" w:ascii="Times New Roman" w:hAnsi="Times New Roman" w:eastAsia="仿宋_GB2312" w:cs="仿宋_GB2312"/>
              <w:sz w:val="32"/>
              <w:szCs w:val="32"/>
              <w:highlight w:val="none"/>
              <w:lang w:val="en-US" w:eastAsia="zh-CN"/>
            </w:rPr>
            <w:t>满意度调查问卷汇总表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_Toc9807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11D0A43B">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_Toc5080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rPr>
            <w:t>附件</w:t>
          </w:r>
          <w:r>
            <w:rPr>
              <w:rFonts w:hint="eastAsia" w:ascii="Times New Roman" w:hAnsi="Times New Roman" w:eastAsia="仿宋_GB2312" w:cs="仿宋_GB2312"/>
              <w:sz w:val="32"/>
              <w:szCs w:val="32"/>
              <w:highlight w:val="none"/>
              <w:lang w:val="en-US" w:eastAsia="zh-CN"/>
            </w:rPr>
            <w:t>3</w:t>
          </w:r>
          <w:r>
            <w:rPr>
              <w:rFonts w:hint="eastAsia" w:ascii="Times New Roman" w:hAnsi="Times New Roman" w:eastAsia="仿宋_GB2312" w:cs="仿宋_GB2312"/>
              <w:sz w:val="32"/>
              <w:szCs w:val="32"/>
              <w:highlight w:val="none"/>
            </w:rPr>
            <w:t>：</w:t>
          </w:r>
          <w:r>
            <w:rPr>
              <w:rFonts w:hint="eastAsia" w:ascii="Times New Roman" w:hAnsi="Times New Roman" w:eastAsia="仿宋_GB2312" w:cs="仿宋_GB2312"/>
              <w:sz w:val="32"/>
              <w:szCs w:val="32"/>
              <w:highlight w:val="none"/>
              <w:lang w:val="en-US" w:eastAsia="zh-CN"/>
            </w:rPr>
            <w:t>基础信息采集表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_Toc5080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62107B99">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_Toc3264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rPr>
            <w:t>附件</w:t>
          </w:r>
          <w:r>
            <w:rPr>
              <w:rFonts w:hint="eastAsia" w:ascii="Times New Roman" w:hAnsi="Times New Roman" w:eastAsia="仿宋_GB2312" w:cs="仿宋_GB2312"/>
              <w:sz w:val="32"/>
              <w:szCs w:val="32"/>
              <w:highlight w:val="none"/>
              <w:lang w:val="en-US" w:eastAsia="zh-CN"/>
            </w:rPr>
            <w:t>4</w:t>
          </w:r>
          <w:r>
            <w:rPr>
              <w:rFonts w:hint="eastAsia" w:ascii="Times New Roman" w:hAnsi="Times New Roman" w:eastAsia="仿宋_GB2312" w:cs="仿宋_GB2312"/>
              <w:sz w:val="32"/>
              <w:szCs w:val="32"/>
              <w:highlight w:val="none"/>
            </w:rPr>
            <w:t>：</w:t>
          </w:r>
          <w:r>
            <w:rPr>
              <w:rFonts w:hint="eastAsia" w:ascii="Times New Roman" w:hAnsi="Times New Roman" w:eastAsia="仿宋_GB2312" w:cs="仿宋_GB2312"/>
              <w:sz w:val="32"/>
              <w:szCs w:val="32"/>
              <w:highlight w:val="none"/>
              <w:lang w:val="en-US" w:eastAsia="zh-CN"/>
            </w:rPr>
            <w:t>访谈记录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_Toc3264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7BA34A55">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_Toc30050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rPr>
            <w:t>附件</w:t>
          </w:r>
          <w:r>
            <w:rPr>
              <w:rFonts w:hint="eastAsia" w:ascii="Times New Roman" w:hAnsi="Times New Roman" w:eastAsia="仿宋_GB2312" w:cs="仿宋_GB2312"/>
              <w:sz w:val="32"/>
              <w:szCs w:val="32"/>
              <w:highlight w:val="none"/>
              <w:lang w:val="en-US" w:eastAsia="zh-CN"/>
            </w:rPr>
            <w:t>5</w:t>
          </w:r>
          <w:r>
            <w:rPr>
              <w:rFonts w:hint="eastAsia" w:ascii="Times New Roman" w:hAnsi="Times New Roman" w:eastAsia="仿宋_GB2312" w:cs="仿宋_GB2312"/>
              <w:sz w:val="32"/>
              <w:szCs w:val="32"/>
              <w:highlight w:val="none"/>
            </w:rPr>
            <w:t>：</w:t>
          </w:r>
          <w:r>
            <w:rPr>
              <w:rFonts w:hint="eastAsia" w:ascii="Times New Roman" w:hAnsi="Times New Roman" w:eastAsia="仿宋_GB2312" w:cs="仿宋_GB2312"/>
              <w:sz w:val="32"/>
              <w:szCs w:val="32"/>
              <w:highlight w:val="none"/>
              <w:lang w:val="en-US" w:eastAsia="zh-CN"/>
            </w:rPr>
            <w:t>实地勘察记录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_Toc30050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1A86B91A">
          <w:pPr>
            <w:pStyle w:val="9"/>
            <w:tabs>
              <w:tab w:val="right" w:leader="dot" w:pos="8306"/>
            </w:tabs>
            <w:rPr>
              <w:rFonts w:hint="eastAsia" w:ascii="Times New Roman" w:hAnsi="Times New Roman" w:eastAsia="仿宋_GB2312" w:cs="仿宋_GB2312"/>
              <w:sz w:val="32"/>
              <w:szCs w:val="3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_Toc18234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lang w:val="en-US" w:eastAsia="zh-CN"/>
            </w:rPr>
            <w:t>附件6：绩效评价报告单位反馈意见单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_Toc18234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8148FF8">
          <w:pPr>
            <w:pStyle w:val="9"/>
            <w:tabs>
              <w:tab w:val="right" w:leader="dot" w:pos="8306"/>
            </w:tabs>
            <w:rPr>
              <w:rFonts w:ascii="Times New Roman" w:hAnsi="Times New Roman" w:cs="仿宋_GB2312"/>
            </w:rPr>
          </w:pPr>
          <w:r>
            <w:rPr>
              <w:rFonts w:hint="eastAsia" w:ascii="Times New Roman" w:hAnsi="Times New Roman" w:eastAsia="仿宋_GB2312" w:cs="仿宋_GB2312"/>
              <w:bCs/>
              <w:color w:val="auto"/>
              <w:kern w:val="0"/>
              <w:sz w:val="32"/>
              <w:szCs w:val="32"/>
              <w:highlight w:val="none"/>
              <w:lang w:val="en-US" w:eastAsia="zh-CN"/>
            </w:rPr>
            <w:fldChar w:fldCharType="begin"/>
          </w:r>
          <w:r>
            <w:rPr>
              <w:rFonts w:hint="eastAsia" w:ascii="Times New Roman" w:hAnsi="Times New Roman" w:eastAsia="仿宋_GB2312" w:cs="仿宋_GB2312"/>
              <w:bCs/>
              <w:kern w:val="0"/>
              <w:sz w:val="32"/>
              <w:szCs w:val="32"/>
              <w:highlight w:val="none"/>
              <w:lang w:val="en-US" w:eastAsia="zh-CN"/>
            </w:rPr>
            <w:instrText xml:space="preserve"> HYPERLINK \l _Toc11177 </w:instrText>
          </w:r>
          <w:r>
            <w:rPr>
              <w:rFonts w:hint="eastAsia" w:ascii="Times New Roman" w:hAnsi="Times New Roman" w:eastAsia="仿宋_GB2312" w:cs="仿宋_GB2312"/>
              <w:bCs/>
              <w:kern w:val="0"/>
              <w:sz w:val="32"/>
              <w:szCs w:val="32"/>
              <w:highlight w:val="none"/>
              <w:lang w:val="en-US" w:eastAsia="zh-CN"/>
            </w:rPr>
            <w:fldChar w:fldCharType="separate"/>
          </w:r>
          <w:r>
            <w:rPr>
              <w:rFonts w:hint="eastAsia" w:ascii="Times New Roman" w:hAnsi="Times New Roman" w:eastAsia="仿宋_GB2312" w:cs="仿宋_GB2312"/>
              <w:sz w:val="32"/>
              <w:szCs w:val="32"/>
              <w:highlight w:val="none"/>
              <w:lang w:val="en-US" w:eastAsia="zh-CN"/>
            </w:rPr>
            <w:t>附件7：绩效评价报告财政部门意见反馈表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_Toc11177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bCs/>
              <w:color w:val="auto"/>
              <w:kern w:val="0"/>
              <w:sz w:val="32"/>
              <w:szCs w:val="32"/>
              <w:highlight w:val="none"/>
              <w:lang w:val="en-US" w:eastAsia="zh-CN"/>
            </w:rPr>
            <w:fldChar w:fldCharType="end"/>
          </w:r>
        </w:p>
        <w:p w14:paraId="26CB2B58">
          <w:pPr>
            <w:pStyle w:val="9"/>
            <w:keepNext w:val="0"/>
            <w:keepLines w:val="0"/>
            <w:pageBreakBefore w:val="0"/>
            <w:widowControl w:val="0"/>
            <w:tabs>
              <w:tab w:val="right" w:leader="dot" w:pos="8302"/>
            </w:tabs>
            <w:kinsoku/>
            <w:wordWrap/>
            <w:overflowPunct/>
            <w:topLinePunct w:val="0"/>
            <w:autoSpaceDE/>
            <w:autoSpaceDN/>
            <w:bidi w:val="0"/>
            <w:adjustRightInd/>
            <w:snapToGrid/>
            <w:spacing w:afterAutospacing="0" w:line="660" w:lineRule="exact"/>
            <w:ind w:left="0" w:leftChars="0"/>
            <w:jc w:val="both"/>
            <w:textAlignment w:val="auto"/>
            <w:rPr>
              <w:rFonts w:hint="default" w:ascii="Times New Roman" w:hAnsi="Times New Roman" w:eastAsia="方正小标宋_GBK" w:cs="仿宋_GB2312"/>
              <w:bCs/>
              <w:color w:val="auto"/>
              <w:kern w:val="0"/>
              <w:sz w:val="30"/>
              <w:szCs w:val="44"/>
              <w:highlight w:val="none"/>
              <w:lang w:val="en-US" w:eastAsia="zh-CN" w:bidi="ar-SA"/>
            </w:rPr>
          </w:pPr>
          <w:r>
            <w:rPr>
              <w:rFonts w:hint="default" w:ascii="Times New Roman" w:hAnsi="Times New Roman" w:eastAsia="方正小标宋_GBK" w:cs="仿宋_GB2312"/>
              <w:bCs/>
              <w:color w:val="auto"/>
              <w:kern w:val="0"/>
              <w:szCs w:val="44"/>
              <w:highlight w:val="none"/>
              <w:lang w:val="en-US" w:eastAsia="zh-CN"/>
            </w:rPr>
            <w:fldChar w:fldCharType="end"/>
          </w:r>
        </w:p>
      </w:sdtContent>
    </w:sdt>
    <w:p w14:paraId="0284F431">
      <w:pPr>
        <w:rPr>
          <w:rFonts w:hint="default" w:ascii="Times New Roman" w:hAnsi="Times New Roman" w:cs="仿宋_GB2312"/>
          <w:lang w:val="en-US" w:eastAsia="zh-CN"/>
        </w:rPr>
        <w:sectPr>
          <w:footerReference r:id="rId4" w:type="default"/>
          <w:pgSz w:w="11906" w:h="16838"/>
          <w:pgMar w:top="1984" w:right="1531" w:bottom="1701" w:left="1531" w:header="851" w:footer="992" w:gutter="0"/>
          <w:pgNumType w:fmt="decimal" w:start="1"/>
          <w:cols w:space="425" w:num="1"/>
          <w:docGrid w:type="lines" w:linePitch="312" w:charSpace="0"/>
        </w:sectPr>
      </w:pPr>
    </w:p>
    <w:p w14:paraId="1565834E">
      <w:pPr>
        <w:pStyle w:val="9"/>
        <w:keepNext w:val="0"/>
        <w:keepLines w:val="0"/>
        <w:pageBreakBefore w:val="0"/>
        <w:widowControl w:val="0"/>
        <w:tabs>
          <w:tab w:val="right" w:leader="dot" w:pos="8302"/>
        </w:tabs>
        <w:kinsoku/>
        <w:wordWrap/>
        <w:overflowPunct/>
        <w:topLinePunct w:val="0"/>
        <w:autoSpaceDE/>
        <w:autoSpaceDN/>
        <w:bidi w:val="0"/>
        <w:adjustRightInd/>
        <w:snapToGrid/>
        <w:spacing w:afterAutospacing="0" w:line="660" w:lineRule="exact"/>
        <w:ind w:left="0" w:leftChars="0"/>
        <w:jc w:val="center"/>
        <w:textAlignment w:val="auto"/>
        <w:rPr>
          <w:rFonts w:hint="default" w:ascii="Times New Roman" w:hAnsi="Times New Roman" w:eastAsia="方正小标宋_GBK" w:cs="仿宋_GB2312"/>
          <w:b w:val="0"/>
          <w:bCs/>
          <w:color w:val="auto"/>
          <w:kern w:val="0"/>
          <w:sz w:val="44"/>
          <w:szCs w:val="44"/>
          <w:highlight w:val="none"/>
          <w:lang w:val="en-US" w:eastAsia="zh-CN"/>
        </w:rPr>
      </w:pPr>
      <w:r>
        <w:rPr>
          <w:rFonts w:hint="default" w:ascii="Times New Roman" w:hAnsi="Times New Roman" w:eastAsia="方正小标宋_GBK" w:cs="仿宋_GB2312"/>
          <w:b w:val="0"/>
          <w:bCs/>
          <w:color w:val="auto"/>
          <w:kern w:val="0"/>
          <w:sz w:val="44"/>
          <w:szCs w:val="44"/>
          <w:highlight w:val="none"/>
          <w:lang w:val="en-US" w:eastAsia="zh-CN"/>
        </w:rPr>
        <w:t>2025年政府购买精康融合行动服务项目</w:t>
      </w:r>
    </w:p>
    <w:p w14:paraId="03C7100F">
      <w:pPr>
        <w:pStyle w:val="9"/>
        <w:keepNext w:val="0"/>
        <w:keepLines w:val="0"/>
        <w:pageBreakBefore w:val="0"/>
        <w:widowControl w:val="0"/>
        <w:tabs>
          <w:tab w:val="right" w:leader="dot" w:pos="8302"/>
        </w:tabs>
        <w:kinsoku/>
        <w:wordWrap/>
        <w:overflowPunct/>
        <w:topLinePunct w:val="0"/>
        <w:autoSpaceDE/>
        <w:autoSpaceDN/>
        <w:bidi w:val="0"/>
        <w:adjustRightInd/>
        <w:snapToGrid/>
        <w:spacing w:afterAutospacing="0" w:line="660" w:lineRule="exact"/>
        <w:ind w:left="0" w:leftChars="0"/>
        <w:jc w:val="center"/>
        <w:textAlignment w:val="auto"/>
        <w:rPr>
          <w:rFonts w:hint="default" w:ascii="Times New Roman" w:hAnsi="Times New Roman" w:cs="仿宋_GB2312"/>
          <w:b w:val="0"/>
          <w:bCs w:val="0"/>
          <w:kern w:val="2"/>
          <w:sz w:val="32"/>
          <w:szCs w:val="32"/>
          <w:highlight w:val="none"/>
          <w:lang w:val="en-US" w:eastAsia="zh-CN" w:bidi="ar-SA"/>
        </w:rPr>
      </w:pPr>
      <w:r>
        <w:rPr>
          <w:rFonts w:hint="default" w:ascii="Times New Roman" w:hAnsi="Times New Roman" w:eastAsia="方正小标宋_GBK" w:cs="仿宋_GB2312"/>
          <w:b w:val="0"/>
          <w:bCs/>
          <w:color w:val="auto"/>
          <w:kern w:val="0"/>
          <w:sz w:val="44"/>
          <w:szCs w:val="44"/>
          <w:highlight w:val="none"/>
        </w:rPr>
        <w:t>绩效评价报告</w:t>
      </w:r>
    </w:p>
    <w:p w14:paraId="595E7C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textAlignment w:val="auto"/>
        <w:rPr>
          <w:rFonts w:hint="default" w:ascii="Times New Roman" w:hAnsi="Times New Roman" w:cs="仿宋_GB2312"/>
          <w:b w:val="0"/>
          <w:bCs w:val="0"/>
          <w:kern w:val="2"/>
          <w:sz w:val="32"/>
          <w:szCs w:val="32"/>
          <w:highlight w:val="none"/>
          <w:lang w:val="en-US" w:eastAsia="zh-CN" w:bidi="ar-SA"/>
        </w:rPr>
      </w:pPr>
    </w:p>
    <w:p w14:paraId="1CF92D3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为贯彻落实全面推进预算绩效管理工作的要求，完善部门预算管理，强化预算支出责任，提高财政资金</w:t>
      </w:r>
      <w:bookmarkStart w:id="385" w:name="_GoBack"/>
      <w:bookmarkEnd w:id="385"/>
      <w:r>
        <w:rPr>
          <w:rFonts w:hint="default" w:ascii="Times New Roman" w:hAnsi="Times New Roman" w:eastAsia="仿宋_GB2312" w:cs="仿宋_GB2312"/>
          <w:bCs/>
          <w:kern w:val="0"/>
          <w:sz w:val="32"/>
          <w:szCs w:val="32"/>
          <w:lang w:val="en-US" w:eastAsia="zh-CN" w:bidi="ar"/>
        </w:rPr>
        <w:t>使用效益，新疆高博有限责任会计师事务所受喀什市财政局的委托，以第三方社会评价机构身份，成立绩效评价小组，根据《中华人民共和国预算法》《中共中央 国务院关于全面实施预算绩效管理的意见》（中发〔2018〕34号）、《自治区党委自治区人民政府关于全面实施预算绩效管理的实施意见》（新党发〔2018〕30号）、《自治区全面实施预算绩效管理的工作方案》（新财预〔2018〕158号）、《项目支出绩效评价管理办法》（财预〔2020〕10号）、关于印发《中央部门项目支出核心绩效目标和指标设置及取值指引（试行）》的通知（财预〔2021〕101号）、《关于进一步加强和规范喀什地区项目支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全过程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预算绩效管理结果应用的通知》（喀地财绩〔2022〕2号）、《关于进一步加强和规范第三方机构参与预算绩效管理的通知》（新财预〔2021〕49号）等政策文件规定</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于2026年7月1日至2026年8月10日</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开展2025年政府购买精康融合行动服务项目（以下简称</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本项目</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绩效评价工作。喀什市民政局负责提供与本次绩效评价相关的项目资料并保证项目资料的真实、合法、准确和完整。评价组依据绩效评价的基本原理，结合项目特点，经过前期调研、方案制定、数据收集与梳理等环节，撰写形成本绩效评价报告。</w:t>
      </w:r>
    </w:p>
    <w:p w14:paraId="08E926F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val="en-US" w:eastAsia="zh-CN" w:bidi="en-US"/>
        </w:rPr>
      </w:pPr>
      <w:bookmarkStart w:id="37" w:name="_Toc28855"/>
      <w:bookmarkStart w:id="38" w:name="_Toc12103"/>
      <w:bookmarkStart w:id="39" w:name="_Toc10982"/>
      <w:bookmarkStart w:id="40" w:name="_Toc30565"/>
      <w:bookmarkStart w:id="41" w:name="_Toc12890"/>
      <w:bookmarkStart w:id="42" w:name="_Toc11500"/>
      <w:bookmarkStart w:id="43" w:name="_Toc4763"/>
      <w:bookmarkStart w:id="44" w:name="_Toc17482"/>
      <w:bookmarkStart w:id="45" w:name="_Toc32390"/>
      <w:bookmarkStart w:id="46" w:name="_Toc27623"/>
      <w:bookmarkStart w:id="47" w:name="_Toc27014"/>
      <w:bookmarkStart w:id="48" w:name="_Toc12823"/>
      <w:bookmarkStart w:id="49" w:name="_Toc1252"/>
      <w:bookmarkStart w:id="50" w:name="_Toc8968"/>
      <w:bookmarkStart w:id="51" w:name="_Toc23485"/>
      <w:bookmarkStart w:id="52" w:name="_Toc881"/>
      <w:bookmarkStart w:id="53" w:name="_Toc32295"/>
      <w:bookmarkStart w:id="54" w:name="_Toc6927"/>
      <w:bookmarkStart w:id="55" w:name="_Toc29311"/>
      <w:bookmarkStart w:id="56" w:name="_Toc9494"/>
      <w:bookmarkStart w:id="57" w:name="_Toc4212"/>
      <w:bookmarkStart w:id="58" w:name="_Toc29859"/>
      <w:bookmarkStart w:id="59" w:name="_Toc31139"/>
      <w:bookmarkStart w:id="60" w:name="_Toc18311"/>
      <w:bookmarkStart w:id="61" w:name="_Toc4322"/>
      <w:bookmarkStart w:id="62" w:name="_Toc29148"/>
      <w:bookmarkStart w:id="63" w:name="_Toc6769"/>
      <w:bookmarkStart w:id="64" w:name="_Toc26163"/>
      <w:bookmarkStart w:id="65" w:name="_Toc32467"/>
      <w:bookmarkStart w:id="66" w:name="_Toc31104"/>
      <w:bookmarkStart w:id="67" w:name="_Toc4784"/>
      <w:bookmarkStart w:id="68" w:name="_Toc11460"/>
      <w:bookmarkStart w:id="69" w:name="_Toc13775"/>
      <w:bookmarkStart w:id="70" w:name="_Toc26715"/>
      <w:bookmarkStart w:id="71" w:name="_Toc19242"/>
      <w:bookmarkStart w:id="72" w:name="_Toc7685"/>
      <w:bookmarkStart w:id="73" w:name="_Toc26039"/>
      <w:bookmarkStart w:id="74" w:name="_Toc7951"/>
      <w:bookmarkStart w:id="75" w:name="_Toc12223"/>
      <w:bookmarkStart w:id="76" w:name="_Toc6344"/>
      <w:bookmarkStart w:id="77" w:name="_Toc30903"/>
      <w:bookmarkStart w:id="78" w:name="_Toc8649"/>
      <w:bookmarkStart w:id="79" w:name="_Toc24270"/>
      <w:bookmarkStart w:id="80" w:name="_Toc20522"/>
      <w:r>
        <w:rPr>
          <w:rFonts w:hint="default" w:ascii="Times New Roman" w:hAnsi="Times New Roman" w:eastAsia="黑体" w:cs="仿宋_GB2312"/>
          <w:color w:val="auto"/>
          <w:kern w:val="0"/>
          <w:sz w:val="32"/>
          <w:szCs w:val="32"/>
          <w:highlight w:val="none"/>
          <w:lang w:val="en-US" w:eastAsia="zh-CN" w:bidi="en-US"/>
        </w:rPr>
        <w:t>一、基本情况</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Start w:id="81" w:name="_Toc3090"/>
      <w:bookmarkStart w:id="82" w:name="_Toc30023"/>
      <w:bookmarkStart w:id="83" w:name="_Toc18198"/>
      <w:bookmarkStart w:id="84" w:name="_Toc4280"/>
      <w:bookmarkStart w:id="85" w:name="_Toc28228"/>
      <w:bookmarkStart w:id="86" w:name="_Toc3518"/>
      <w:bookmarkStart w:id="87" w:name="_Toc27791"/>
      <w:bookmarkStart w:id="88" w:name="_Toc3021"/>
      <w:bookmarkStart w:id="89" w:name="_Toc25092"/>
      <w:bookmarkStart w:id="90" w:name="_Toc28322"/>
      <w:bookmarkStart w:id="91" w:name="_Toc22429"/>
      <w:bookmarkStart w:id="92" w:name="_Toc8518"/>
      <w:bookmarkStart w:id="93" w:name="_Toc14144"/>
      <w:bookmarkStart w:id="94" w:name="_Toc13811"/>
      <w:bookmarkStart w:id="95" w:name="_Toc15619"/>
      <w:bookmarkStart w:id="96" w:name="_Toc21909"/>
      <w:bookmarkStart w:id="97" w:name="_Toc16221"/>
      <w:bookmarkStart w:id="98" w:name="_Toc28606"/>
      <w:bookmarkStart w:id="99" w:name="_Toc21582"/>
      <w:bookmarkStart w:id="100" w:name="_Toc25919"/>
      <w:bookmarkStart w:id="101" w:name="_Toc2122"/>
      <w:bookmarkStart w:id="102" w:name="_Toc19653"/>
      <w:bookmarkStart w:id="103" w:name="_Toc1820"/>
      <w:bookmarkStart w:id="104" w:name="_Toc11350"/>
      <w:bookmarkStart w:id="105" w:name="_Toc30178"/>
      <w:bookmarkStart w:id="106" w:name="_Toc20840"/>
      <w:bookmarkStart w:id="107" w:name="_Toc30596"/>
      <w:bookmarkStart w:id="108" w:name="_Toc4118"/>
      <w:bookmarkStart w:id="109" w:name="_Toc1399"/>
      <w:bookmarkStart w:id="110" w:name="_Toc22897"/>
      <w:bookmarkStart w:id="111" w:name="_Toc21191"/>
      <w:bookmarkStart w:id="112" w:name="_Toc7372"/>
      <w:bookmarkStart w:id="113" w:name="_Toc24955"/>
      <w:bookmarkStart w:id="114" w:name="_Toc26650"/>
      <w:bookmarkStart w:id="115" w:name="_Toc4204"/>
      <w:bookmarkStart w:id="116" w:name="_Toc14010"/>
      <w:bookmarkStart w:id="117" w:name="_Toc12644"/>
      <w:bookmarkStart w:id="118" w:name="_Toc25638"/>
      <w:bookmarkStart w:id="119" w:name="_Toc579"/>
      <w:bookmarkStart w:id="120" w:name="_Toc15760"/>
      <w:bookmarkStart w:id="121" w:name="_Toc29377"/>
      <w:bookmarkStart w:id="122" w:name="_Toc155"/>
      <w:bookmarkStart w:id="123" w:name="_Toc6635"/>
    </w:p>
    <w:p w14:paraId="5C62B88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124" w:name="_Toc19275"/>
      <w:bookmarkStart w:id="125" w:name="_Toc6419"/>
      <w:r>
        <w:rPr>
          <w:rFonts w:hint="default" w:ascii="Times New Roman" w:hAnsi="Times New Roman" w:eastAsia="楷体" w:cs="仿宋_GB2312"/>
          <w:b/>
          <w:bCs/>
          <w:color w:val="auto"/>
          <w:sz w:val="32"/>
          <w:szCs w:val="32"/>
          <w:highlight w:val="none"/>
        </w:rPr>
        <w:t>（一）项目概况</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Start w:id="126" w:name="_Toc15579"/>
    </w:p>
    <w:p w14:paraId="3B1EF47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1.项目背景</w:t>
      </w:r>
      <w:bookmarkEnd w:id="126"/>
    </w:p>
    <w:p w14:paraId="2A601CF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以习近平新时代中国特色社会主义思想为指导，深入贯彻落实党的二十大精神，坚持以人民为中心，认真履行基本民生保障、基层社会治理、基本社会服务等职责，以促进患者回归和融入社会、减轻精神障碍患者、家庭及社会总负担为目标，着力推动精神障碍社区康复服务体系布局优化、资源投入整合强化、服务内容提质增效，促进基层治理体系和治理能力现代化，增强精神障碍患者及家庭获得感、幸福感，努力为全面建设社会主义现代化国家营造安全、平稳、健康、有序的社会环境</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深入贯彻落实习近平总书记</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关心关爱精神障碍人员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的重要指示精神，提高精神障碍社区康复服务质量和水平。为精神障碍患者提供更加公平可及、系统连续的基本康复服务，喀什市民政局以促进精神障碍患者回归和融入社会为目标，以改善和提高患者生活自理能力、社会适应与参与能力和就业能力为重点，开展2025年政府购买精康融合行动服务项目。</w:t>
      </w:r>
    </w:p>
    <w:p w14:paraId="0DFFE8A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2.主要内容及实施情况</w:t>
      </w:r>
    </w:p>
    <w:p w14:paraId="0412650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（1）项目主要内容</w:t>
      </w:r>
    </w:p>
    <w:p w14:paraId="28B8AAD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本项目根据《关于开展</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精康融合行动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的通知》，项目实施内容为：项目安排预算资金20万元，计划通过政府购买服务的方式完成1个精康融合行动服务项目，计划服务精神障碍患者人数不少于100人，实施本项目，能够进一步健全完善政策体系，加强技术指导，人才培养及评估服务，引导社区康复机构规范化运作，有效提高精神障碍康复服务能力。</w:t>
      </w:r>
    </w:p>
    <w:p w14:paraId="63A3C12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（2）项目实施情况</w:t>
      </w:r>
    </w:p>
    <w:p w14:paraId="2F01AC3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项目具体实施单位为喀什市民政局。根据《关于提前下达2025年自治区彩票公益金支持残疾人福利项目补助资金预算的通知》（喀地财社〔2024〕84号）</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截至2025年12月31日，一是在专业服务方面，在前期进行项目调研的基础上，通过电话访问和走访的形式对喀什市符合服务条件的精神障碍患者进行了全面的摸排登记。并与喀什市人民医院签订了</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绿色通道转介协议</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面向全市患者开展社区康复服务。此外，为了更好地为服务对象提供服务，项目团队在伯什克然木乡、浩罕乡、乃则尔巴格镇和阿瓦提乡这四个精神障碍患者较为集中的乡镇，整合了社工服务与医疗服务，助力精神障碍患者更好康复。二是在服务内容方面，本项目按照《DB65T精神障碍社区康复服务与管理规范》的相关规定制定了一人一档材料。</w:t>
      </w:r>
    </w:p>
    <w:p w14:paraId="578FC1B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截至2025年12月31日，本项目走访290名精康患者，并为每一位出具项目调研报告；为327名精康患者做评估，建档精康患者109名；个案服务5名，个案咨询服务17人；开展宣传活动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利用全国助残日，精神卫生日开展精神健康服务宣传，志愿者活动）4场次，参与人员共计328人；开展生活自理技能训练、认知技能训练、情绪管理技能训练、就业技能相关训练或培训、社交技能训练、娱乐服务等集中服务活动35场次，参与人员共计710人；开展家属护理技能培训、心理团辅、减压服务等服务活动21场次，参加人员共计513人；开展小组活动15节次，参加人员共计55人（232人次）；开展特色服务牌活动1场（5节），参加人员共计15人（75人次）；本项目直接受益人员共计</w:t>
      </w:r>
      <w:r>
        <w:rPr>
          <w:rFonts w:hint="eastAsia" w:ascii="Times New Roman" w:hAnsi="Times New Roman" w:eastAsia="仿宋_GB2312" w:cs="仿宋_GB2312"/>
          <w:bCs/>
          <w:kern w:val="0"/>
          <w:sz w:val="32"/>
          <w:szCs w:val="32"/>
          <w:lang w:val="en-US" w:eastAsia="zh-CN" w:bidi="ar"/>
        </w:rPr>
        <w:t>2155</w:t>
      </w:r>
      <w:r>
        <w:rPr>
          <w:rFonts w:hint="default" w:ascii="Times New Roman" w:hAnsi="Times New Roman" w:eastAsia="仿宋_GB2312" w:cs="仿宋_GB2312"/>
          <w:bCs/>
          <w:kern w:val="0"/>
          <w:sz w:val="32"/>
          <w:szCs w:val="32"/>
          <w:lang w:val="en-US" w:eastAsia="zh-CN" w:bidi="ar"/>
        </w:rPr>
        <w:t>人</w:t>
      </w:r>
      <w:r>
        <w:rPr>
          <w:rFonts w:hint="eastAsia" w:ascii="Times New Roman" w:hAnsi="Times New Roman" w:cs="仿宋_GB2312"/>
          <w:bCs/>
          <w:kern w:val="0"/>
          <w:sz w:val="32"/>
          <w:szCs w:val="32"/>
          <w:lang w:val="en-US" w:eastAsia="zh-CN" w:bidi="ar"/>
        </w:rPr>
        <w:t>（2564人次）</w:t>
      </w:r>
      <w:r>
        <w:rPr>
          <w:rFonts w:hint="default" w:ascii="Times New Roman" w:hAnsi="Times New Roman" w:eastAsia="仿宋_GB2312" w:cs="仿宋_GB2312"/>
          <w:bCs/>
          <w:kern w:val="0"/>
          <w:sz w:val="32"/>
          <w:szCs w:val="32"/>
          <w:lang w:val="en-US" w:eastAsia="zh-CN" w:bidi="ar"/>
        </w:rPr>
        <w:t>。</w:t>
      </w:r>
    </w:p>
    <w:p w14:paraId="34653B4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通过政府采购，与深圳市对口支援新疆（喀什）社会工作站（后改名为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喀什市臻善社会工作站</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）签订合同，截至2025年12月31日，本项目已支出20万元。</w:t>
      </w:r>
    </w:p>
    <w:p w14:paraId="05052A8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3.资金投入和使用情况</w:t>
      </w:r>
    </w:p>
    <w:p w14:paraId="31D23FE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根据《关于提前下达2025年自治区彩票公益金支持残疾人福利项目补助资金预算的通知》（喀地财社〔2024〕84号），2025年本项目预算资金20万元，为自治区财政预算，实际到位资金20万元，资金到位率100%。</w:t>
      </w:r>
    </w:p>
    <w:p w14:paraId="7535C1D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val="en-US" w:eastAsia="zh-CN"/>
        </w:rPr>
      </w:pPr>
      <w:bookmarkStart w:id="127" w:name="_Toc26946"/>
      <w:r>
        <w:rPr>
          <w:rFonts w:hint="default" w:ascii="Times New Roman" w:hAnsi="Times New Roman" w:eastAsia="楷体" w:cs="仿宋_GB2312"/>
          <w:b/>
          <w:bCs/>
          <w:color w:val="auto"/>
          <w:sz w:val="32"/>
          <w:szCs w:val="32"/>
          <w:highlight w:val="none"/>
        </w:rPr>
        <w:t>（二）项目绩效目标</w:t>
      </w:r>
      <w:bookmarkEnd w:id="127"/>
    </w:p>
    <w:p w14:paraId="6550FD8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1.项目绩效总目标</w:t>
      </w:r>
    </w:p>
    <w:p w14:paraId="345992E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关于提前下达2025年自治区彩票公益金支持残疾人福利项目补助资金预算的通知》（喀地财社〔2024〕84号），开展精康融合行动服务，通过专业评估，为精神障碍患者定制个性化康复服务，涵盖生活、社交和职业技能训练，助力患者提升自理能力、融入社会。同时，为家属开展护理知识培训和心理支持活动，减轻其照顾负担。此外，积极开展社区宣传与融合活动，消除居民对精神障碍患者的偏见，营造包容接纳的社区氛围，为喀什市精神障碍社区康复服务长效机制建设贡献力量。</w:t>
      </w:r>
    </w:p>
    <w:p w14:paraId="56315B5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2.阶段性目标</w:t>
      </w:r>
    </w:p>
    <w:p w14:paraId="31E295E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根据《2025年喀什市精康融合行动项目合同》，开展以下服务：</w:t>
      </w:r>
    </w:p>
    <w:p w14:paraId="04A0E31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提升患者康复水平：依据《DB65T精神障碍社区康复服务与管理规范》的康复标准，帮助进入社区康复服务的80%的服务对象在生活自理、社交、职业技能等方面得到提升，能够独立完成更多日常生活活动，掌握基本社交技巧，提高职业技能。</w:t>
      </w:r>
    </w:p>
    <w:p w14:paraId="25E44EF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（2）增强家属支持能力：通过培训和交流活动，使参与服务的90%的家属掌握科学的护理方法和心理调适技巧，减轻照顾压力，提升家庭支持系统的功能。</w:t>
      </w:r>
    </w:p>
    <w:p w14:paraId="24EF803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（3）促进社区融合：开展社区宣传和融合活动，使社区居民对精神障碍患者的认知正确率进一步提高，减少社会歧视，营造包容、支持的社区环境，帮助患者更好地融入社区生活。</w:t>
      </w:r>
    </w:p>
    <w:p w14:paraId="41CCD9C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3.具体绩效指标</w:t>
      </w:r>
    </w:p>
    <w:p w14:paraId="44BB802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2025年政府购买精康融合行动服务项目预算金额20万元。设置了4个一级指标，6个二级指标，1</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个三级指标，具体情况如下：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表1</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2025年政府购买精康融合行动服务项目年度绩效目标表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w:t>
      </w:r>
    </w:p>
    <w:p w14:paraId="02D64550">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cs="仿宋_GB2312"/>
          <w:b/>
          <w:bCs/>
          <w:color w:val="auto"/>
          <w:kern w:val="2"/>
          <w:sz w:val="21"/>
          <w:szCs w:val="21"/>
          <w:highlight w:val="none"/>
          <w:lang w:bidi="ar-SA"/>
        </w:rPr>
      </w:pPr>
      <w:r>
        <w:rPr>
          <w:rFonts w:hint="default" w:ascii="Times New Roman" w:hAnsi="Times New Roman" w:cs="仿宋_GB2312"/>
          <w:b/>
          <w:bCs/>
          <w:color w:val="auto"/>
          <w:kern w:val="2"/>
          <w:sz w:val="21"/>
          <w:szCs w:val="21"/>
          <w:highlight w:val="none"/>
          <w:lang w:bidi="ar-SA"/>
        </w:rPr>
        <w:t>表1</w:t>
      </w:r>
      <w:r>
        <w:rPr>
          <w:rFonts w:hint="eastAsia" w:ascii="Times New Roman" w:hAnsi="Times New Roman" w:cs="仿宋_GB2312"/>
          <w:b/>
          <w:bCs/>
          <w:color w:val="auto"/>
          <w:kern w:val="2"/>
          <w:sz w:val="21"/>
          <w:szCs w:val="21"/>
          <w:highlight w:val="none"/>
          <w:lang w:eastAsia="zh-CN" w:bidi="ar-SA"/>
        </w:rPr>
        <w:t>:</w:t>
      </w:r>
      <w:r>
        <w:rPr>
          <w:rFonts w:hint="default" w:ascii="Times New Roman" w:hAnsi="Times New Roman" w:cs="仿宋_GB2312"/>
          <w:b/>
          <w:bCs/>
          <w:color w:val="auto"/>
          <w:kern w:val="2"/>
          <w:sz w:val="21"/>
          <w:szCs w:val="21"/>
          <w:highlight w:val="none"/>
          <w:lang w:eastAsia="zh-CN" w:bidi="ar-SA"/>
        </w:rPr>
        <w:t>2025年政府购买精康融合行动服务项目</w:t>
      </w:r>
      <w:r>
        <w:rPr>
          <w:rFonts w:hint="default" w:ascii="Times New Roman" w:hAnsi="Times New Roman" w:cs="仿宋_GB2312"/>
          <w:b/>
          <w:bCs/>
          <w:color w:val="auto"/>
          <w:kern w:val="2"/>
          <w:sz w:val="21"/>
          <w:szCs w:val="21"/>
          <w:highlight w:val="none"/>
          <w:lang w:bidi="ar-SA"/>
        </w:rPr>
        <w:t>年度绩效目标表</w:t>
      </w:r>
    </w:p>
    <w:tbl>
      <w:tblPr>
        <w:tblStyle w:val="13"/>
        <w:tblW w:w="82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1"/>
        <w:gridCol w:w="1380"/>
        <w:gridCol w:w="3624"/>
        <w:gridCol w:w="2004"/>
      </w:tblGrid>
      <w:tr w14:paraId="22A8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F36A">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bookmarkStart w:id="128" w:name="_Toc13989"/>
            <w:r>
              <w:rPr>
                <w:rFonts w:hint="default" w:ascii="Times New Roman" w:hAnsi="Times New Roman" w:eastAsia="仿宋_GB2312" w:cs="仿宋_GB2312"/>
                <w:b/>
                <w:bCs/>
                <w:i w:val="0"/>
                <w:iCs w:val="0"/>
                <w:color w:val="000000"/>
                <w:kern w:val="0"/>
                <w:sz w:val="22"/>
                <w:szCs w:val="22"/>
                <w:u w:val="none"/>
                <w:lang w:val="en-US" w:eastAsia="zh-CN" w:bidi="ar"/>
              </w:rPr>
              <w:t>一级指标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7099">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二级指标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7684">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三级指标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CEC3">
            <w:pPr>
              <w:keepNext w:val="0"/>
              <w:keepLines w:val="0"/>
              <w:pageBreakBefore w:val="0"/>
              <w:widowControl w:val="0"/>
              <w:suppressLineNumbers w:val="0"/>
              <w:kinsoku/>
              <w:wordWrap/>
              <w:overflowPunct/>
              <w:topLinePunct w:val="0"/>
              <w:autoSpaceDE/>
              <w:autoSpaceDN/>
              <w:bidi w:val="0"/>
              <w:adjustRightInd/>
              <w:snapToGrid/>
              <w:spacing w:line="360" w:lineRule="exact"/>
              <w:ind w:left="0" w:leftChars="0"/>
              <w:jc w:val="center"/>
              <w:textAlignment w:val="center"/>
              <w:rPr>
                <w:rFonts w:hint="default" w:ascii="Times New Roman" w:hAnsi="Times New Roman" w:eastAsia="仿宋_GB2312" w:cs="仿宋_GB2312"/>
                <w:b/>
                <w:bCs/>
                <w:i w:val="0"/>
                <w:iCs w:val="0"/>
                <w:color w:val="000000"/>
                <w:sz w:val="22"/>
                <w:szCs w:val="22"/>
                <w:u w:val="none"/>
              </w:rPr>
            </w:pPr>
            <w:r>
              <w:rPr>
                <w:rFonts w:hint="default" w:ascii="Times New Roman" w:hAnsi="Times New Roman" w:eastAsia="仿宋_GB2312" w:cs="仿宋_GB2312"/>
                <w:b/>
                <w:bCs/>
                <w:i w:val="0"/>
                <w:iCs w:val="0"/>
                <w:color w:val="000000"/>
                <w:kern w:val="0"/>
                <w:sz w:val="22"/>
                <w:szCs w:val="22"/>
                <w:u w:val="none"/>
                <w:lang w:val="en-US" w:eastAsia="zh-CN" w:bidi="ar"/>
              </w:rPr>
              <w:t>指标值</w:t>
            </w:r>
          </w:p>
        </w:tc>
      </w:tr>
      <w:tr w14:paraId="4474F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A112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产出指标</w:t>
            </w:r>
          </w:p>
        </w:tc>
        <w:tc>
          <w:tcPr>
            <w:tcW w:w="1380" w:type="dxa"/>
            <w:vMerge w:val="restart"/>
            <w:tcBorders>
              <w:top w:val="single" w:color="000000" w:sz="4" w:space="0"/>
              <w:left w:val="single" w:color="000000" w:sz="4" w:space="0"/>
              <w:right w:val="single" w:color="000000" w:sz="4" w:space="0"/>
            </w:tcBorders>
            <w:shd w:val="clear" w:color="auto" w:fill="auto"/>
            <w:vAlign w:val="center"/>
          </w:tcPr>
          <w:p w14:paraId="4FD337D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数量指标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2E5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走访精康患者数量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313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&gt;=290人</w:t>
            </w:r>
          </w:p>
        </w:tc>
      </w:tr>
      <w:tr w14:paraId="37B8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24E4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6289625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756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服务精神障碍患者人数</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520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&gt;=100人</w:t>
            </w:r>
          </w:p>
        </w:tc>
      </w:tr>
      <w:tr w14:paraId="4789E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F7E5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01B8627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DBD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精康患者评估人次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FEF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&gt;=300人</w:t>
            </w:r>
          </w:p>
        </w:tc>
      </w:tr>
      <w:tr w14:paraId="2F28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1CA9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right w:val="single" w:color="000000" w:sz="4" w:space="0"/>
            </w:tcBorders>
            <w:shd w:val="clear" w:color="auto" w:fill="auto"/>
            <w:vAlign w:val="center"/>
          </w:tcPr>
          <w:p w14:paraId="1B14600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A8E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个案咨询服务人次</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54D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&gt;=20人次</w:t>
            </w:r>
          </w:p>
        </w:tc>
      </w:tr>
      <w:tr w14:paraId="5998B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2B9C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0FE25A9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E75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开展宣传、培训、训练等活动数量</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AE6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&gt;=54场次</w:t>
            </w:r>
          </w:p>
        </w:tc>
      </w:tr>
      <w:tr w14:paraId="498A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7F1C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BA2E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质量指标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9DA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成果验收合格率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2C2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6A0B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0966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A78D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834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政府采购率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1E6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17F91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0BF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AFF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1F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委托任务完成率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B74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=100%</w:t>
            </w:r>
          </w:p>
        </w:tc>
      </w:tr>
      <w:tr w14:paraId="1566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2733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62F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时效指标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865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向本行政区域县级财政部门下达自治区财政补助资金</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9A0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000000"/>
                <w:sz w:val="22"/>
                <w:szCs w:val="22"/>
                <w:u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收到补助资金后30日内</w:t>
            </w:r>
          </w:p>
        </w:tc>
      </w:tr>
      <w:tr w14:paraId="167A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BE8B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成本指标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02BD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经济成本指标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EDB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项目购买服务资金标准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B5E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000000"/>
                <w:sz w:val="22"/>
                <w:szCs w:val="22"/>
                <w:u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&lt;=20万元/个</w:t>
            </w:r>
          </w:p>
        </w:tc>
      </w:tr>
      <w:tr w14:paraId="0EE0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CAFF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EEE4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1DF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政府采购节约率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433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&lt;=3%</w:t>
            </w:r>
          </w:p>
        </w:tc>
      </w:tr>
      <w:tr w14:paraId="1F45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E9CC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效益指标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72AD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社会效益指标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E0D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项目直接受益人员</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ED2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＞=2155人</w:t>
            </w:r>
          </w:p>
        </w:tc>
      </w:tr>
      <w:tr w14:paraId="21043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EC52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D64B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96E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引导社区康复机构的规范化运作</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E61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有效引导</w:t>
            </w:r>
          </w:p>
        </w:tc>
      </w:tr>
      <w:tr w14:paraId="42DD7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EC4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满意度指标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1BD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满意度指标</w:t>
            </w:r>
          </w:p>
        </w:tc>
        <w:tc>
          <w:tcPr>
            <w:tcW w:w="3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26A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受益患者满意度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A17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&gt;=95%</w:t>
            </w:r>
          </w:p>
        </w:tc>
      </w:tr>
    </w:tbl>
    <w:p w14:paraId="12C97B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129" w:name="_Toc26508"/>
      <w:r>
        <w:rPr>
          <w:rFonts w:hint="default" w:ascii="Times New Roman" w:hAnsi="Times New Roman" w:eastAsia="黑体" w:cs="仿宋_GB2312"/>
          <w:color w:val="auto"/>
          <w:kern w:val="0"/>
          <w:sz w:val="32"/>
          <w:szCs w:val="32"/>
          <w:highlight w:val="none"/>
          <w:lang w:bidi="en-US"/>
        </w:rPr>
        <w:t>二、绩效评价工作开展情况</w:t>
      </w:r>
      <w:bookmarkEnd w:id="128"/>
      <w:bookmarkEnd w:id="129"/>
    </w:p>
    <w:p w14:paraId="0E8ACDF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eastAsia="zh-CN"/>
        </w:rPr>
      </w:pPr>
      <w:bookmarkStart w:id="130" w:name="_Toc18604"/>
      <w:bookmarkStart w:id="131" w:name="_Toc30315"/>
      <w:bookmarkStart w:id="132" w:name="_Toc31470"/>
      <w:bookmarkStart w:id="133" w:name="_Toc1058"/>
      <w:bookmarkStart w:id="134" w:name="_Toc30954"/>
      <w:bookmarkStart w:id="135" w:name="_Toc12674"/>
      <w:bookmarkStart w:id="136" w:name="_Toc30334"/>
      <w:bookmarkStart w:id="137" w:name="_Toc27253"/>
      <w:bookmarkStart w:id="138" w:name="_Toc21469"/>
      <w:bookmarkStart w:id="139" w:name="_Toc20984"/>
      <w:bookmarkStart w:id="140" w:name="_Toc2996"/>
      <w:bookmarkStart w:id="141" w:name="_Toc3569"/>
      <w:bookmarkStart w:id="142" w:name="_Toc3146"/>
      <w:bookmarkStart w:id="143" w:name="_Toc14629"/>
      <w:bookmarkStart w:id="144" w:name="_Toc29387"/>
      <w:bookmarkStart w:id="145" w:name="_Toc25320"/>
      <w:bookmarkStart w:id="146" w:name="_Toc17603"/>
      <w:bookmarkStart w:id="147" w:name="_Toc12540"/>
      <w:bookmarkStart w:id="148" w:name="_Toc14811"/>
      <w:bookmarkStart w:id="149" w:name="_Toc6226"/>
      <w:bookmarkStart w:id="150" w:name="_Toc29424"/>
      <w:bookmarkStart w:id="151" w:name="_Toc27547"/>
      <w:bookmarkStart w:id="152" w:name="_Toc14551"/>
      <w:bookmarkStart w:id="153" w:name="_Toc14502"/>
      <w:bookmarkStart w:id="154" w:name="_Toc10447"/>
      <w:bookmarkStart w:id="155" w:name="_Toc207"/>
      <w:bookmarkStart w:id="156" w:name="_Toc24255"/>
      <w:bookmarkStart w:id="157" w:name="_Toc8647"/>
      <w:bookmarkStart w:id="158" w:name="_Toc12063"/>
      <w:bookmarkStart w:id="159" w:name="_Toc212"/>
      <w:bookmarkStart w:id="160" w:name="_Toc3855"/>
      <w:bookmarkStart w:id="161" w:name="_Toc22174"/>
      <w:bookmarkStart w:id="162" w:name="_Toc5765"/>
      <w:bookmarkStart w:id="163" w:name="_Toc19079"/>
      <w:bookmarkStart w:id="164" w:name="_Toc10647"/>
      <w:bookmarkStart w:id="165" w:name="_Toc25397"/>
      <w:bookmarkStart w:id="166" w:name="_Toc17893"/>
      <w:bookmarkStart w:id="167" w:name="_Toc17067"/>
      <w:bookmarkStart w:id="168" w:name="_Toc21157"/>
      <w:bookmarkStart w:id="169" w:name="_Toc14245"/>
      <w:bookmarkStart w:id="170" w:name="_Toc11054"/>
      <w:bookmarkStart w:id="171" w:name="_Toc28364"/>
      <w:bookmarkStart w:id="172" w:name="_Toc21320"/>
      <w:bookmarkStart w:id="173" w:name="_Toc22002"/>
      <w:bookmarkStart w:id="174" w:name="_Toc30611"/>
      <w:r>
        <w:rPr>
          <w:rFonts w:hint="default" w:ascii="Times New Roman" w:hAnsi="Times New Roman" w:eastAsia="楷体" w:cs="仿宋_GB2312"/>
          <w:b/>
          <w:bCs/>
          <w:color w:val="auto"/>
          <w:sz w:val="32"/>
          <w:szCs w:val="32"/>
          <w:highlight w:val="none"/>
        </w:rPr>
        <w:t>（一）</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Fonts w:hint="default" w:ascii="Times New Roman" w:hAnsi="Times New Roman" w:eastAsia="楷体" w:cs="仿宋_GB2312"/>
          <w:b/>
          <w:bCs/>
          <w:color w:val="auto"/>
          <w:sz w:val="32"/>
          <w:szCs w:val="32"/>
          <w:highlight w:val="none"/>
          <w:lang w:val="en-US" w:eastAsia="zh-CN"/>
        </w:rPr>
        <w:t>绩效评价目的、对象、范围、依据及绩效评价时段</w:t>
      </w:r>
      <w:bookmarkEnd w:id="174"/>
    </w:p>
    <w:p w14:paraId="7627793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目的：通过此次绩效评价，了解和掌握2025年喀什市精康融合行动项目实施的具体情况，评价该项目资金安排的科学性、合理性、规范性和使用效益，总结项目管理经验，完善项目管理办法，提高项目管理水平和资金使用效益。进而分析在政策制定、预算资金安排、项目管理等方面存在的问题，并提出针对性建议，为项目后续资金投入、分配和管理提供决策依据。</w:t>
      </w:r>
    </w:p>
    <w:p w14:paraId="47FD197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对象和评价范围：对2025年政府购买精康融合行动服务项目的决策、过程、产出、效益等进行绩效评价。本次绩效评价对喀什市民政局进行现场调研。评价小组对项目资金的到位、使用、绩效管理和项目管理等情况进行检查。</w:t>
      </w:r>
    </w:p>
    <w:p w14:paraId="35B0E75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评价时段：此次绩效评价工作的评价时段为：2025年1月1日至2025年12月31日。</w:t>
      </w:r>
    </w:p>
    <w:p w14:paraId="0E6E8E0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评价依据：《中华人民共和国预算法》《中共中央 国务院关于全面实施预算绩效管理的意见》（中发〔2018〕34号）、《项目支出绩效评价管理办法》（财预〔2020〕10号）及《关于进一步加强和规范喀什地区项目支出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全过程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预算绩效管理结果应用的通知》（喀地财绩〔2022〕2号）、关于印发《中央部门项目支出核心绩效目标和指标设置及取值指引（试行）》的通知（财预〔2021〕101号），结合《关于开展</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精康融合行动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的通知》民发〔2022〕104号，《关于提前下达2025年自治区彩票公益金支持残疾人福利项目补助资金预算的通知》（喀地财社〔2024〕84号），及该项目绩效评价工作的相关资料。</w:t>
      </w:r>
    </w:p>
    <w:p w14:paraId="24DB01C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175" w:name="_Toc26415"/>
      <w:bookmarkStart w:id="176" w:name="_Toc11389"/>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二</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绩效评价原则、评价指标体系</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附表说明</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、评价方法、评价标准等</w:t>
      </w:r>
      <w:bookmarkEnd w:id="175"/>
      <w:bookmarkEnd w:id="176"/>
    </w:p>
    <w:p w14:paraId="3D5F2EF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bookmarkStart w:id="177" w:name="_Toc20918"/>
      <w:r>
        <w:rPr>
          <w:rFonts w:hint="default" w:ascii="Times New Roman" w:hAnsi="Times New Roman" w:eastAsia="仿宋_GB2312" w:cs="仿宋_GB2312"/>
          <w:b/>
          <w:bCs w:val="0"/>
          <w:kern w:val="0"/>
          <w:sz w:val="32"/>
          <w:szCs w:val="32"/>
          <w:lang w:val="en-US" w:eastAsia="zh-CN" w:bidi="ar"/>
        </w:rPr>
        <w:t>1.绩效评价原则</w:t>
      </w:r>
      <w:bookmarkEnd w:id="177"/>
    </w:p>
    <w:p w14:paraId="290E9A7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（1）科学公正原则</w:t>
      </w:r>
    </w:p>
    <w:p w14:paraId="5525730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绩效评价应当运用科学合理的方法，按照规范的程序，对项目绩效进行客观、公正的反映。</w:t>
      </w:r>
    </w:p>
    <w:p w14:paraId="41A6EAE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（2）统筹兼顾原则</w:t>
      </w:r>
    </w:p>
    <w:p w14:paraId="44517DC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单位自评、部门评价和财政评价应职责明确，各有侧重，相互衔接。单位自评应由项目单位自主实施，即</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谁支出、谁自评</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。部门评价和财政评价应在单位自评的基础上开展，必要时可委托第三方机构实施。</w:t>
      </w:r>
    </w:p>
    <w:p w14:paraId="1BF5985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（3）激励约束原则</w:t>
      </w:r>
    </w:p>
    <w:p w14:paraId="04B35A5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绩效评价结果应与预算安排、政策调整、改进管理实质性挂钩，体现奖优罚劣和激励相容导向，有效要保障、低效要压减、无效要问责。</w:t>
      </w:r>
    </w:p>
    <w:p w14:paraId="117D8C5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（4）公开透明原则</w:t>
      </w:r>
    </w:p>
    <w:p w14:paraId="3EEF064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绩效评价结果应依法依规公开，并自觉接受社会监督。</w:t>
      </w:r>
    </w:p>
    <w:p w14:paraId="3230B8B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2.评价指标体系</w:t>
      </w:r>
    </w:p>
    <w:p w14:paraId="4A94EC5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本次绩效评价指标主要分为4个一级指标，一级指标下设6个二级指标、1</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个三级指标。项目绩效评价指标体系、评分标准及评分分析详见《2025年政府购买精康融合行动服务项目绩效评价指标综合评分表》（附件1）。</w:t>
      </w:r>
    </w:p>
    <w:p w14:paraId="0BBB32A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3.评价方法及评价标准</w:t>
      </w:r>
    </w:p>
    <w:p w14:paraId="27928C1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本次绩效评价方法主要采用公众评判法、文献法、比较法、因素分析法等。</w:t>
      </w:r>
      <w:bookmarkStart w:id="178" w:name="_Toc452370924"/>
      <w:bookmarkStart w:id="179" w:name="_Toc371295690"/>
      <w:bookmarkStart w:id="180" w:name="_Toc435026288"/>
      <w:bookmarkStart w:id="181" w:name="_Toc435602755"/>
      <w:bookmarkStart w:id="182" w:name="_Toc451937457"/>
      <w:bookmarkStart w:id="183" w:name="_Toc453593832"/>
      <w:bookmarkStart w:id="184" w:name="_Toc435460264"/>
      <w:bookmarkStart w:id="185" w:name="_Toc371600465"/>
      <w:bookmarkStart w:id="186" w:name="_Toc451758897"/>
      <w:bookmarkStart w:id="187" w:name="_Toc435006004"/>
      <w:bookmarkStart w:id="188" w:name="_Toc438563763"/>
    </w:p>
    <w:p w14:paraId="3C15A91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公众评判法</w:t>
      </w:r>
      <w:bookmarkEnd w:id="178"/>
      <w:bookmarkEnd w:id="179"/>
      <w:bookmarkEnd w:id="180"/>
      <w:bookmarkEnd w:id="181"/>
      <w:bookmarkEnd w:id="182"/>
      <w:bookmarkEnd w:id="183"/>
      <w:bookmarkEnd w:id="184"/>
      <w:bookmarkEnd w:id="185"/>
      <w:bookmarkEnd w:id="186"/>
      <w:bookmarkEnd w:id="187"/>
      <w:bookmarkEnd w:id="188"/>
      <w:r>
        <w:rPr>
          <w:rFonts w:hint="default" w:ascii="Times New Roman" w:hAnsi="Times New Roman" w:eastAsia="仿宋_GB2312" w:cs="仿宋_GB2312"/>
          <w:bCs/>
          <w:kern w:val="0"/>
          <w:sz w:val="32"/>
          <w:szCs w:val="32"/>
          <w:lang w:val="en-US" w:eastAsia="zh-CN" w:bidi="ar"/>
        </w:rPr>
        <w:t>：评价组采用实地访谈方式，对喀什市民政局进行充分调研，了解掌握资金分配、资金管理、资金使用、制度建设、制度执行情况。采用问卷调查方式，对接受精康服务人员满意度调查，评价2025年政府购买精康融合行动服务项目产生的社会效益及满意度。</w:t>
      </w:r>
    </w:p>
    <w:p w14:paraId="2603F96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文献法：通过检索、查阅、梳理国家、自治区有关部门制定的本项目相关政策等文件，评价项目立项依据的充分性及立项规范性。</w:t>
      </w:r>
    </w:p>
    <w:p w14:paraId="01837A1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比较法：指将实施情况与历史情况，不同部门和地区同类支出情况进行比较的方法。</w:t>
      </w:r>
    </w:p>
    <w:p w14:paraId="2BEEF15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因素分析法：指通过全面统计影响绩效目标实现和实施效果的内外因素，综合分析内外因素对绩效目标的影响程度。</w:t>
      </w:r>
    </w:p>
    <w:p w14:paraId="08AD403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本项目评价指标体系的评价标准按照计划标准。</w:t>
      </w:r>
    </w:p>
    <w:p w14:paraId="798475D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计划标准：指以预先制定的目标、计划、预算、定额等作为评价标准。</w:t>
      </w:r>
    </w:p>
    <w:p w14:paraId="69AADAF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对于定性指标，通过问卷调查及访谈方式，采集相关数据，运用等级描述法，设置分级标准，体现该指标认可程度的差异。</w:t>
      </w:r>
    </w:p>
    <w:p w14:paraId="4D51578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对于定量指标，通过公式等方式予以量化，可以准确衡量，并设定目标值的考核指标。</w:t>
      </w:r>
    </w:p>
    <w:p w14:paraId="5A9E399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详细评价方法的应用如下：</w:t>
      </w:r>
    </w:p>
    <w:p w14:paraId="0313971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立项依据充分性：比较法和文献法，查找法律法规政策以及规划，对比实际执行内容和政策支持内容是否匹配，分析立项依据充分性。</w:t>
      </w:r>
    </w:p>
    <w:p w14:paraId="219738C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立项程序规范性：比较法和文献法，查找相关项目设立的政策和文件要求，对比分析实际执行程序是否按照政策及文件要求执行，分析立项程序的规范性。</w:t>
      </w:r>
    </w:p>
    <w:p w14:paraId="4169D65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绩效目标合理性：比较法和因素分析法，对比分析年初编制项目支出绩效目标表与项目内容的相关性、资金的匹配性等。</w:t>
      </w:r>
    </w:p>
    <w:p w14:paraId="1451240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绩效指标明确性：比较法和因素分析法，比较分析年初编制项目支出绩效目标表是否符合双七原则，是否可衡量。</w:t>
      </w:r>
    </w:p>
    <w:p w14:paraId="07E0A2A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预算编制科学性：中央资金分配采取比较法和因素分析法，应当主要选取自然、经济、社会、绩效等客观因素，并在资金管理办法中明确相应的权重或标准。</w:t>
      </w:r>
    </w:p>
    <w:p w14:paraId="4FCD70C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资金分配合理性：比较法和因素分析法，分配依据是否充分，分配金额是否与项目实施单位需求金额一致。</w:t>
      </w:r>
    </w:p>
    <w:p w14:paraId="176D844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资金到位率：采用比较法，资金到位率=（实际到位资金/预算资金）×100%。实际到位资金：一定时期（本年度或项目期）内落实到具体项目的资金。预算资金：一定时期（本年度或项目期）内预算安排到具体项目的资金。</w:t>
      </w:r>
    </w:p>
    <w:p w14:paraId="5F7756E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预算执行率：比较法和因素分析法，预算执行率=（实际支出资金/实际到位资金）×100%。</w:t>
      </w:r>
    </w:p>
    <w:p w14:paraId="004EAD7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（1）项目完成，且执行数控制在年度预算规模之内的，得权重分；（2）项目尚未完成，预算执行率小于等于100%且大于等于80%的得权重分*70%</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（3）项目尚未完成，预算执行率小于等于80%且大于等于60%的得权重分*50%；</w:t>
      </w:r>
    </w:p>
    <w:p w14:paraId="6561B99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资金使用合规性：比较法、文献法和因素分析法等，通过实地调研，检查项目资金使用情况，对比专项资金管理办法要求，分析资金使用合规性。</w:t>
      </w:r>
    </w:p>
    <w:p w14:paraId="7119F6B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管理制度健全性：文献法、比较法和因素分析法等，通过查阅项目实施单位提供的财务和业务管理制度，将已建立的制度与现行的法律法规和政策要求进行对比，分析项目制度的合法性、合规性、完整性。</w:t>
      </w:r>
    </w:p>
    <w:p w14:paraId="0C1B252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制度执行有效性：比较法，结合项目实际实施过程性文件，根据已建设的财务管理制度和项目管理制度综合分析制度执行的有效性。</w:t>
      </w:r>
    </w:p>
    <w:p w14:paraId="337FBE8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其他定性指标：公众评判法，通过问卷及抽样调查等方式评价本项目实施后社会公众对其实施效果的满意程度。</w:t>
      </w:r>
    </w:p>
    <w:p w14:paraId="2B9D57F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rPr>
      </w:pPr>
      <w:bookmarkStart w:id="189" w:name="_Toc3505"/>
      <w:bookmarkStart w:id="190" w:name="_Toc22660"/>
      <w:bookmarkStart w:id="191" w:name="_Toc31440"/>
      <w:r>
        <w:rPr>
          <w:rFonts w:hint="default" w:ascii="Times New Roman" w:hAnsi="Times New Roman" w:eastAsia="楷体" w:cs="仿宋_GB2312"/>
          <w:b/>
          <w:bCs/>
          <w:color w:val="auto"/>
          <w:sz w:val="32"/>
          <w:szCs w:val="32"/>
          <w:highlight w:val="none"/>
        </w:rPr>
        <w:t>（三）绩效评价工作过程</w:t>
      </w:r>
      <w:bookmarkEnd w:id="189"/>
      <w:bookmarkEnd w:id="190"/>
      <w:bookmarkEnd w:id="191"/>
    </w:p>
    <w:p w14:paraId="21B86B5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bookmarkStart w:id="192" w:name="_Toc9139"/>
      <w:r>
        <w:rPr>
          <w:rFonts w:hint="default" w:ascii="Times New Roman" w:hAnsi="Times New Roman" w:eastAsia="仿宋_GB2312" w:cs="仿宋_GB2312"/>
          <w:b/>
          <w:bCs w:val="0"/>
          <w:kern w:val="0"/>
          <w:sz w:val="32"/>
          <w:szCs w:val="32"/>
          <w:lang w:val="en-US" w:eastAsia="zh-CN" w:bidi="ar"/>
        </w:rPr>
        <w:t>1.前期准备</w:t>
      </w:r>
      <w:bookmarkEnd w:id="192"/>
    </w:p>
    <w:p w14:paraId="474341D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新疆高博有限责任会计师事务所为绩效评价工作方面的专业第三方机构，受喀什市财政局委托实施重点项目（部门单位）绩效评价工作。根据文件及制度要求，新疆高博有限责任会计师事务所成立了由主评人担任评价组长的工作小组，按照绩效评价流程及程序开展工作。具体成员及职责分工如下：</w:t>
      </w:r>
    </w:p>
    <w:p w14:paraId="28A7ADC6">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cs="仿宋_GB2312"/>
          <w:b/>
          <w:bCs/>
          <w:sz w:val="21"/>
          <w:szCs w:val="21"/>
          <w:highlight w:val="none"/>
        </w:rPr>
      </w:pPr>
      <w:r>
        <w:rPr>
          <w:rFonts w:hint="default" w:ascii="Times New Roman" w:hAnsi="Times New Roman" w:cs="仿宋_GB2312"/>
          <w:b/>
          <w:bCs/>
          <w:sz w:val="21"/>
          <w:szCs w:val="21"/>
          <w:highlight w:val="none"/>
        </w:rPr>
        <w:t>评价组成员表</w:t>
      </w:r>
    </w:p>
    <w:tbl>
      <w:tblPr>
        <w:tblStyle w:val="13"/>
        <w:tblW w:w="8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8"/>
        <w:gridCol w:w="949"/>
        <w:gridCol w:w="1180"/>
        <w:gridCol w:w="5608"/>
      </w:tblGrid>
      <w:tr w14:paraId="40903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blHead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1DE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b/>
                <w:bCs/>
                <w:i w:val="0"/>
                <w:iCs w:val="0"/>
                <w:color w:val="auto"/>
                <w:sz w:val="21"/>
                <w:szCs w:val="21"/>
                <w:highlight w:val="none"/>
                <w:u w:val="none"/>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序号</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EB0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b/>
                <w:bCs/>
                <w:i w:val="0"/>
                <w:iCs w:val="0"/>
                <w:color w:val="auto"/>
                <w:sz w:val="21"/>
                <w:szCs w:val="21"/>
                <w:highlight w:val="none"/>
                <w:u w:val="none"/>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姓名</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37A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b/>
                <w:bCs/>
                <w:i w:val="0"/>
                <w:iCs w:val="0"/>
                <w:color w:val="auto"/>
                <w:sz w:val="21"/>
                <w:szCs w:val="21"/>
                <w:highlight w:val="none"/>
                <w:u w:val="none"/>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工作职责</w:t>
            </w:r>
          </w:p>
        </w:tc>
        <w:tc>
          <w:tcPr>
            <w:tcW w:w="5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0B0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b/>
                <w:bCs/>
                <w:i w:val="0"/>
                <w:iCs w:val="0"/>
                <w:color w:val="auto"/>
                <w:sz w:val="21"/>
                <w:szCs w:val="21"/>
                <w:highlight w:val="none"/>
                <w:u w:val="none"/>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分工内容</w:t>
            </w:r>
          </w:p>
        </w:tc>
      </w:tr>
      <w:tr w14:paraId="01E2A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blHeader/>
        </w:trPr>
        <w:tc>
          <w:tcPr>
            <w:tcW w:w="658" w:type="dxa"/>
            <w:tcBorders>
              <w:top w:val="single" w:color="000000" w:sz="4" w:space="0"/>
              <w:left w:val="single" w:color="000000" w:sz="4" w:space="0"/>
              <w:bottom w:val="single" w:color="000000" w:sz="4" w:space="0"/>
              <w:right w:val="single" w:color="000000" w:sz="4" w:space="0"/>
            </w:tcBorders>
            <w:noWrap/>
            <w:vAlign w:val="center"/>
          </w:tcPr>
          <w:p w14:paraId="11B4378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00B887B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杨柳</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735053C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质控人</w:t>
            </w:r>
          </w:p>
        </w:tc>
        <w:tc>
          <w:tcPr>
            <w:tcW w:w="5608" w:type="dxa"/>
            <w:tcBorders>
              <w:top w:val="single" w:color="000000" w:sz="4" w:space="0"/>
              <w:left w:val="single" w:color="000000" w:sz="4" w:space="0"/>
              <w:bottom w:val="single" w:color="000000" w:sz="4" w:space="0"/>
              <w:right w:val="single" w:color="000000" w:sz="4" w:space="0"/>
            </w:tcBorders>
            <w:noWrap w:val="0"/>
            <w:vAlign w:val="center"/>
          </w:tcPr>
          <w:p w14:paraId="6D6B734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负责对整体检查工作进行全面技术把关和指导报告质量内部质量总体把控，对整体评价结论进行最终复核；</w:t>
            </w:r>
          </w:p>
        </w:tc>
      </w:tr>
      <w:tr w14:paraId="4625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blHeader/>
        </w:trPr>
        <w:tc>
          <w:tcPr>
            <w:tcW w:w="658" w:type="dxa"/>
            <w:tcBorders>
              <w:top w:val="single" w:color="000000" w:sz="4" w:space="0"/>
              <w:left w:val="single" w:color="000000" w:sz="4" w:space="0"/>
              <w:bottom w:val="single" w:color="000000" w:sz="4" w:space="0"/>
              <w:right w:val="single" w:color="000000" w:sz="4" w:space="0"/>
            </w:tcBorders>
            <w:noWrap/>
            <w:vAlign w:val="center"/>
          </w:tcPr>
          <w:p w14:paraId="56D20DF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0FB74D3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张红霞</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2D12F6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主评人</w:t>
            </w:r>
          </w:p>
        </w:tc>
        <w:tc>
          <w:tcPr>
            <w:tcW w:w="5608" w:type="dxa"/>
            <w:tcBorders>
              <w:top w:val="single" w:color="000000" w:sz="4" w:space="0"/>
              <w:left w:val="single" w:color="000000" w:sz="4" w:space="0"/>
              <w:bottom w:val="single" w:color="000000" w:sz="4" w:space="0"/>
              <w:right w:val="single" w:color="000000" w:sz="4" w:space="0"/>
            </w:tcBorders>
            <w:noWrap w:val="0"/>
            <w:vAlign w:val="center"/>
          </w:tcPr>
          <w:p w14:paraId="25C6CFC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sz w:val="21"/>
                <w:szCs w:val="21"/>
                <w:highlight w:val="none"/>
                <w:u w:val="none"/>
              </w:rPr>
              <w:t>负责</w:t>
            </w:r>
            <w:r>
              <w:rPr>
                <w:rFonts w:hint="eastAsia" w:ascii="Times New Roman" w:hAnsi="Times New Roman" w:eastAsia="仿宋_GB2312" w:cs="仿宋_GB2312"/>
                <w:i w:val="0"/>
                <w:iCs w:val="0"/>
                <w:color w:val="auto"/>
                <w:sz w:val="21"/>
                <w:szCs w:val="21"/>
                <w:highlight w:val="none"/>
                <w:u w:val="none"/>
                <w:lang w:val="en-US" w:eastAsia="zh-CN"/>
              </w:rPr>
              <w:t>部门整体</w:t>
            </w:r>
            <w:r>
              <w:rPr>
                <w:rFonts w:hint="eastAsia" w:ascii="Times New Roman" w:hAnsi="Times New Roman" w:eastAsia="仿宋_GB2312" w:cs="仿宋_GB2312"/>
                <w:i w:val="0"/>
                <w:iCs w:val="0"/>
                <w:color w:val="auto"/>
                <w:sz w:val="21"/>
                <w:szCs w:val="21"/>
                <w:highlight w:val="none"/>
                <w:u w:val="none"/>
              </w:rPr>
              <w:t>评价方案、</w:t>
            </w:r>
            <w:r>
              <w:rPr>
                <w:rFonts w:hint="eastAsia" w:ascii="Times New Roman" w:hAnsi="Times New Roman" w:eastAsia="仿宋_GB2312" w:cs="仿宋_GB2312"/>
                <w:i w:val="0"/>
                <w:iCs w:val="0"/>
                <w:color w:val="auto"/>
                <w:sz w:val="21"/>
                <w:szCs w:val="21"/>
                <w:highlight w:val="none"/>
                <w:u w:val="none"/>
                <w:lang w:val="en-US" w:eastAsia="zh-CN"/>
              </w:rPr>
              <w:t>评价</w:t>
            </w:r>
            <w:r>
              <w:rPr>
                <w:rFonts w:hint="eastAsia" w:ascii="Times New Roman" w:hAnsi="Times New Roman" w:eastAsia="仿宋_GB2312" w:cs="仿宋_GB2312"/>
                <w:i w:val="0"/>
                <w:iCs w:val="0"/>
                <w:color w:val="auto"/>
                <w:sz w:val="21"/>
                <w:szCs w:val="21"/>
                <w:highlight w:val="none"/>
                <w:u w:val="none"/>
              </w:rPr>
              <w:t>报告等重点工作内容的质量控制，技术指导。</w:t>
            </w:r>
          </w:p>
        </w:tc>
      </w:tr>
      <w:tr w14:paraId="4A54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blHeader/>
        </w:trPr>
        <w:tc>
          <w:tcPr>
            <w:tcW w:w="658" w:type="dxa"/>
            <w:tcBorders>
              <w:top w:val="single" w:color="000000" w:sz="4" w:space="0"/>
              <w:left w:val="single" w:color="000000" w:sz="4" w:space="0"/>
              <w:bottom w:val="single" w:color="000000" w:sz="4" w:space="0"/>
              <w:right w:val="single" w:color="000000" w:sz="4" w:space="0"/>
            </w:tcBorders>
            <w:noWrap/>
            <w:vAlign w:val="center"/>
          </w:tcPr>
          <w:p w14:paraId="27D0C13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07451BA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廉柳俊</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A8774A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现场负责人</w:t>
            </w:r>
          </w:p>
        </w:tc>
        <w:tc>
          <w:tcPr>
            <w:tcW w:w="5608" w:type="dxa"/>
            <w:tcBorders>
              <w:top w:val="single" w:color="000000" w:sz="4" w:space="0"/>
              <w:left w:val="single" w:color="000000" w:sz="4" w:space="0"/>
              <w:bottom w:val="single" w:color="000000" w:sz="4" w:space="0"/>
              <w:right w:val="single" w:color="000000" w:sz="4" w:space="0"/>
            </w:tcBorders>
            <w:noWrap w:val="0"/>
            <w:vAlign w:val="center"/>
          </w:tcPr>
          <w:p w14:paraId="7C58998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负责对项目实施统筹、资料收集，整理及数据分析、撰写工作方案及评价报告并对评价报告负责；</w:t>
            </w:r>
          </w:p>
        </w:tc>
      </w:tr>
      <w:tr w14:paraId="14070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tblHeader/>
        </w:trPr>
        <w:tc>
          <w:tcPr>
            <w:tcW w:w="658" w:type="dxa"/>
            <w:tcBorders>
              <w:top w:val="single" w:color="000000" w:sz="4" w:space="0"/>
              <w:left w:val="single" w:color="000000" w:sz="4" w:space="0"/>
              <w:bottom w:val="single" w:color="000000" w:sz="4" w:space="0"/>
              <w:right w:val="single" w:color="000000" w:sz="4" w:space="0"/>
            </w:tcBorders>
            <w:noWrap/>
            <w:vAlign w:val="center"/>
          </w:tcPr>
          <w:p w14:paraId="7189430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25CF0D6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马祥琴</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F5B750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评价组成员</w:t>
            </w:r>
          </w:p>
        </w:tc>
        <w:tc>
          <w:tcPr>
            <w:tcW w:w="5608" w:type="dxa"/>
            <w:tcBorders>
              <w:top w:val="single" w:color="000000" w:sz="4" w:space="0"/>
              <w:left w:val="single" w:color="000000" w:sz="4" w:space="0"/>
              <w:bottom w:val="single" w:color="000000" w:sz="4" w:space="0"/>
              <w:right w:val="single" w:color="000000" w:sz="4" w:space="0"/>
            </w:tcBorders>
            <w:noWrap w:val="0"/>
            <w:vAlign w:val="center"/>
          </w:tcPr>
          <w:p w14:paraId="2C1BBE1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负责资料搜集、整理及数据分析等，并协助撰写工作方案及评价报告等；</w:t>
            </w:r>
          </w:p>
        </w:tc>
      </w:tr>
      <w:tr w14:paraId="377B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blHeader/>
        </w:trPr>
        <w:tc>
          <w:tcPr>
            <w:tcW w:w="658" w:type="dxa"/>
            <w:tcBorders>
              <w:top w:val="single" w:color="000000" w:sz="4" w:space="0"/>
              <w:left w:val="single" w:color="000000" w:sz="4" w:space="0"/>
              <w:bottom w:val="single" w:color="000000" w:sz="4" w:space="0"/>
              <w:right w:val="single" w:color="000000" w:sz="4" w:space="0"/>
            </w:tcBorders>
            <w:noWrap/>
            <w:vAlign w:val="center"/>
          </w:tcPr>
          <w:p w14:paraId="49EC5FF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5</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62D126A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李子航</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39B782D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评价组成员</w:t>
            </w:r>
          </w:p>
        </w:tc>
        <w:tc>
          <w:tcPr>
            <w:tcW w:w="5608" w:type="dxa"/>
            <w:tcBorders>
              <w:top w:val="single" w:color="000000" w:sz="4" w:space="0"/>
              <w:left w:val="single" w:color="000000" w:sz="4" w:space="0"/>
              <w:bottom w:val="single" w:color="000000" w:sz="4" w:space="0"/>
              <w:right w:val="single" w:color="000000" w:sz="4" w:space="0"/>
            </w:tcBorders>
            <w:noWrap w:val="0"/>
            <w:vAlign w:val="center"/>
          </w:tcPr>
          <w:p w14:paraId="12E48FE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both"/>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负责资料搜集、整理及数据分析等，并协助撰写工作方案及评价报告等；</w:t>
            </w:r>
          </w:p>
        </w:tc>
      </w:tr>
    </w:tbl>
    <w:p w14:paraId="66E2AE9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本次项目评价期间自202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w:t>
      </w:r>
      <w:r>
        <w:rPr>
          <w:rFonts w:hint="eastAsia" w:ascii="Times New Roman" w:hAnsi="Times New Roman" w:eastAsia="仿宋_GB2312" w:cs="仿宋_GB2312"/>
          <w:bCs/>
          <w:kern w:val="0"/>
          <w:sz w:val="32"/>
          <w:szCs w:val="32"/>
          <w:lang w:val="en-US" w:eastAsia="zh-CN" w:bidi="ar"/>
        </w:rPr>
        <w:t>7</w:t>
      </w:r>
      <w:r>
        <w:rPr>
          <w:rFonts w:hint="default" w:ascii="Times New Roman" w:hAnsi="Times New Roman" w:eastAsia="仿宋_GB2312" w:cs="仿宋_GB2312"/>
          <w:bCs/>
          <w:kern w:val="0"/>
          <w:sz w:val="32"/>
          <w:szCs w:val="32"/>
          <w:lang w:val="en-US" w:eastAsia="zh-CN" w:bidi="ar"/>
        </w:rPr>
        <w:t>月1日至202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w:t>
      </w:r>
      <w:r>
        <w:rPr>
          <w:rFonts w:hint="eastAsia" w:ascii="Times New Roman" w:hAnsi="Times New Roman" w:eastAsia="仿宋_GB2312" w:cs="仿宋_GB2312"/>
          <w:bCs/>
          <w:kern w:val="0"/>
          <w:sz w:val="32"/>
          <w:szCs w:val="32"/>
          <w:lang w:val="en-US" w:eastAsia="zh-CN" w:bidi="ar"/>
        </w:rPr>
        <w:t>8</w:t>
      </w:r>
      <w:r>
        <w:rPr>
          <w:rFonts w:hint="default" w:ascii="Times New Roman" w:hAnsi="Times New Roman" w:eastAsia="仿宋_GB2312" w:cs="仿宋_GB2312"/>
          <w:bCs/>
          <w:kern w:val="0"/>
          <w:sz w:val="32"/>
          <w:szCs w:val="32"/>
          <w:lang w:val="en-US" w:eastAsia="zh-CN" w:bidi="ar"/>
        </w:rPr>
        <w:t>月</w:t>
      </w:r>
      <w:r>
        <w:rPr>
          <w:rFonts w:hint="eastAsia" w:ascii="Times New Roman" w:hAnsi="Times New Roman" w:eastAsia="仿宋_GB2312" w:cs="仿宋_GB2312"/>
          <w:bCs/>
          <w:kern w:val="0"/>
          <w:sz w:val="32"/>
          <w:szCs w:val="32"/>
          <w:lang w:val="en-US" w:eastAsia="zh-CN" w:bidi="ar"/>
        </w:rPr>
        <w:t>10</w:t>
      </w:r>
      <w:r>
        <w:rPr>
          <w:rFonts w:hint="default" w:ascii="Times New Roman" w:hAnsi="Times New Roman" w:eastAsia="仿宋_GB2312" w:cs="仿宋_GB2312"/>
          <w:bCs/>
          <w:kern w:val="0"/>
          <w:sz w:val="32"/>
          <w:szCs w:val="32"/>
          <w:lang w:val="en-US" w:eastAsia="zh-CN" w:bidi="ar"/>
        </w:rPr>
        <w:t>日，具体安排为：</w:t>
      </w:r>
    </w:p>
    <w:p w14:paraId="48B6F28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绩效评价准备阶段：202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w:t>
      </w:r>
      <w:r>
        <w:rPr>
          <w:rFonts w:hint="eastAsia" w:ascii="Times New Roman" w:hAnsi="Times New Roman" w:eastAsia="仿宋_GB2312" w:cs="仿宋_GB2312"/>
          <w:bCs/>
          <w:kern w:val="0"/>
          <w:sz w:val="32"/>
          <w:szCs w:val="32"/>
          <w:lang w:val="en-US" w:eastAsia="zh-CN" w:bidi="ar"/>
        </w:rPr>
        <w:t>7</w:t>
      </w:r>
      <w:r>
        <w:rPr>
          <w:rFonts w:hint="default" w:ascii="Times New Roman" w:hAnsi="Times New Roman" w:eastAsia="仿宋_GB2312" w:cs="仿宋_GB2312"/>
          <w:bCs/>
          <w:kern w:val="0"/>
          <w:sz w:val="32"/>
          <w:szCs w:val="32"/>
          <w:lang w:val="en-US" w:eastAsia="zh-CN" w:bidi="ar"/>
        </w:rPr>
        <w:t>月1日至202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w:t>
      </w:r>
      <w:r>
        <w:rPr>
          <w:rFonts w:hint="eastAsia" w:ascii="Times New Roman" w:hAnsi="Times New Roman" w:eastAsia="仿宋_GB2312" w:cs="仿宋_GB2312"/>
          <w:bCs/>
          <w:kern w:val="0"/>
          <w:sz w:val="32"/>
          <w:szCs w:val="32"/>
          <w:lang w:val="en-US" w:eastAsia="zh-CN" w:bidi="ar"/>
        </w:rPr>
        <w:t>7</w:t>
      </w:r>
      <w:r>
        <w:rPr>
          <w:rFonts w:hint="default" w:ascii="Times New Roman" w:hAnsi="Times New Roman" w:eastAsia="仿宋_GB2312" w:cs="仿宋_GB2312"/>
          <w:bCs/>
          <w:kern w:val="0"/>
          <w:sz w:val="32"/>
          <w:szCs w:val="32"/>
          <w:lang w:val="en-US" w:eastAsia="zh-CN" w:bidi="ar"/>
        </w:rPr>
        <w:t>月</w:t>
      </w:r>
      <w:r>
        <w:rPr>
          <w:rFonts w:hint="eastAsia" w:ascii="Times New Roman" w:hAnsi="Times New Roman" w:eastAsia="仿宋_GB2312" w:cs="仿宋_GB2312"/>
          <w:bCs/>
          <w:kern w:val="0"/>
          <w:sz w:val="32"/>
          <w:szCs w:val="32"/>
          <w:lang w:val="en-US" w:eastAsia="zh-CN" w:bidi="ar"/>
        </w:rPr>
        <w:t>10</w:t>
      </w:r>
      <w:r>
        <w:rPr>
          <w:rFonts w:hint="default" w:ascii="Times New Roman" w:hAnsi="Times New Roman" w:eastAsia="仿宋_GB2312" w:cs="仿宋_GB2312"/>
          <w:bCs/>
          <w:kern w:val="0"/>
          <w:sz w:val="32"/>
          <w:szCs w:val="32"/>
          <w:lang w:val="en-US" w:eastAsia="zh-CN" w:bidi="ar"/>
        </w:rPr>
        <w:t>日，组成绩效评价工作小组（质控人：</w:t>
      </w:r>
      <w:r>
        <w:rPr>
          <w:rFonts w:hint="eastAsia" w:ascii="Times New Roman" w:hAnsi="Times New Roman" w:eastAsia="仿宋_GB2312" w:cs="仿宋_GB2312"/>
          <w:bCs/>
          <w:kern w:val="0"/>
          <w:sz w:val="32"/>
          <w:szCs w:val="32"/>
          <w:lang w:val="en-US" w:eastAsia="zh-CN" w:bidi="ar"/>
        </w:rPr>
        <w:t>杨柳</w:t>
      </w:r>
      <w:r>
        <w:rPr>
          <w:rFonts w:hint="default" w:ascii="Times New Roman" w:hAnsi="Times New Roman" w:eastAsia="仿宋_GB2312" w:cs="仿宋_GB2312"/>
          <w:bCs/>
          <w:kern w:val="0"/>
          <w:sz w:val="32"/>
          <w:szCs w:val="32"/>
          <w:lang w:val="en-US" w:eastAsia="zh-CN" w:bidi="ar"/>
        </w:rPr>
        <w:t>；主评人</w:t>
      </w:r>
      <w:r>
        <w:rPr>
          <w:rFonts w:hint="eastAsia" w:ascii="Times New Roman" w:hAnsi="Times New Roman" w:eastAsia="仿宋_GB2312" w:cs="仿宋_GB2312"/>
          <w:bCs/>
          <w:kern w:val="0"/>
          <w:sz w:val="32"/>
          <w:szCs w:val="32"/>
          <w:lang w:val="en-US" w:eastAsia="zh-CN" w:bidi="ar"/>
        </w:rPr>
        <w:t>：张红霞；</w:t>
      </w:r>
      <w:r>
        <w:rPr>
          <w:rFonts w:hint="default" w:ascii="Times New Roman" w:hAnsi="Times New Roman" w:eastAsia="仿宋_GB2312" w:cs="仿宋_GB2312"/>
          <w:bCs/>
          <w:kern w:val="0"/>
          <w:sz w:val="32"/>
          <w:szCs w:val="32"/>
          <w:lang w:val="en-US" w:eastAsia="zh-CN" w:bidi="ar"/>
        </w:rPr>
        <w:t>组员：</w:t>
      </w:r>
      <w:r>
        <w:rPr>
          <w:rFonts w:hint="eastAsia" w:ascii="Times New Roman" w:hAnsi="Times New Roman" w:eastAsia="仿宋_GB2312" w:cs="仿宋_GB2312"/>
          <w:bCs/>
          <w:kern w:val="0"/>
          <w:sz w:val="32"/>
          <w:szCs w:val="32"/>
          <w:lang w:val="en-US" w:eastAsia="zh-CN" w:bidi="ar"/>
        </w:rPr>
        <w:t>廉柳俊、马祥琴、李子航</w:t>
      </w:r>
      <w:r>
        <w:rPr>
          <w:rFonts w:hint="default" w:ascii="Times New Roman" w:hAnsi="Times New Roman" w:eastAsia="仿宋_GB2312" w:cs="仿宋_GB2312"/>
          <w:bCs/>
          <w:kern w:val="0"/>
          <w:sz w:val="32"/>
          <w:szCs w:val="32"/>
          <w:lang w:val="en-US" w:eastAsia="zh-CN" w:bidi="ar"/>
        </w:rPr>
        <w:t>），研究制定绩效评价工作方案</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包括出具绩效评价指标体系、整理完善资料清单、编制重点项目绩效评价实施方案等</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，征求喀什</w:t>
      </w:r>
      <w:r>
        <w:rPr>
          <w:rFonts w:hint="eastAsia" w:ascii="Times New Roman" w:hAnsi="Times New Roman" w:eastAsia="仿宋_GB2312" w:cs="仿宋_GB2312"/>
          <w:bCs/>
          <w:kern w:val="0"/>
          <w:sz w:val="32"/>
          <w:szCs w:val="32"/>
          <w:lang w:val="en-US" w:eastAsia="zh-CN" w:bidi="ar"/>
        </w:rPr>
        <w:t>市</w:t>
      </w:r>
      <w:r>
        <w:rPr>
          <w:rFonts w:hint="default" w:ascii="Times New Roman" w:hAnsi="Times New Roman" w:eastAsia="仿宋_GB2312" w:cs="仿宋_GB2312"/>
          <w:bCs/>
          <w:kern w:val="0"/>
          <w:sz w:val="32"/>
          <w:szCs w:val="32"/>
          <w:lang w:val="en-US" w:eastAsia="zh-CN" w:bidi="ar"/>
        </w:rPr>
        <w:t>财政局的意见，将确定的绩效评价工作方案和资料清单委托</w:t>
      </w:r>
      <w:r>
        <w:rPr>
          <w:rFonts w:hint="eastAsia" w:ascii="Times New Roman" w:hAnsi="Times New Roman" w:eastAsia="仿宋_GB2312" w:cs="仿宋_GB2312"/>
          <w:bCs/>
          <w:kern w:val="0"/>
          <w:sz w:val="32"/>
          <w:szCs w:val="32"/>
          <w:lang w:val="en-US" w:eastAsia="zh-CN" w:bidi="ar"/>
        </w:rPr>
        <w:t>喀什市</w:t>
      </w:r>
      <w:r>
        <w:rPr>
          <w:rFonts w:hint="default" w:ascii="Times New Roman" w:hAnsi="Times New Roman" w:eastAsia="仿宋_GB2312" w:cs="仿宋_GB2312"/>
          <w:bCs/>
          <w:kern w:val="0"/>
          <w:sz w:val="32"/>
          <w:szCs w:val="32"/>
          <w:lang w:val="en-US" w:eastAsia="zh-CN" w:bidi="ar"/>
        </w:rPr>
        <w:t>财政局发放</w:t>
      </w:r>
      <w:r>
        <w:rPr>
          <w:rFonts w:hint="eastAsia" w:ascii="Times New Roman" w:hAnsi="Times New Roman" w:eastAsia="仿宋_GB2312" w:cs="仿宋_GB2312"/>
          <w:bCs/>
          <w:kern w:val="0"/>
          <w:sz w:val="32"/>
          <w:szCs w:val="32"/>
          <w:lang w:val="en-US" w:eastAsia="zh-CN" w:bidi="ar"/>
        </w:rPr>
        <w:t>给</w:t>
      </w:r>
      <w:r>
        <w:rPr>
          <w:rFonts w:hint="default" w:ascii="Times New Roman" w:hAnsi="Times New Roman" w:eastAsia="仿宋_GB2312" w:cs="仿宋_GB2312"/>
          <w:bCs/>
          <w:kern w:val="0"/>
          <w:sz w:val="32"/>
          <w:szCs w:val="32"/>
          <w:lang w:val="en-US" w:eastAsia="zh-CN" w:bidi="ar"/>
        </w:rPr>
        <w:t>项目主管部门单位，主管部门单位根据资料清单收集项目资料。</w:t>
      </w:r>
    </w:p>
    <w:p w14:paraId="3FD9B02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绩效评价实施阶段：202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w:t>
      </w:r>
      <w:r>
        <w:rPr>
          <w:rFonts w:hint="eastAsia" w:ascii="Times New Roman" w:hAnsi="Times New Roman" w:eastAsia="仿宋_GB2312" w:cs="仿宋_GB2312"/>
          <w:bCs/>
          <w:kern w:val="0"/>
          <w:sz w:val="32"/>
          <w:szCs w:val="32"/>
          <w:lang w:val="en-US" w:eastAsia="zh-CN" w:bidi="ar"/>
        </w:rPr>
        <w:t>7</w:t>
      </w:r>
      <w:r>
        <w:rPr>
          <w:rFonts w:hint="default" w:ascii="Times New Roman" w:hAnsi="Times New Roman" w:eastAsia="仿宋_GB2312" w:cs="仿宋_GB2312"/>
          <w:bCs/>
          <w:kern w:val="0"/>
          <w:sz w:val="32"/>
          <w:szCs w:val="32"/>
          <w:lang w:val="en-US" w:eastAsia="zh-CN" w:bidi="ar"/>
        </w:rPr>
        <w:t>月11日至202</w:t>
      </w:r>
      <w:r>
        <w:rPr>
          <w:rFonts w:hint="eastAsia" w:ascii="Times New Roman" w:hAnsi="Times New Roman" w:eastAsia="仿宋_GB2312" w:cs="仿宋_GB2312"/>
          <w:bCs/>
          <w:kern w:val="0"/>
          <w:sz w:val="32"/>
          <w:szCs w:val="32"/>
          <w:lang w:val="en-US" w:eastAsia="zh-CN" w:bidi="ar"/>
        </w:rPr>
        <w:t>6</w:t>
      </w:r>
      <w:r>
        <w:rPr>
          <w:rFonts w:hint="default" w:ascii="Times New Roman" w:hAnsi="Times New Roman" w:eastAsia="仿宋_GB2312" w:cs="仿宋_GB2312"/>
          <w:bCs/>
          <w:kern w:val="0"/>
          <w:sz w:val="32"/>
          <w:szCs w:val="32"/>
          <w:lang w:val="en-US" w:eastAsia="zh-CN" w:bidi="ar"/>
        </w:rPr>
        <w:t>年7月</w:t>
      </w:r>
      <w:r>
        <w:rPr>
          <w:rFonts w:hint="eastAsia" w:ascii="Times New Roman" w:hAnsi="Times New Roman" w:eastAsia="仿宋_GB2312" w:cs="仿宋_GB2312"/>
          <w:bCs/>
          <w:kern w:val="0"/>
          <w:sz w:val="32"/>
          <w:szCs w:val="32"/>
          <w:lang w:val="en-US" w:eastAsia="zh-CN" w:bidi="ar"/>
        </w:rPr>
        <w:t>31</w:t>
      </w:r>
      <w:r>
        <w:rPr>
          <w:rFonts w:hint="default" w:ascii="Times New Roman" w:hAnsi="Times New Roman" w:eastAsia="仿宋_GB2312" w:cs="仿宋_GB2312"/>
          <w:bCs/>
          <w:kern w:val="0"/>
          <w:sz w:val="32"/>
          <w:szCs w:val="32"/>
          <w:lang w:val="en-US" w:eastAsia="zh-CN" w:bidi="ar"/>
        </w:rPr>
        <w:t>日，绩效评价工作小组参照实施方案，具体组织实施项目绩效评价工作。通过实地走访、座谈交流等方式了解项目实际情况并收集相关资料。</w:t>
      </w:r>
    </w:p>
    <w:p w14:paraId="0CA2E37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汇总评价报告阶段：2026年8月1日至2026年8月10日，绩效评价工作小组根据项目实际情况，编制绩效评价报告初稿，并进行内部三审复核（复核人员：三审</w:t>
      </w:r>
      <w:r>
        <w:rPr>
          <w:rFonts w:hint="eastAsia" w:ascii="Times New Roman" w:hAnsi="Times New Roman" w:eastAsia="仿宋_GB2312" w:cs="仿宋_GB2312"/>
          <w:bCs/>
          <w:kern w:val="0"/>
          <w:sz w:val="32"/>
          <w:szCs w:val="32"/>
          <w:lang w:val="en-US" w:eastAsia="zh-CN" w:bidi="ar"/>
        </w:rPr>
        <w:t>杨柳</w:t>
      </w:r>
      <w:r>
        <w:rPr>
          <w:rFonts w:hint="default" w:ascii="Times New Roman" w:hAnsi="Times New Roman" w:eastAsia="仿宋_GB2312" w:cs="仿宋_GB2312"/>
          <w:bCs/>
          <w:kern w:val="0"/>
          <w:sz w:val="32"/>
          <w:szCs w:val="32"/>
          <w:lang w:val="en-US" w:eastAsia="zh-CN" w:bidi="ar"/>
        </w:rPr>
        <w:t>、二审张红霞、一审廉柳俊）；复核通过后征求项目单位意见建议。</w:t>
      </w:r>
    </w:p>
    <w:p w14:paraId="63F8D47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报告修改完善及征求意见阶段：2026年8月11日至2026年8月15日，评价小组根据项目单位反馈意见逐项修改完善，形成报告征求意见稿，征求喀什市财政局及被评价部门单位意见建议，最终形成正式绩效评价报告。</w:t>
      </w:r>
    </w:p>
    <w:p w14:paraId="74F00C3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2.组织实施</w:t>
      </w:r>
    </w:p>
    <w:p w14:paraId="6B323F1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小组通过与喀什市民政局沟通，了解项目基本情况，收集相关基础资料，并进行整理分析，编制项目绩效评价资料清单，对项目资金使用进行分析和绩效检查，并根据评价需求实地进行调研考察，严格按照绩效评价指标体系进行评价，总结经验做法和存在的问题。</w:t>
      </w:r>
    </w:p>
    <w:p w14:paraId="06EC215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eastAsia" w:ascii="Times New Roman" w:hAnsi="Times New Roman" w:eastAsia="仿宋_GB2312" w:cs="仿宋_GB2312"/>
          <w:b/>
          <w:bCs w:val="0"/>
          <w:kern w:val="0"/>
          <w:sz w:val="32"/>
          <w:szCs w:val="32"/>
          <w:lang w:val="en-US" w:eastAsia="zh-CN" w:bidi="ar"/>
        </w:rPr>
      </w:pPr>
      <w:bookmarkStart w:id="193" w:name="_Toc14996"/>
      <w:bookmarkStart w:id="194" w:name="_Toc428278227"/>
      <w:bookmarkStart w:id="195" w:name="_Toc419984719"/>
      <w:r>
        <w:rPr>
          <w:rFonts w:hint="eastAsia" w:ascii="Times New Roman" w:hAnsi="Times New Roman" w:eastAsia="仿宋_GB2312" w:cs="仿宋_GB2312"/>
          <w:b/>
          <w:bCs w:val="0"/>
          <w:kern w:val="0"/>
          <w:sz w:val="32"/>
          <w:szCs w:val="32"/>
          <w:lang w:val="en-US" w:eastAsia="zh-CN" w:bidi="ar"/>
        </w:rPr>
        <w:t>3.综合分析评价</w:t>
      </w:r>
      <w:bookmarkEnd w:id="193"/>
    </w:p>
    <w:p w14:paraId="0A1AE21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一是根据所收集的资料，结合现场勘查等有关情况，整理出绩效评价所需要的基本资料和数据。二是按照确定的评价指标、评价标准和评价方法，对评价对象的绩效情况进行全面的定量定性分析和综合评价，量化评分，形成评价初步结论。</w:t>
      </w:r>
    </w:p>
    <w:bookmarkEnd w:id="194"/>
    <w:bookmarkEnd w:id="195"/>
    <w:p w14:paraId="206AE68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4.报告撰写</w:t>
      </w:r>
    </w:p>
    <w:p w14:paraId="5C32E70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一是根据本次绩效评价开展情况和初步评价结果，形成绩效评价报告初稿。二是征求喀什市民政局及喀什市财政局意见，并结合反馈意见形成正式报告。</w:t>
      </w:r>
    </w:p>
    <w:p w14:paraId="6E881E5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196" w:name="_Toc1130"/>
      <w:bookmarkStart w:id="197" w:name="_Toc7532"/>
      <w:r>
        <w:rPr>
          <w:rFonts w:hint="default" w:ascii="Times New Roman" w:hAnsi="Times New Roman" w:eastAsia="黑体" w:cs="仿宋_GB2312"/>
          <w:color w:val="auto"/>
          <w:kern w:val="0"/>
          <w:sz w:val="32"/>
          <w:szCs w:val="32"/>
          <w:highlight w:val="none"/>
          <w:lang w:bidi="en-US"/>
        </w:rPr>
        <w:t>三、综合评价情况及评价结论</w:t>
      </w:r>
      <w:bookmarkEnd w:id="196"/>
      <w:bookmarkEnd w:id="197"/>
    </w:p>
    <w:p w14:paraId="746A83F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喀什市民政局实施的2025年喀什市精康融合行动项目实施情况：走访290名精康患者，并为每一位出具项目调研报告；为327名精康患者做评估，建档精康患者109名；个案服务5名，个案咨询服务17人；开展宣传活动（利用全国助残日，精神卫生日开展精神健康服务宣传，志愿者活动）4场次，参与人员共计328人；开展生活自理技能训练、认知技能训练、情绪管理技能训练、就业技能相关训练或培训、社交技能训练、娱乐服务等集中服务活动35场次，参与人员共计710人；开展家属护理技能培训、心理团辅、减压服务等服务活动21场次，参加人员共计513人；开展小组活动15节次，参加人员共计55人（232人次）；开展特色服务牌活动1场（5节），参加人员共计15人（75人次）；本项目直接受益人员共计</w:t>
      </w:r>
      <w:r>
        <w:rPr>
          <w:rFonts w:hint="eastAsia" w:ascii="Times New Roman" w:hAnsi="Times New Roman" w:eastAsia="仿宋_GB2312" w:cs="仿宋_GB2312"/>
          <w:bCs/>
          <w:kern w:val="0"/>
          <w:sz w:val="32"/>
          <w:szCs w:val="32"/>
          <w:lang w:val="en-US" w:eastAsia="zh-CN" w:bidi="ar"/>
        </w:rPr>
        <w:t>2155</w:t>
      </w:r>
      <w:r>
        <w:rPr>
          <w:rFonts w:hint="default" w:ascii="Times New Roman" w:hAnsi="Times New Roman" w:eastAsia="仿宋_GB2312" w:cs="仿宋_GB2312"/>
          <w:bCs/>
          <w:kern w:val="0"/>
          <w:sz w:val="32"/>
          <w:szCs w:val="32"/>
          <w:lang w:val="en-US" w:eastAsia="zh-CN" w:bidi="ar"/>
        </w:rPr>
        <w:t>人</w:t>
      </w:r>
      <w:r>
        <w:rPr>
          <w:rFonts w:hint="eastAsia" w:ascii="Times New Roman" w:hAnsi="Times New Roman" w:cs="仿宋_GB2312"/>
          <w:bCs/>
          <w:kern w:val="0"/>
          <w:sz w:val="32"/>
          <w:szCs w:val="32"/>
          <w:lang w:val="en-US" w:eastAsia="zh-CN" w:bidi="ar"/>
        </w:rPr>
        <w:t>（2564人次）</w:t>
      </w:r>
      <w:r>
        <w:rPr>
          <w:rFonts w:hint="default" w:ascii="Times New Roman" w:hAnsi="Times New Roman" w:eastAsia="仿宋_GB2312" w:cs="仿宋_GB2312"/>
          <w:bCs/>
          <w:kern w:val="0"/>
          <w:sz w:val="32"/>
          <w:szCs w:val="32"/>
          <w:lang w:val="en-US" w:eastAsia="zh-CN" w:bidi="ar"/>
        </w:rPr>
        <w:t>。</w:t>
      </w:r>
    </w:p>
    <w:p w14:paraId="5E7703B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依据《中共中央 国务院关于全面实施预算绩效管理的意见》《项目支出绩效评价管理办法》（财预〔2020〕10号）以及《关于进一步加强和规范喀什地区项目支出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全过程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预算绩效管理结果应用的通知》（喀地财绩〔2022〕2号）文件，绩效评价总分设置为100分，划分为四档：90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（含）-100分为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、80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（含）-90分为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良</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、70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（含）-80分为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中</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、70分以下为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差</w:t>
      </w:r>
      <w:r>
        <w:rPr>
          <w:rFonts w:hint="eastAsia" w:ascii="Times New Roman" w:hAnsi="Times New Roman" w:cs="仿宋_GB2312"/>
          <w:b w:val="0"/>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。经对2025年喀什市精康融合行动项目进行客观评价，最终评分结果：评价总分9</w:t>
      </w:r>
      <w:r>
        <w:rPr>
          <w:rFonts w:hint="eastAsia" w:ascii="Times New Roman" w:hAnsi="Times New Roman"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.5分，绩效等级为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。得分情况见下表，详细评分过程见《2025年喀什市精康融合行动项目绩效评价指标综合评分表》（附件1）：</w:t>
      </w:r>
    </w:p>
    <w:p w14:paraId="32BE0F23">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仿宋_GB2312"/>
          <w:b/>
          <w:bCs/>
          <w:spacing w:val="6"/>
          <w:kern w:val="0"/>
          <w:sz w:val="21"/>
          <w:szCs w:val="21"/>
          <w:highlight w:val="none"/>
          <w:lang w:val="en-US" w:eastAsia="zh-CN" w:bidi="ar-SA"/>
        </w:rPr>
      </w:pPr>
      <w:bookmarkStart w:id="198" w:name="_Toc15104"/>
      <w:r>
        <w:rPr>
          <w:rFonts w:hint="default" w:ascii="Times New Roman" w:hAnsi="Times New Roman" w:eastAsia="方正仿宋_GBK" w:cs="仿宋_GB2312"/>
          <w:b/>
          <w:bCs/>
          <w:spacing w:val="6"/>
          <w:kern w:val="0"/>
          <w:sz w:val="21"/>
          <w:szCs w:val="21"/>
          <w:highlight w:val="none"/>
          <w:lang w:val="en-US" w:eastAsia="zh-CN" w:bidi="ar-SA"/>
        </w:rPr>
        <w:t>2025年喀什市精康融合行动项目绩效评价评分汇总表</w:t>
      </w:r>
      <w:bookmarkEnd w:id="198"/>
    </w:p>
    <w:tbl>
      <w:tblPr>
        <w:tblStyle w:val="13"/>
        <w:tblW w:w="8902" w:type="dxa"/>
        <w:tblInd w:w="0" w:type="dxa"/>
        <w:tblLayout w:type="fixed"/>
        <w:tblCellMar>
          <w:top w:w="0" w:type="dxa"/>
          <w:left w:w="0" w:type="dxa"/>
          <w:bottom w:w="0" w:type="dxa"/>
          <w:right w:w="0" w:type="dxa"/>
        </w:tblCellMar>
      </w:tblPr>
      <w:tblGrid>
        <w:gridCol w:w="2224"/>
        <w:gridCol w:w="2224"/>
        <w:gridCol w:w="2227"/>
        <w:gridCol w:w="2227"/>
      </w:tblGrid>
      <w:tr w14:paraId="6C1C59D2">
        <w:tblPrEx>
          <w:tblCellMar>
            <w:top w:w="0" w:type="dxa"/>
            <w:left w:w="0" w:type="dxa"/>
            <w:bottom w:w="0" w:type="dxa"/>
            <w:right w:w="0" w:type="dxa"/>
          </w:tblCellMar>
        </w:tblPrEx>
        <w:trPr>
          <w:trHeight w:val="454" w:hRule="exact"/>
          <w:tblHeader/>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9398B8D">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eastAsia" w:ascii="Times New Roman" w:hAnsi="Times New Roman" w:eastAsia="仿宋_GB2312" w:cs="仿宋_GB2312"/>
                <w:b/>
                <w:bCs/>
                <w:i w:val="0"/>
                <w:iCs w:val="0"/>
                <w:color w:val="auto"/>
                <w:kern w:val="0"/>
                <w:sz w:val="22"/>
                <w:szCs w:val="22"/>
                <w:highlight w:val="none"/>
                <w:u w:val="none"/>
                <w:lang w:val="en-US" w:eastAsia="zh-CN" w:bidi="ar"/>
              </w:rPr>
            </w:pPr>
            <w:bookmarkStart w:id="199" w:name="_Toc2125"/>
            <w:bookmarkStart w:id="200" w:name="_Toc29827"/>
            <w:bookmarkStart w:id="201" w:name="_Toc9465"/>
            <w:bookmarkStart w:id="202" w:name="_Toc32500"/>
            <w:bookmarkStart w:id="203" w:name="_Toc11432"/>
            <w:bookmarkStart w:id="204" w:name="_Toc20549"/>
            <w:bookmarkStart w:id="205" w:name="_Toc19688"/>
            <w:bookmarkStart w:id="206" w:name="_Toc21761"/>
            <w:bookmarkStart w:id="207" w:name="_Toc17717"/>
            <w:bookmarkStart w:id="208" w:name="_Toc17068"/>
            <w:bookmarkStart w:id="209" w:name="_Toc21540"/>
            <w:bookmarkStart w:id="210" w:name="_Toc22730"/>
            <w:bookmarkStart w:id="211" w:name="_Toc14557"/>
            <w:bookmarkStart w:id="212" w:name="_Toc31720"/>
            <w:bookmarkStart w:id="213" w:name="_Toc2673"/>
            <w:bookmarkStart w:id="214" w:name="_Toc18426"/>
            <w:bookmarkStart w:id="215" w:name="_Toc140231629"/>
            <w:bookmarkStart w:id="216" w:name="_Toc16091"/>
            <w:bookmarkStart w:id="217" w:name="_Toc12634"/>
            <w:r>
              <w:rPr>
                <w:rFonts w:hint="eastAsia" w:ascii="Times New Roman" w:hAnsi="Times New Roman" w:eastAsia="仿宋_GB2312" w:cs="仿宋_GB2312"/>
                <w:b/>
                <w:bCs/>
                <w:i w:val="0"/>
                <w:iCs w:val="0"/>
                <w:color w:val="auto"/>
                <w:kern w:val="0"/>
                <w:sz w:val="22"/>
                <w:szCs w:val="22"/>
                <w:highlight w:val="none"/>
                <w:u w:val="none"/>
                <w:lang w:val="en-US" w:eastAsia="zh-CN" w:bidi="ar"/>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4E673F5">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eastAsia" w:ascii="Times New Roman" w:hAnsi="Times New Roman" w:eastAsia="仿宋_GB2312" w:cs="仿宋_GB2312"/>
                <w:b/>
                <w:bCs/>
                <w:i w:val="0"/>
                <w:iCs w:val="0"/>
                <w:color w:val="auto"/>
                <w:kern w:val="0"/>
                <w:sz w:val="22"/>
                <w:szCs w:val="22"/>
                <w:highlight w:val="none"/>
                <w:u w:val="none"/>
                <w:lang w:val="en-US" w:eastAsia="zh-CN" w:bidi="ar"/>
              </w:rPr>
            </w:pPr>
            <w:r>
              <w:rPr>
                <w:rFonts w:hint="eastAsia" w:ascii="Times New Roman" w:hAnsi="Times New Roman" w:eastAsia="仿宋_GB2312" w:cs="仿宋_GB2312"/>
                <w:b/>
                <w:bCs/>
                <w:i w:val="0"/>
                <w:iCs w:val="0"/>
                <w:color w:val="auto"/>
                <w:kern w:val="0"/>
                <w:sz w:val="22"/>
                <w:szCs w:val="22"/>
                <w:highlight w:val="none"/>
                <w:u w:val="none"/>
                <w:lang w:val="en-US" w:eastAsia="zh-CN" w:bidi="ar"/>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58FBB77">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eastAsia" w:ascii="Times New Roman" w:hAnsi="Times New Roman" w:eastAsia="仿宋_GB2312" w:cs="仿宋_GB2312"/>
                <w:b/>
                <w:bCs/>
                <w:i w:val="0"/>
                <w:iCs w:val="0"/>
                <w:color w:val="auto"/>
                <w:kern w:val="0"/>
                <w:sz w:val="22"/>
                <w:szCs w:val="22"/>
                <w:highlight w:val="none"/>
                <w:u w:val="none"/>
                <w:lang w:val="en-US" w:eastAsia="zh-CN" w:bidi="ar"/>
              </w:rPr>
            </w:pPr>
            <w:r>
              <w:rPr>
                <w:rFonts w:hint="eastAsia" w:ascii="Times New Roman" w:hAnsi="Times New Roman" w:eastAsia="仿宋_GB2312" w:cs="仿宋_GB2312"/>
                <w:b/>
                <w:bCs/>
                <w:i w:val="0"/>
                <w:iCs w:val="0"/>
                <w:color w:val="auto"/>
                <w:kern w:val="0"/>
                <w:sz w:val="22"/>
                <w:szCs w:val="22"/>
                <w:highlight w:val="none"/>
                <w:u w:val="none"/>
                <w:lang w:val="en-US" w:eastAsia="zh-CN" w:bidi="ar"/>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D89644">
            <w:pPr>
              <w:pStyle w:val="1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rPr>
                <w:rFonts w:hint="eastAsia" w:ascii="Times New Roman" w:hAnsi="Times New Roman" w:eastAsia="仿宋_GB2312" w:cs="仿宋_GB2312"/>
                <w:b/>
                <w:bCs/>
                <w:i w:val="0"/>
                <w:iCs w:val="0"/>
                <w:color w:val="auto"/>
                <w:kern w:val="0"/>
                <w:sz w:val="22"/>
                <w:szCs w:val="22"/>
                <w:highlight w:val="none"/>
                <w:u w:val="none"/>
                <w:lang w:val="en-US" w:eastAsia="zh-CN" w:bidi="ar"/>
              </w:rPr>
            </w:pPr>
            <w:r>
              <w:rPr>
                <w:rFonts w:hint="eastAsia" w:ascii="Times New Roman" w:hAnsi="Times New Roman" w:eastAsia="仿宋_GB2312" w:cs="仿宋_GB2312"/>
                <w:b/>
                <w:bCs/>
                <w:i w:val="0"/>
                <w:iCs w:val="0"/>
                <w:color w:val="auto"/>
                <w:kern w:val="0"/>
                <w:sz w:val="22"/>
                <w:szCs w:val="22"/>
                <w:highlight w:val="none"/>
                <w:u w:val="none"/>
                <w:lang w:val="en-US" w:eastAsia="zh-CN" w:bidi="ar"/>
              </w:rPr>
              <w:t>得分率</w:t>
            </w:r>
          </w:p>
        </w:tc>
      </w:tr>
      <w:tr w14:paraId="17187ED8">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33A4D7">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决策指标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E508D4E">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20.00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A9C7F4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w:t>
            </w:r>
            <w:r>
              <w:rPr>
                <w:rFonts w:hint="eastAsia" w:ascii="Times New Roman" w:hAnsi="Times New Roman" w:cs="仿宋_GB2312"/>
                <w:color w:val="auto"/>
                <w:kern w:val="0"/>
                <w:sz w:val="22"/>
                <w:szCs w:val="22"/>
                <w:highlight w:val="none"/>
                <w:lang w:val="en-US" w:eastAsia="zh-CN" w:bidi="en-US"/>
              </w:rPr>
              <w:t>8</w:t>
            </w:r>
            <w:r>
              <w:rPr>
                <w:rFonts w:hint="default" w:ascii="Times New Roman" w:hAnsi="Times New Roman" w:eastAsia="仿宋_GB2312" w:cs="仿宋_GB2312"/>
                <w:color w:val="auto"/>
                <w:kern w:val="0"/>
                <w:sz w:val="22"/>
                <w:szCs w:val="22"/>
                <w:highlight w:val="none"/>
                <w:lang w:val="en-US" w:eastAsia="zh-CN" w:bidi="en-US"/>
              </w:rPr>
              <w:t>.00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49A18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0</w:t>
            </w:r>
            <w:r>
              <w:rPr>
                <w:rFonts w:hint="default" w:ascii="Times New Roman" w:hAnsi="Times New Roman" w:eastAsia="仿宋_GB2312" w:cs="仿宋_GB2312"/>
                <w:color w:val="auto"/>
                <w:kern w:val="0"/>
                <w:sz w:val="22"/>
                <w:szCs w:val="22"/>
                <w:highlight w:val="none"/>
                <w:lang w:val="en-US" w:eastAsia="zh-CN" w:bidi="en-US"/>
              </w:rPr>
              <w:t>.00%</w:t>
            </w:r>
          </w:p>
        </w:tc>
      </w:tr>
      <w:tr w14:paraId="3B020F2E">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113665">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过程指标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5322D6">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30.00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75C58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29.50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F002B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98.33%</w:t>
            </w:r>
          </w:p>
        </w:tc>
      </w:tr>
      <w:tr w14:paraId="501F895E">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2BB310">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产出指标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5AAB9EE">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bidi="en-US"/>
              </w:rPr>
            </w:pPr>
            <w:r>
              <w:rPr>
                <w:rFonts w:hint="default" w:ascii="Times New Roman" w:hAnsi="Times New Roman" w:eastAsia="仿宋_GB2312" w:cs="仿宋_GB2312"/>
                <w:color w:val="auto"/>
                <w:kern w:val="0"/>
                <w:sz w:val="22"/>
                <w:szCs w:val="22"/>
                <w:highlight w:val="none"/>
                <w:lang w:val="en-US" w:eastAsia="zh-CN" w:bidi="en-US"/>
              </w:rPr>
              <w:t>35</w:t>
            </w:r>
            <w:r>
              <w:rPr>
                <w:rFonts w:hint="default" w:ascii="Times New Roman" w:hAnsi="Times New Roman" w:eastAsia="仿宋_GB2312" w:cs="仿宋_GB2312"/>
                <w:color w:val="auto"/>
                <w:kern w:val="0"/>
                <w:sz w:val="22"/>
                <w:szCs w:val="22"/>
                <w:highlight w:val="none"/>
                <w:lang w:bidi="en-US"/>
              </w:rPr>
              <w:t>.00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E4D5B7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32.00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22CB58">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91.43%</w:t>
            </w:r>
          </w:p>
        </w:tc>
      </w:tr>
      <w:tr w14:paraId="219E80B2">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1B3FA3C">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效益指标</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66AA73">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15.00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5421DA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15.00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A6D77D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100.00%</w:t>
            </w:r>
          </w:p>
        </w:tc>
      </w:tr>
      <w:tr w14:paraId="76CFEB45">
        <w:tblPrEx>
          <w:tblCellMar>
            <w:top w:w="0" w:type="dxa"/>
            <w:left w:w="0" w:type="dxa"/>
            <w:bottom w:w="0" w:type="dxa"/>
            <w:right w:w="0" w:type="dxa"/>
          </w:tblCellMar>
        </w:tblPrEx>
        <w:trPr>
          <w:trHeight w:val="454" w:hRule="exact"/>
        </w:trPr>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FA9F023">
            <w:pPr>
              <w:pStyle w:val="17"/>
              <w:keepNext w:val="0"/>
              <w:keepLines w:val="0"/>
              <w:pageBreakBefore w:val="0"/>
              <w:widowControl w:val="0"/>
              <w:kinsoku/>
              <w:wordWrap/>
              <w:overflowPunct/>
              <w:topLinePunct w:val="0"/>
              <w:autoSpaceDE/>
              <w:autoSpaceDN/>
              <w:bidi w:val="0"/>
              <w:adjustRightInd/>
              <w:snapToGrid/>
              <w:spacing w:line="400" w:lineRule="exact"/>
              <w:ind w:left="0" w:leftChars="0" w:firstLine="200"/>
              <w:jc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合计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AC3060">
            <w:pPr>
              <w:keepNext w:val="0"/>
              <w:keepLines w:val="0"/>
              <w:pageBreakBefore w:val="0"/>
              <w:widowControl w:val="0"/>
              <w:kinsoku/>
              <w:wordWrap/>
              <w:overflowPunct/>
              <w:topLinePunct w:val="0"/>
              <w:autoSpaceDE/>
              <w:autoSpaceDN/>
              <w:bidi w:val="0"/>
              <w:adjustRightInd/>
              <w:snapToGrid/>
              <w:spacing w:line="400" w:lineRule="exact"/>
              <w:ind w:left="0" w:leftChars="0"/>
              <w:jc w:val="center"/>
              <w:rPr>
                <w:rFonts w:hint="default" w:ascii="Times New Roman" w:hAnsi="Times New Roman" w:eastAsia="仿宋_GB2312" w:cs="仿宋_GB2312"/>
                <w:color w:val="auto"/>
                <w:kern w:val="0"/>
                <w:sz w:val="22"/>
                <w:szCs w:val="22"/>
                <w:highlight w:val="none"/>
                <w:lang w:bidi="en-US"/>
              </w:rPr>
            </w:pPr>
            <w:r>
              <w:rPr>
                <w:rFonts w:hint="default" w:ascii="Times New Roman" w:hAnsi="Times New Roman" w:eastAsia="仿宋_GB2312" w:cs="仿宋_GB2312"/>
                <w:color w:val="auto"/>
                <w:kern w:val="0"/>
                <w:sz w:val="22"/>
                <w:szCs w:val="22"/>
                <w:highlight w:val="none"/>
                <w:lang w:bidi="en-US"/>
              </w:rPr>
              <w:t>100.00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D0970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4</w:t>
            </w:r>
            <w:r>
              <w:rPr>
                <w:rFonts w:hint="default" w:ascii="Times New Roman" w:hAnsi="Times New Roman" w:eastAsia="仿宋_GB2312" w:cs="仿宋_GB2312"/>
                <w:color w:val="auto"/>
                <w:kern w:val="0"/>
                <w:sz w:val="22"/>
                <w:szCs w:val="22"/>
                <w:highlight w:val="none"/>
                <w:lang w:val="en-US" w:eastAsia="zh-CN" w:bidi="en-US"/>
              </w:rPr>
              <w:t>.50</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9F7ED0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jc w:val="center"/>
              <w:textAlignment w:val="center"/>
              <w:rPr>
                <w:rFonts w:hint="default" w:ascii="Times New Roman" w:hAnsi="Times New Roman" w:eastAsia="仿宋_GB2312" w:cs="仿宋_GB2312"/>
                <w:color w:val="auto"/>
                <w:kern w:val="0"/>
                <w:sz w:val="22"/>
                <w:szCs w:val="22"/>
                <w:highlight w:val="none"/>
                <w:lang w:val="en-US" w:eastAsia="zh-CN" w:bidi="en-US"/>
              </w:rPr>
            </w:pPr>
            <w:r>
              <w:rPr>
                <w:rFonts w:hint="default" w:ascii="Times New Roman" w:hAnsi="Times New Roman" w:eastAsia="仿宋_GB2312" w:cs="仿宋_GB2312"/>
                <w:color w:val="auto"/>
                <w:kern w:val="0"/>
                <w:sz w:val="22"/>
                <w:szCs w:val="22"/>
                <w:highlight w:val="none"/>
                <w:lang w:val="en-US" w:eastAsia="zh-CN" w:bidi="en-US"/>
              </w:rPr>
              <w:t>9</w:t>
            </w:r>
            <w:r>
              <w:rPr>
                <w:rFonts w:hint="eastAsia" w:ascii="Times New Roman" w:hAnsi="Times New Roman" w:cs="仿宋_GB2312"/>
                <w:color w:val="auto"/>
                <w:kern w:val="0"/>
                <w:sz w:val="22"/>
                <w:szCs w:val="22"/>
                <w:highlight w:val="none"/>
                <w:lang w:val="en-US" w:eastAsia="zh-CN" w:bidi="en-US"/>
              </w:rPr>
              <w:t>4</w:t>
            </w:r>
            <w:r>
              <w:rPr>
                <w:rFonts w:hint="default" w:ascii="Times New Roman" w:hAnsi="Times New Roman" w:eastAsia="仿宋_GB2312" w:cs="仿宋_GB2312"/>
                <w:color w:val="auto"/>
                <w:kern w:val="0"/>
                <w:sz w:val="22"/>
                <w:szCs w:val="22"/>
                <w:highlight w:val="none"/>
                <w:lang w:val="en-US" w:eastAsia="zh-CN" w:bidi="en-US"/>
              </w:rPr>
              <w:t>.50%</w:t>
            </w:r>
          </w:p>
        </w:tc>
      </w:tr>
    </w:tbl>
    <w:p w14:paraId="03E6E48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本项目绩效评价结果为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，建议根据《关于进一步加强和规范喀什地区项目支出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全过程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预算管理结果应用的通知》（喀地财绩〔2022〕2号）文件规定，对绩效评价结果为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：属延续性项目的，在下一年度部门预算编制中，可优先予以安排。</w:t>
      </w:r>
    </w:p>
    <w:p w14:paraId="073B425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218" w:name="_Toc31397"/>
      <w:bookmarkStart w:id="219" w:name="_Toc175045250"/>
      <w:r>
        <w:rPr>
          <w:rFonts w:hint="default" w:ascii="Times New Roman" w:hAnsi="Times New Roman" w:eastAsia="黑体" w:cs="仿宋_GB2312"/>
          <w:color w:val="auto"/>
          <w:kern w:val="0"/>
          <w:sz w:val="32"/>
          <w:szCs w:val="32"/>
          <w:highlight w:val="none"/>
          <w:lang w:bidi="en-US"/>
        </w:rPr>
        <w:t>四、绩效评价指标分析</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076D87C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rPr>
      </w:pPr>
      <w:bookmarkStart w:id="220" w:name="_Toc18155"/>
      <w:bookmarkStart w:id="221" w:name="_Toc3169"/>
      <w:bookmarkStart w:id="222" w:name="_Toc23934"/>
      <w:bookmarkStart w:id="223" w:name="_Toc5341"/>
      <w:bookmarkStart w:id="224" w:name="_Toc20680"/>
      <w:bookmarkStart w:id="225" w:name="_Toc9288"/>
      <w:bookmarkStart w:id="226" w:name="_Toc4039"/>
      <w:bookmarkStart w:id="227" w:name="_Toc13790"/>
      <w:bookmarkStart w:id="228" w:name="_Toc7717"/>
      <w:bookmarkStart w:id="229" w:name="_Toc22216"/>
      <w:bookmarkStart w:id="230" w:name="_Toc12775"/>
      <w:bookmarkStart w:id="231" w:name="_Toc31244"/>
      <w:bookmarkStart w:id="232" w:name="_Toc26422"/>
      <w:bookmarkStart w:id="233" w:name="_Toc4585"/>
      <w:bookmarkStart w:id="234" w:name="_Toc30014"/>
      <w:bookmarkStart w:id="235" w:name="_Toc2708"/>
      <w:bookmarkStart w:id="236" w:name="_Toc14209"/>
      <w:bookmarkStart w:id="237" w:name="_Toc3622"/>
      <w:bookmarkStart w:id="238" w:name="_Toc21666"/>
      <w:bookmarkStart w:id="239" w:name="_Toc4115"/>
      <w:bookmarkStart w:id="240" w:name="_Toc26594"/>
      <w:bookmarkStart w:id="241" w:name="_Toc19846"/>
      <w:bookmarkStart w:id="242" w:name="_Toc19320"/>
      <w:bookmarkStart w:id="243" w:name="_Toc8467"/>
      <w:bookmarkStart w:id="244" w:name="_Toc5673"/>
      <w:bookmarkStart w:id="245" w:name="_Toc31171"/>
      <w:bookmarkStart w:id="246" w:name="_Toc26010"/>
      <w:bookmarkStart w:id="247" w:name="_Toc4300"/>
      <w:bookmarkStart w:id="248" w:name="_Toc22642"/>
      <w:bookmarkStart w:id="249" w:name="_Toc10044"/>
      <w:bookmarkStart w:id="250" w:name="_Toc21609"/>
      <w:bookmarkStart w:id="251" w:name="_Toc16764"/>
      <w:bookmarkStart w:id="252" w:name="_Toc175045251"/>
      <w:bookmarkStart w:id="253" w:name="_Toc9176"/>
      <w:bookmarkStart w:id="254" w:name="_Toc2664"/>
      <w:bookmarkStart w:id="255" w:name="_Toc12666"/>
      <w:bookmarkStart w:id="256" w:name="_Toc23635"/>
      <w:bookmarkStart w:id="257" w:name="_Toc29198"/>
      <w:bookmarkStart w:id="258" w:name="_Toc20420"/>
      <w:bookmarkStart w:id="259" w:name="_Toc2787"/>
      <w:bookmarkStart w:id="260" w:name="_Toc11508"/>
      <w:bookmarkStart w:id="261" w:name="_Toc140231630"/>
      <w:bookmarkStart w:id="262" w:name="_Toc1705"/>
      <w:bookmarkStart w:id="263" w:name="_Toc22261"/>
      <w:bookmarkStart w:id="264" w:name="_Toc5626"/>
      <w:bookmarkStart w:id="265" w:name="_Toc16209"/>
      <w:r>
        <w:rPr>
          <w:rFonts w:hint="default" w:ascii="Times New Roman" w:hAnsi="Times New Roman" w:eastAsia="楷体" w:cs="仿宋_GB2312"/>
          <w:b/>
          <w:bCs/>
          <w:color w:val="auto"/>
          <w:sz w:val="32"/>
          <w:szCs w:val="32"/>
          <w:highlight w:val="none"/>
        </w:rPr>
        <w:t>（一）项目决策情况（分值</w:t>
      </w:r>
      <w:r>
        <w:rPr>
          <w:rFonts w:hint="eastAsia" w:ascii="Times New Roman" w:hAnsi="Times New Roman" w:eastAsia="楷体" w:cs="仿宋_GB2312"/>
          <w:b/>
          <w:bCs/>
          <w:color w:val="auto"/>
          <w:sz w:val="32"/>
          <w:szCs w:val="32"/>
          <w:highlight w:val="none"/>
          <w:lang w:val="en-US" w:eastAsia="zh-CN"/>
        </w:rPr>
        <w:t>20</w:t>
      </w:r>
      <w:r>
        <w:rPr>
          <w:rFonts w:hint="default" w:ascii="Times New Roman" w:hAnsi="Times New Roman" w:eastAsia="楷体" w:cs="仿宋_GB2312"/>
          <w:b/>
          <w:bCs/>
          <w:color w:val="auto"/>
          <w:sz w:val="32"/>
          <w:szCs w:val="32"/>
          <w:highlight w:val="none"/>
        </w:rPr>
        <w:t>分，得分</w:t>
      </w:r>
      <w:r>
        <w:rPr>
          <w:rFonts w:hint="default" w:ascii="Times New Roman" w:hAnsi="Times New Roman" w:eastAsia="楷体" w:cs="仿宋_GB2312"/>
          <w:b/>
          <w:bCs/>
          <w:color w:val="auto"/>
          <w:sz w:val="32"/>
          <w:szCs w:val="32"/>
          <w:highlight w:val="none"/>
          <w:lang w:val="en-US" w:eastAsia="zh-CN"/>
        </w:rPr>
        <w:t>1</w:t>
      </w:r>
      <w:r>
        <w:rPr>
          <w:rFonts w:hint="eastAsia" w:ascii="Times New Roman" w:hAnsi="Times New Roman" w:eastAsia="楷体" w:cs="仿宋_GB2312"/>
          <w:b/>
          <w:bCs/>
          <w:color w:val="auto"/>
          <w:sz w:val="32"/>
          <w:szCs w:val="32"/>
          <w:highlight w:val="none"/>
          <w:lang w:val="en-US" w:eastAsia="zh-CN"/>
        </w:rPr>
        <w:t>8</w:t>
      </w:r>
      <w:r>
        <w:rPr>
          <w:rFonts w:hint="default" w:ascii="Times New Roman" w:hAnsi="Times New Roman" w:eastAsia="楷体" w:cs="仿宋_GB2312"/>
          <w:b/>
          <w:bCs/>
          <w:color w:val="auto"/>
          <w:sz w:val="32"/>
          <w:szCs w:val="32"/>
          <w:highlight w:val="none"/>
        </w:rPr>
        <w:t>分）</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023FD5B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1.项目立项（分值8分，得分8分）</w:t>
      </w:r>
    </w:p>
    <w:p w14:paraId="6EFCB49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（1）立项依据充分性（分值4分，得分4分）</w:t>
      </w:r>
    </w:p>
    <w:p w14:paraId="5C4B5ED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根据《关于开展</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精康融合行动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的通知》（民发〔2022〕104号），《关于提前下达2025年自治区彩票公益金支持残疾人福利项目补助资金预算的通知》（喀地财社〔2024〕84号），结合《关于印发〈喀什市民政局职能配置、内设机构和人员编制规定〉的通知》（喀市党办字〔2024〕11号）相关职责规定，该项目立项与部门职责范围相符；围绕喀什市民政局2025年度工作重点和工作任务制定经费预算，立项依据充分，符合相关政策，未与相关部门同类项目或部门内部相关项目重复，根据评分标准，该指标不扣分，得4分。</w:t>
      </w:r>
    </w:p>
    <w:p w14:paraId="4FB5870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（2）立项程序规范性（分值4分，得分4分）</w:t>
      </w:r>
    </w:p>
    <w:p w14:paraId="7E7823D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关于提前下达2025年自治区彩票公益金支持残疾人福利项目补助资金预算的通知》（喀地财社〔2024〕84号）《喀什市民政局财务支出管理制度》《2025年喀什市精康融合行动项目实施方案》等，根据集体决策编制工作计划和经费预算，该项目有审批文件材料及集体决策等相关资料，根据评分标准，该指标不扣分，得4分。</w:t>
      </w:r>
    </w:p>
    <w:p w14:paraId="13D8C9E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所述，项目立项得8分。</w:t>
      </w:r>
    </w:p>
    <w:p w14:paraId="7342598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2.绩效目标（分值</w:t>
      </w:r>
      <w:r>
        <w:rPr>
          <w:rFonts w:hint="eastAsia" w:ascii="Times New Roman" w:hAnsi="Times New Roman" w:eastAsia="仿宋_GB2312" w:cs="仿宋_GB2312"/>
          <w:b/>
          <w:bCs w:val="0"/>
          <w:kern w:val="0"/>
          <w:sz w:val="32"/>
          <w:szCs w:val="32"/>
          <w:lang w:val="en-US" w:eastAsia="zh-CN" w:bidi="ar"/>
        </w:rPr>
        <w:t>6</w:t>
      </w:r>
      <w:r>
        <w:rPr>
          <w:rFonts w:hint="default" w:ascii="Times New Roman" w:hAnsi="Times New Roman" w:eastAsia="仿宋_GB2312" w:cs="仿宋_GB2312"/>
          <w:b/>
          <w:bCs w:val="0"/>
          <w:kern w:val="0"/>
          <w:sz w:val="32"/>
          <w:szCs w:val="32"/>
          <w:lang w:val="en-US" w:eastAsia="zh-CN" w:bidi="ar"/>
        </w:rPr>
        <w:t>分，得分</w:t>
      </w:r>
      <w:r>
        <w:rPr>
          <w:rFonts w:hint="eastAsia" w:ascii="Times New Roman" w:hAnsi="Times New Roman" w:eastAsia="仿宋_GB2312" w:cs="仿宋_GB2312"/>
          <w:b/>
          <w:bCs w:val="0"/>
          <w:kern w:val="0"/>
          <w:sz w:val="32"/>
          <w:szCs w:val="32"/>
          <w:lang w:val="en-US" w:eastAsia="zh-CN" w:bidi="ar"/>
        </w:rPr>
        <w:t>5</w:t>
      </w:r>
      <w:r>
        <w:rPr>
          <w:rFonts w:hint="default" w:ascii="Times New Roman" w:hAnsi="Times New Roman" w:eastAsia="仿宋_GB2312" w:cs="仿宋_GB2312"/>
          <w:b/>
          <w:bCs w:val="0"/>
          <w:kern w:val="0"/>
          <w:sz w:val="32"/>
          <w:szCs w:val="32"/>
          <w:lang w:val="en-US" w:eastAsia="zh-CN" w:bidi="ar"/>
        </w:rPr>
        <w:t>分）</w:t>
      </w:r>
    </w:p>
    <w:p w14:paraId="67AB8FB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（1）绩效目标合理性（分值3分，得分2分）</w:t>
      </w:r>
    </w:p>
    <w:p w14:paraId="1E84679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bookmarkStart w:id="266" w:name="_Toc20896"/>
      <w:r>
        <w:rPr>
          <w:rFonts w:hint="default" w:ascii="Times New Roman" w:hAnsi="Times New Roman" w:eastAsia="仿宋_GB2312" w:cs="仿宋_GB2312"/>
          <w:bCs/>
          <w:kern w:val="0"/>
          <w:sz w:val="32"/>
          <w:szCs w:val="32"/>
          <w:lang w:val="en-US" w:eastAsia="zh-CN" w:bidi="ar"/>
        </w:rPr>
        <w:t>该项目提供了完整的《项目支出绩效目标表》，并制定了实施方案，该项目绩效目标与实际工作内容具有相关性，明确了总体思路及目标项目预期产出和效益基本符合正常的业绩水平，截至2025年12月31日，项目资金支出与预算确定的项目投资额20万元相匹配，本项目实施方案计划</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服务精神障碍患者人数100人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，实际服务精神障碍患者342人，实际完成值与预期值差额较大；根据评分标准，该指标扣1分，得2分。</w:t>
      </w:r>
      <w:bookmarkEnd w:id="266"/>
    </w:p>
    <w:p w14:paraId="79880F7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（2）绩效目标明确性（分值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1A9F844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2025年政府购买精康融合行动服务项目支出绩效目标表》《2025年政府购买精康融合行动服务项目实施方案》，该项目明确了总体思路及目标、并对任务进行了详细分解，对目标进行了细化，将项目绩效目标分解为具体的绩效指标，其中，一级指标4个，二级指标6个，三级指标14个，具体指标内容与项目实际情况相符，项目绩效目标与实际工作内容具有相关性，项目目标任务数与实际相对应，根据评分标准，该指标不扣分，该指标得3分。</w:t>
      </w:r>
    </w:p>
    <w:p w14:paraId="2CED050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所述，绩效目标</w:t>
      </w:r>
      <w:r>
        <w:rPr>
          <w:rFonts w:hint="eastAsia" w:ascii="Times New Roman" w:hAnsi="Times New Roman" w:eastAsia="仿宋_GB2312" w:cs="仿宋_GB2312"/>
          <w:bCs/>
          <w:kern w:val="0"/>
          <w:sz w:val="32"/>
          <w:szCs w:val="32"/>
          <w:lang w:val="en-US" w:eastAsia="zh-CN" w:bidi="ar"/>
        </w:rPr>
        <w:t>扣1分，</w:t>
      </w:r>
      <w:r>
        <w:rPr>
          <w:rFonts w:hint="default" w:ascii="Times New Roman" w:hAnsi="Times New Roman" w:eastAsia="仿宋_GB2312" w:cs="仿宋_GB2312"/>
          <w:bCs/>
          <w:kern w:val="0"/>
          <w:sz w:val="32"/>
          <w:szCs w:val="32"/>
          <w:lang w:val="en-US" w:eastAsia="zh-CN" w:bidi="ar"/>
        </w:rPr>
        <w:t>得</w:t>
      </w:r>
      <w:r>
        <w:rPr>
          <w:rFonts w:hint="eastAsia" w:ascii="Times New Roman" w:hAnsi="Times New Roman" w:eastAsia="仿宋_GB2312" w:cs="仿宋_GB2312"/>
          <w:bCs/>
          <w:kern w:val="0"/>
          <w:sz w:val="32"/>
          <w:szCs w:val="32"/>
          <w:lang w:val="en-US" w:eastAsia="zh-CN" w:bidi="ar"/>
        </w:rPr>
        <w:t>5分。</w:t>
      </w:r>
    </w:p>
    <w:p w14:paraId="15C3FC2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3.资金投入（分值</w:t>
      </w:r>
      <w:r>
        <w:rPr>
          <w:rFonts w:hint="eastAsia" w:ascii="Times New Roman" w:hAnsi="Times New Roman" w:eastAsia="仿宋_GB2312" w:cs="仿宋_GB2312"/>
          <w:b/>
          <w:bCs w:val="0"/>
          <w:kern w:val="0"/>
          <w:sz w:val="32"/>
          <w:szCs w:val="32"/>
          <w:lang w:val="en-US" w:eastAsia="zh-CN" w:bidi="ar"/>
        </w:rPr>
        <w:t>6</w:t>
      </w:r>
      <w:r>
        <w:rPr>
          <w:rFonts w:hint="default" w:ascii="Times New Roman" w:hAnsi="Times New Roman" w:eastAsia="仿宋_GB2312" w:cs="仿宋_GB2312"/>
          <w:b/>
          <w:bCs w:val="0"/>
          <w:kern w:val="0"/>
          <w:sz w:val="32"/>
          <w:szCs w:val="32"/>
          <w:lang w:val="en-US" w:eastAsia="zh-CN" w:bidi="ar"/>
        </w:rPr>
        <w:t>分，得分</w:t>
      </w:r>
      <w:r>
        <w:rPr>
          <w:rFonts w:hint="eastAsia" w:ascii="Times New Roman" w:hAnsi="Times New Roman" w:cs="仿宋_GB2312"/>
          <w:b/>
          <w:bCs w:val="0"/>
          <w:kern w:val="0"/>
          <w:sz w:val="32"/>
          <w:szCs w:val="32"/>
          <w:lang w:val="en-US" w:eastAsia="zh-CN" w:bidi="ar"/>
        </w:rPr>
        <w:t>5</w:t>
      </w:r>
      <w:r>
        <w:rPr>
          <w:rFonts w:hint="default" w:ascii="Times New Roman" w:hAnsi="Times New Roman" w:eastAsia="仿宋_GB2312" w:cs="仿宋_GB2312"/>
          <w:b/>
          <w:bCs w:val="0"/>
          <w:kern w:val="0"/>
          <w:sz w:val="32"/>
          <w:szCs w:val="32"/>
          <w:lang w:val="en-US" w:eastAsia="zh-CN" w:bidi="ar"/>
        </w:rPr>
        <w:t>分）</w:t>
      </w:r>
    </w:p>
    <w:p w14:paraId="0B8D133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（1）预算编制科学性</w:t>
      </w:r>
      <w:r>
        <w:rPr>
          <w:rFonts w:hint="default" w:ascii="Times New Roman" w:hAnsi="Times New Roman" w:eastAsia="仿宋_GB2312" w:cs="仿宋_GB2312"/>
          <w:bCs/>
          <w:kern w:val="0"/>
          <w:sz w:val="32"/>
          <w:szCs w:val="32"/>
          <w:lang w:val="en-US" w:eastAsia="zh-CN" w:bidi="ar"/>
        </w:rPr>
        <w:t>（分值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4B3062A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经查阅《关于开展</w:t>
      </w:r>
      <w:r>
        <w:rPr>
          <w:rFonts w:hint="eastAsia" w:ascii="Times New Roman" w:hAnsi="Times New Roman" w:cs="仿宋_GB2312"/>
          <w:bCs/>
          <w:kern w:val="0"/>
          <w:sz w:val="32"/>
          <w:szCs w:val="32"/>
          <w:lang w:val="en-US" w:eastAsia="zh-CN" w:bidi="ar"/>
        </w:rPr>
        <w:t>“</w:t>
      </w:r>
      <w:r>
        <w:rPr>
          <w:rFonts w:hint="eastAsia" w:ascii="Times New Roman" w:hAnsi="Times New Roman" w:eastAsia="仿宋_GB2312" w:cs="仿宋_GB2312"/>
          <w:bCs/>
          <w:kern w:val="0"/>
          <w:sz w:val="32"/>
          <w:szCs w:val="32"/>
          <w:lang w:val="en-US" w:eastAsia="zh-CN" w:bidi="ar"/>
        </w:rPr>
        <w:t>精康融合行动”的通知》（民发〔2022〕104号），《关于提前下达2025年自治区彩票公益金支持残疾人福利项目补助资金预算的通知》（喀地财社〔2024〕84号）的通知，预算编制经过科学论证，预算内容与项目内容匹配，完成率为100%，预算额度测算依据充分，预算确定的项目投资额或资金量与实际工作任务匹配，但服务精神障碍患者实际完成值与预期值严重偏离，项目前期论证不足、实施方案编制不科学。根据评分标准，该指标扣1分，得2分。</w:t>
      </w:r>
    </w:p>
    <w:p w14:paraId="1AAE1F1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资金分配合理性（分值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658B7DA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关于提前下达2025年自治区彩票公益金支持残疾人福利项目补助资金预算的通知》（喀地财社〔2024〕84号）文件，本项目关于购买精康融合行动服务成本预算资金分配依据充分，资金分配额度合理与实际相适应，根据评分标准，该指标不扣分，得</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0154E59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综上所述，资金投入</w:t>
      </w:r>
      <w:r>
        <w:rPr>
          <w:rFonts w:hint="eastAsia" w:ascii="Times New Roman" w:hAnsi="Times New Roman" w:cs="仿宋_GB2312"/>
          <w:bCs/>
          <w:kern w:val="0"/>
          <w:sz w:val="32"/>
          <w:szCs w:val="32"/>
          <w:lang w:val="en-US" w:eastAsia="zh-CN" w:bidi="ar"/>
        </w:rPr>
        <w:t>扣1分，</w:t>
      </w:r>
      <w:r>
        <w:rPr>
          <w:rFonts w:hint="eastAsia" w:ascii="Times New Roman" w:hAnsi="Times New Roman" w:eastAsia="仿宋_GB2312" w:cs="仿宋_GB2312"/>
          <w:bCs/>
          <w:kern w:val="0"/>
          <w:sz w:val="32"/>
          <w:szCs w:val="32"/>
          <w:lang w:val="en-US" w:eastAsia="zh-CN" w:bidi="ar"/>
        </w:rPr>
        <w:t>得</w:t>
      </w:r>
      <w:r>
        <w:rPr>
          <w:rFonts w:hint="eastAsia" w:ascii="Times New Roman" w:hAnsi="Times New Roman" w:cs="仿宋_GB2312"/>
          <w:bCs/>
          <w:kern w:val="0"/>
          <w:sz w:val="32"/>
          <w:szCs w:val="32"/>
          <w:lang w:val="en-US" w:eastAsia="zh-CN" w:bidi="ar"/>
        </w:rPr>
        <w:t>5</w:t>
      </w:r>
      <w:r>
        <w:rPr>
          <w:rFonts w:hint="eastAsia" w:ascii="Times New Roman" w:hAnsi="Times New Roman" w:eastAsia="仿宋_GB2312" w:cs="仿宋_GB2312"/>
          <w:bCs/>
          <w:kern w:val="0"/>
          <w:sz w:val="32"/>
          <w:szCs w:val="32"/>
          <w:lang w:val="en-US" w:eastAsia="zh-CN" w:bidi="ar"/>
        </w:rPr>
        <w:t>分。</w:t>
      </w:r>
    </w:p>
    <w:p w14:paraId="2BC77DF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eastAsia" w:ascii="Times New Roman" w:hAnsi="Times New Roman" w:eastAsia="仿宋_GB2312" w:cs="仿宋_GB2312"/>
          <w:bCs/>
          <w:kern w:val="0"/>
          <w:sz w:val="32"/>
          <w:szCs w:val="32"/>
          <w:lang w:val="en-US" w:eastAsia="zh-CN" w:bidi="ar"/>
        </w:rPr>
        <w:t>综上所述</w:t>
      </w:r>
      <w:r>
        <w:rPr>
          <w:rFonts w:hint="default" w:ascii="Times New Roman" w:hAnsi="Times New Roman" w:eastAsia="仿宋_GB2312" w:cs="仿宋_GB2312"/>
          <w:bCs/>
          <w:kern w:val="0"/>
          <w:sz w:val="32"/>
          <w:szCs w:val="32"/>
          <w:lang w:val="en-US" w:eastAsia="zh-CN" w:bidi="ar"/>
        </w:rPr>
        <w:t>，项目决策扣</w:t>
      </w:r>
      <w:r>
        <w:rPr>
          <w:rFonts w:hint="eastAsia" w:ascii="Times New Roman" w:hAnsi="Times New Roman"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分，得1</w:t>
      </w:r>
      <w:r>
        <w:rPr>
          <w:rFonts w:hint="eastAsia" w:ascii="Times New Roman" w:hAnsi="Times New Roman" w:cs="仿宋_GB2312"/>
          <w:bCs/>
          <w:kern w:val="0"/>
          <w:sz w:val="32"/>
          <w:szCs w:val="32"/>
          <w:lang w:val="en-US" w:eastAsia="zh-CN" w:bidi="ar"/>
        </w:rPr>
        <w:t>8</w:t>
      </w:r>
      <w:r>
        <w:rPr>
          <w:rFonts w:hint="default" w:ascii="Times New Roman" w:hAnsi="Times New Roman" w:eastAsia="仿宋_GB2312" w:cs="仿宋_GB2312"/>
          <w:bCs/>
          <w:kern w:val="0"/>
          <w:sz w:val="32"/>
          <w:szCs w:val="32"/>
          <w:lang w:val="en-US" w:eastAsia="zh-CN" w:bidi="ar"/>
        </w:rPr>
        <w:t>分。</w:t>
      </w:r>
    </w:p>
    <w:p w14:paraId="009CEFC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rPr>
      </w:pPr>
      <w:bookmarkStart w:id="267" w:name="_Toc21110"/>
      <w:bookmarkStart w:id="268" w:name="_Toc18336"/>
      <w:bookmarkStart w:id="269" w:name="_Toc23594"/>
      <w:bookmarkStart w:id="270" w:name="_Toc140231631"/>
      <w:bookmarkStart w:id="271" w:name="_Toc25146"/>
      <w:bookmarkStart w:id="272" w:name="_Toc26581"/>
      <w:bookmarkStart w:id="273" w:name="_Toc23158"/>
      <w:bookmarkStart w:id="274" w:name="_Toc28449"/>
      <w:bookmarkStart w:id="275" w:name="_Toc31169"/>
      <w:bookmarkStart w:id="276" w:name="_Toc7086"/>
      <w:bookmarkStart w:id="277" w:name="_Toc13189"/>
      <w:bookmarkStart w:id="278" w:name="_Toc19809"/>
      <w:bookmarkStart w:id="279" w:name="_Toc4203"/>
      <w:bookmarkStart w:id="280" w:name="_Toc10549"/>
      <w:bookmarkStart w:id="281" w:name="_Toc17919"/>
      <w:bookmarkStart w:id="282" w:name="_Toc10104"/>
      <w:bookmarkStart w:id="283" w:name="_Toc11755"/>
      <w:bookmarkStart w:id="284" w:name="_Toc3900"/>
      <w:bookmarkStart w:id="285" w:name="_Toc23799"/>
      <w:bookmarkStart w:id="286" w:name="_Toc175045252"/>
      <w:bookmarkStart w:id="287" w:name="_Toc3479"/>
      <w:bookmarkStart w:id="288" w:name="_Toc12641"/>
      <w:bookmarkStart w:id="289" w:name="_Toc30618"/>
      <w:bookmarkStart w:id="290" w:name="_Toc2132"/>
      <w:bookmarkStart w:id="291" w:name="_Toc6839"/>
      <w:bookmarkStart w:id="292" w:name="_Toc4433"/>
      <w:bookmarkStart w:id="293" w:name="_Toc28274"/>
      <w:bookmarkStart w:id="294" w:name="_Toc5000"/>
      <w:bookmarkStart w:id="295" w:name="_Toc21273"/>
      <w:bookmarkStart w:id="296" w:name="_Toc3887"/>
      <w:bookmarkStart w:id="297" w:name="_Toc20739"/>
      <w:bookmarkStart w:id="298" w:name="_Toc32230"/>
      <w:bookmarkStart w:id="299" w:name="_Toc18286"/>
      <w:bookmarkStart w:id="300" w:name="_Toc9939"/>
      <w:bookmarkStart w:id="301" w:name="_Toc5879"/>
      <w:bookmarkStart w:id="302" w:name="_Toc11113"/>
      <w:bookmarkStart w:id="303" w:name="_Toc2521"/>
      <w:bookmarkStart w:id="304" w:name="_Toc25658"/>
      <w:bookmarkStart w:id="305" w:name="_Toc26514"/>
      <w:bookmarkStart w:id="306" w:name="_Toc8335"/>
      <w:bookmarkStart w:id="307" w:name="_Toc12642"/>
      <w:bookmarkStart w:id="308" w:name="_Toc23287"/>
      <w:bookmarkStart w:id="309" w:name="_Toc16072"/>
      <w:bookmarkStart w:id="310" w:name="_Toc11815"/>
      <w:r>
        <w:rPr>
          <w:rFonts w:hint="default" w:ascii="Times New Roman" w:hAnsi="Times New Roman" w:eastAsia="楷体" w:cs="仿宋_GB2312"/>
          <w:b/>
          <w:bCs/>
          <w:color w:val="auto"/>
          <w:sz w:val="32"/>
          <w:szCs w:val="32"/>
          <w:highlight w:val="none"/>
        </w:rPr>
        <w:t>（二）项目过程情况（分值</w:t>
      </w:r>
      <w:r>
        <w:rPr>
          <w:rFonts w:hint="default" w:ascii="Times New Roman" w:hAnsi="Times New Roman" w:eastAsia="楷体" w:cs="仿宋_GB2312"/>
          <w:b/>
          <w:bCs/>
          <w:color w:val="auto"/>
          <w:sz w:val="32"/>
          <w:szCs w:val="32"/>
          <w:highlight w:val="none"/>
          <w:lang w:val="en-US" w:eastAsia="zh-CN"/>
        </w:rPr>
        <w:t>30</w:t>
      </w:r>
      <w:r>
        <w:rPr>
          <w:rFonts w:hint="default" w:ascii="Times New Roman" w:hAnsi="Times New Roman" w:eastAsia="楷体" w:cs="仿宋_GB2312"/>
          <w:b/>
          <w:bCs/>
          <w:color w:val="auto"/>
          <w:sz w:val="32"/>
          <w:szCs w:val="32"/>
          <w:highlight w:val="none"/>
        </w:rPr>
        <w:t>分，得分</w:t>
      </w:r>
      <w:r>
        <w:rPr>
          <w:rFonts w:hint="default" w:ascii="Times New Roman" w:hAnsi="Times New Roman" w:eastAsia="楷体" w:cs="仿宋_GB2312"/>
          <w:b/>
          <w:bCs/>
          <w:color w:val="auto"/>
          <w:sz w:val="32"/>
          <w:szCs w:val="32"/>
          <w:highlight w:val="none"/>
          <w:lang w:val="en-US" w:eastAsia="zh-CN"/>
        </w:rPr>
        <w:t>29.5</w:t>
      </w:r>
      <w:r>
        <w:rPr>
          <w:rFonts w:hint="default" w:ascii="Times New Roman" w:hAnsi="Times New Roman" w:eastAsia="楷体" w:cs="仿宋_GB2312"/>
          <w:b/>
          <w:bCs/>
          <w:color w:val="auto"/>
          <w:sz w:val="32"/>
          <w:szCs w:val="32"/>
          <w:highlight w:val="none"/>
        </w:rPr>
        <w:t>分）</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1FA8866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bookmarkStart w:id="311" w:name="_Toc8184"/>
      <w:r>
        <w:rPr>
          <w:rFonts w:hint="default" w:ascii="Times New Roman" w:hAnsi="Times New Roman" w:eastAsia="仿宋_GB2312" w:cs="仿宋_GB2312"/>
          <w:b/>
          <w:bCs w:val="0"/>
          <w:kern w:val="0"/>
          <w:sz w:val="32"/>
          <w:szCs w:val="32"/>
          <w:lang w:val="en-US" w:eastAsia="zh-CN" w:bidi="ar"/>
        </w:rPr>
        <w:t>1.资金管理（分值8分，得分8分）</w:t>
      </w:r>
      <w:bookmarkEnd w:id="311"/>
    </w:p>
    <w:p w14:paraId="069F4D4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w:t>
      </w:r>
      <w:r>
        <w:rPr>
          <w:rFonts w:hint="eastAsia" w:ascii="Times New Roman" w:hAnsi="Times New Roman" w:eastAsia="仿宋_GB2312" w:cs="仿宋_GB2312"/>
          <w:bCs/>
          <w:kern w:val="0"/>
          <w:sz w:val="32"/>
          <w:szCs w:val="32"/>
          <w:lang w:val="en-US" w:eastAsia="zh-CN" w:bidi="ar"/>
        </w:rPr>
        <w:t>资金到位率</w:t>
      </w:r>
      <w:r>
        <w:rPr>
          <w:rFonts w:hint="default" w:ascii="Times New Roman" w:hAnsi="Times New Roman" w:eastAsia="仿宋_GB2312" w:cs="仿宋_GB2312"/>
          <w:bCs/>
          <w:kern w:val="0"/>
          <w:sz w:val="32"/>
          <w:szCs w:val="32"/>
          <w:lang w:val="en-US" w:eastAsia="zh-CN" w:bidi="ar"/>
        </w:rPr>
        <w:t>（分值</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4864362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本项目预算资金20万元，截至2025年12月31日，实际到位资金20万元，资金到位率=（实际到位资金/预算资金）×100%=（20万元/20万元）×100%=100%，资金足额拨付到位，根据评分标准，该指标不扣分，得2分。</w:t>
      </w:r>
    </w:p>
    <w:p w14:paraId="6A07743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预算执行率（分值</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2C3D14A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实际到位资金为20万元，实际支出金额为20万元，预算执行率=（实际支出资金/实际到位资金）×100%=（20万元/20万元）×100%=100%，依据《关于印发〈自治区项目支出绩效目标设置指引〉的通知》（新财预〔2022〕42号）及《关于印发〈中央部门项目支出核心绩效目标和指标设置及取值指引（试行）〉的通知（财预〔2021〕101号），该项目已完成，且执行数控制在年度预算规模之内的，根据评分标准，该指标不扣分，得</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34A9E3E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）资金使用合规性（分值2分，得分2分）</w:t>
      </w:r>
    </w:p>
    <w:p w14:paraId="2AA4A06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资金使用符合《关于提前下达2025年自治区彩票公益金支持残疾人福利项目补助资金预算的通知》（喀地财社〔2024〕84号）文件的相关规定，符合国家、自治区等相关政策、规划和法律法规；经检查，资金的拨付有完整的审批程序和手续，使用规范，符合项目预算批复或合同规定的用途；通过查看2025年度明细账、凭证及其附件，不存在截留、挤占、挪用、虚列支出等情况，根据评分标准，该指标不扣分，得2分。</w:t>
      </w:r>
    </w:p>
    <w:p w14:paraId="577E208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）资金支付规范性（分值</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419E045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在资金支付规范性方面经现场检查《喀什市民政局2025年喀什市精康融合行动项目合同》《2025年喀什市精康融合行动项目服务方案》《喀什市民政局2025年喀什市精康融合行动项目末期评估报告》《2025年喀什市精康融合行动项目中期评估报告》、</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电子发票（普通发票）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及</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国库集中支付凭证</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，该单位资金支付按合同约定的资金付款的方式、时间、条件和比例执行。根据评分标准，该指标不扣分，得2分。</w:t>
      </w:r>
    </w:p>
    <w:p w14:paraId="73C0FF6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综上所述，资金管理得8分。</w:t>
      </w:r>
    </w:p>
    <w:p w14:paraId="77866E7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2.组织实施（分值22分，得21.5分）</w:t>
      </w:r>
    </w:p>
    <w:p w14:paraId="7B48A97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（1）管理制度健全性（分值2分，得2分）</w:t>
      </w:r>
    </w:p>
    <w:p w14:paraId="15A4FDF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喀什市民政局财务管理制度的规定》《喀什市民政局合同业务管理办法》《喀什市民政局绩效评价管理制度》《喀什市民政局专项资金管理制度》等，对财政专项资金进行严格管理，做到了专款专用，具有相应的财务和业务管理制度，财务和业务管理制度合法、合规、完整。根据评分标准，该指标不扣分，得2分。</w:t>
      </w:r>
    </w:p>
    <w:p w14:paraId="68D1925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（2）制度执行有效性（分值3分，得分3分）</w:t>
      </w:r>
    </w:p>
    <w:p w14:paraId="1A2A8C9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关于提前下达2025年自治区彩票公益金支持残疾人福利项目补助资金预算的通知》（喀地财社〔2024〕84号）《2025年喀什市精康融合行动项目实施方案》《喀什市民政局财务支出管理制度》的规定，遵守相关法律法规和相关管理规定，项目不涉及绩效目标调整，项目合同书、评估报告等资料齐全并及时归档。根据评分标准，该指标不扣分，得3分。</w:t>
      </w:r>
    </w:p>
    <w:p w14:paraId="49EB85E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（3）采购程序规范性（分值5分，得5分）</w:t>
      </w:r>
    </w:p>
    <w:p w14:paraId="0965DC1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依据《关于申请办理喀什市民政局</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服务项目采购手续的报告》《成交通知书》，喀什市民政局按照要求公开购买服务信息，按照政府采购法等有关规定，通过公平公正择优确认承接主体为喀什市臻善社会工作站。根据评分标准，该指标不扣分，得5分。</w:t>
      </w:r>
    </w:p>
    <w:p w14:paraId="4005EEA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（4）采购方式合规性（分值4分，得分4分）</w:t>
      </w:r>
    </w:p>
    <w:p w14:paraId="74C40FE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本项目预算资金20万元，依据《中华人民共和国政府采购法》的相关规定，可以不采用公开招标，依据《关于申请办理喀什市民政局</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服务项目采购手续的报告》《成交通知书》，本项目采购合规，根据评分标准，该指标不扣分，得4分。</w:t>
      </w:r>
    </w:p>
    <w:p w14:paraId="7BF8F07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（5）合同管理规范性（分值4分，得分4分）</w:t>
      </w:r>
    </w:p>
    <w:p w14:paraId="2CAE468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查看项目采购相关资料，本项目喀什市民政局与喀什市臻善社会工作站已签订书面合同，合同内容完整，符合《中华人民共和国政府采购法实施条例》指导性目录等有关规定，政府采购合同依法予以公告，合同管理规范，根据评分标准，该指标不扣分，得4分。</w:t>
      </w:r>
    </w:p>
    <w:p w14:paraId="2E5D00E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（6）项目履约验收规范性（分值4分，得分3.5分）</w:t>
      </w:r>
    </w:p>
    <w:p w14:paraId="76106B0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查看项目采购及验收相关资料，喀什市民政局已按照《中华人民共和国政府采购法实施条例》组织验收，喀什市民政局按照相关要求聘请第三方对喀什市臻善社会工作站的精康融合行动服务进行期中和期末评估，期末评估报告中对合同的具体工作指标未做出评估，根据评分标准，该指标扣0.5分，得3.5分。</w:t>
      </w:r>
    </w:p>
    <w:p w14:paraId="2EFCCDD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所述，组织实施指标扣0.5分，得21.5分</w:t>
      </w:r>
    </w:p>
    <w:p w14:paraId="1D0B952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eastAsia" w:ascii="Times New Roman" w:hAnsi="Times New Roman" w:eastAsia="仿宋_GB2312" w:cs="仿宋_GB2312"/>
          <w:bCs/>
          <w:kern w:val="0"/>
          <w:sz w:val="32"/>
          <w:szCs w:val="32"/>
          <w:lang w:val="en-US" w:eastAsia="zh-CN" w:bidi="ar"/>
        </w:rPr>
        <w:t>综上所述</w:t>
      </w:r>
      <w:r>
        <w:rPr>
          <w:rFonts w:hint="default" w:ascii="Times New Roman" w:hAnsi="Times New Roman" w:eastAsia="仿宋_GB2312" w:cs="仿宋_GB2312"/>
          <w:bCs/>
          <w:kern w:val="0"/>
          <w:sz w:val="32"/>
          <w:szCs w:val="32"/>
          <w:lang w:val="en-US" w:eastAsia="zh-CN" w:bidi="ar"/>
        </w:rPr>
        <w:t>，项目过程扣0.5分，得29.5分。</w:t>
      </w:r>
    </w:p>
    <w:p w14:paraId="4B996D4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rPr>
      </w:pPr>
      <w:bookmarkStart w:id="312" w:name="_Toc10467"/>
      <w:r>
        <w:rPr>
          <w:rFonts w:hint="default" w:ascii="Times New Roman" w:hAnsi="Times New Roman" w:eastAsia="楷体" w:cs="仿宋_GB2312"/>
          <w:b/>
          <w:bCs/>
          <w:color w:val="auto"/>
          <w:sz w:val="32"/>
          <w:szCs w:val="32"/>
          <w:highlight w:val="none"/>
        </w:rPr>
        <w:t>（三）项目产出情况（分值</w:t>
      </w:r>
      <w:r>
        <w:rPr>
          <w:rFonts w:hint="eastAsia" w:ascii="Times New Roman" w:hAnsi="Times New Roman" w:eastAsia="楷体" w:cs="仿宋_GB2312"/>
          <w:b/>
          <w:bCs/>
          <w:color w:val="auto"/>
          <w:sz w:val="32"/>
          <w:szCs w:val="32"/>
          <w:highlight w:val="none"/>
          <w:lang w:val="en-US" w:eastAsia="zh-CN"/>
        </w:rPr>
        <w:t>35</w:t>
      </w:r>
      <w:r>
        <w:rPr>
          <w:rFonts w:hint="default" w:ascii="Times New Roman" w:hAnsi="Times New Roman" w:eastAsia="楷体" w:cs="仿宋_GB2312"/>
          <w:b/>
          <w:bCs/>
          <w:color w:val="auto"/>
          <w:sz w:val="32"/>
          <w:szCs w:val="32"/>
          <w:highlight w:val="none"/>
        </w:rPr>
        <w:t>分，得分</w:t>
      </w:r>
      <w:r>
        <w:rPr>
          <w:rFonts w:hint="default" w:ascii="Times New Roman" w:hAnsi="Times New Roman" w:eastAsia="楷体" w:cs="仿宋_GB2312"/>
          <w:b/>
          <w:bCs/>
          <w:color w:val="auto"/>
          <w:sz w:val="32"/>
          <w:szCs w:val="32"/>
          <w:highlight w:val="none"/>
          <w:lang w:val="en-US" w:eastAsia="zh-CN"/>
        </w:rPr>
        <w:t>3</w:t>
      </w:r>
      <w:r>
        <w:rPr>
          <w:rFonts w:hint="eastAsia" w:ascii="Times New Roman" w:hAnsi="Times New Roman" w:eastAsia="楷体" w:cs="仿宋_GB2312"/>
          <w:b/>
          <w:bCs/>
          <w:color w:val="auto"/>
          <w:sz w:val="32"/>
          <w:szCs w:val="32"/>
          <w:highlight w:val="none"/>
          <w:lang w:val="en-US" w:eastAsia="zh-CN"/>
        </w:rPr>
        <w:t>2</w:t>
      </w:r>
      <w:r>
        <w:rPr>
          <w:rFonts w:hint="default" w:ascii="Times New Roman" w:hAnsi="Times New Roman" w:eastAsia="楷体" w:cs="仿宋_GB2312"/>
          <w:b/>
          <w:bCs/>
          <w:color w:val="auto"/>
          <w:sz w:val="32"/>
          <w:szCs w:val="32"/>
          <w:highlight w:val="none"/>
        </w:rPr>
        <w:t>分）</w:t>
      </w:r>
      <w:bookmarkEnd w:id="312"/>
    </w:p>
    <w:p w14:paraId="52AFF1C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bookmarkStart w:id="313" w:name="_Toc10877"/>
      <w:bookmarkStart w:id="314" w:name="_Toc18483"/>
      <w:r>
        <w:rPr>
          <w:rFonts w:hint="default" w:ascii="Times New Roman" w:hAnsi="Times New Roman" w:eastAsia="仿宋_GB2312" w:cs="仿宋_GB2312"/>
          <w:b/>
          <w:bCs w:val="0"/>
          <w:kern w:val="0"/>
          <w:sz w:val="32"/>
          <w:szCs w:val="32"/>
          <w:lang w:val="en-US" w:eastAsia="zh-CN" w:bidi="ar"/>
        </w:rPr>
        <w:t>1.产出数量（分值1</w:t>
      </w:r>
      <w:r>
        <w:rPr>
          <w:rFonts w:hint="eastAsia" w:ascii="Times New Roman" w:hAnsi="Times New Roman" w:eastAsia="仿宋_GB2312" w:cs="仿宋_GB2312"/>
          <w:b/>
          <w:bCs w:val="0"/>
          <w:kern w:val="0"/>
          <w:sz w:val="32"/>
          <w:szCs w:val="32"/>
          <w:lang w:val="en-US" w:eastAsia="zh-CN" w:bidi="ar"/>
        </w:rPr>
        <w:t>5</w:t>
      </w:r>
      <w:r>
        <w:rPr>
          <w:rFonts w:hint="default" w:ascii="Times New Roman" w:hAnsi="Times New Roman" w:eastAsia="仿宋_GB2312" w:cs="仿宋_GB2312"/>
          <w:b/>
          <w:bCs w:val="0"/>
          <w:kern w:val="0"/>
          <w:sz w:val="32"/>
          <w:szCs w:val="32"/>
          <w:lang w:val="en-US" w:eastAsia="zh-CN" w:bidi="ar"/>
        </w:rPr>
        <w:t>分，得分</w:t>
      </w:r>
      <w:r>
        <w:rPr>
          <w:rFonts w:hint="eastAsia" w:ascii="Times New Roman" w:hAnsi="Times New Roman" w:eastAsia="仿宋_GB2312" w:cs="仿宋_GB2312"/>
          <w:b/>
          <w:bCs w:val="0"/>
          <w:kern w:val="0"/>
          <w:sz w:val="32"/>
          <w:szCs w:val="32"/>
          <w:lang w:val="en-US" w:eastAsia="zh-CN" w:bidi="ar"/>
        </w:rPr>
        <w:t>12</w:t>
      </w:r>
      <w:r>
        <w:rPr>
          <w:rFonts w:hint="default" w:ascii="Times New Roman" w:hAnsi="Times New Roman" w:eastAsia="仿宋_GB2312" w:cs="仿宋_GB2312"/>
          <w:b/>
          <w:bCs w:val="0"/>
          <w:kern w:val="0"/>
          <w:sz w:val="32"/>
          <w:szCs w:val="32"/>
          <w:lang w:val="en-US" w:eastAsia="zh-CN" w:bidi="ar"/>
        </w:rPr>
        <w:t>分）</w:t>
      </w:r>
      <w:bookmarkEnd w:id="313"/>
      <w:bookmarkEnd w:id="314"/>
    </w:p>
    <w:p w14:paraId="6F4C3C9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（1）走访精康患者数量大于等于</w:t>
      </w:r>
      <w:r>
        <w:rPr>
          <w:rFonts w:hint="eastAsia" w:ascii="Times New Roman" w:hAnsi="Times New Roman" w:eastAsia="仿宋_GB2312" w:cs="仿宋_GB2312"/>
          <w:bCs/>
          <w:kern w:val="0"/>
          <w:sz w:val="32"/>
          <w:szCs w:val="32"/>
          <w:lang w:val="en-US" w:eastAsia="zh-CN" w:bidi="ar"/>
        </w:rPr>
        <w:t>290人</w:t>
      </w:r>
      <w:r>
        <w:rPr>
          <w:rFonts w:hint="default" w:ascii="Times New Roman" w:hAnsi="Times New Roman" w:eastAsia="仿宋_GB2312" w:cs="仿宋_GB2312"/>
          <w:bCs/>
          <w:kern w:val="0"/>
          <w:sz w:val="32"/>
          <w:szCs w:val="32"/>
          <w:lang w:val="en-US" w:eastAsia="zh-CN" w:bidi="ar"/>
        </w:rPr>
        <w:t>（分值</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分）</w:t>
      </w:r>
    </w:p>
    <w:p w14:paraId="68B0E02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以及线下查看装订成册的档案目录表、活动方案、签到表、资料反馈表、活动总结、通讯稿、活动照片，本项目通过专业评估，为精神障碍患者定制个性化康复服务，涵盖生活、社交和职业技能训练，助力患者提升自理能力、融入社会，为家属开展护理知识培训和心理支持活动，减轻其照顾负担，本项目共走访</w:t>
      </w:r>
      <w:r>
        <w:rPr>
          <w:rFonts w:hint="eastAsia" w:ascii="Times New Roman" w:hAnsi="Times New Roman" w:cs="仿宋_GB2312"/>
          <w:bCs/>
          <w:kern w:val="0"/>
          <w:sz w:val="32"/>
          <w:szCs w:val="32"/>
          <w:lang w:val="en-US" w:eastAsia="zh-CN" w:bidi="ar"/>
        </w:rPr>
        <w:t>290位精康患者</w:t>
      </w:r>
      <w:r>
        <w:rPr>
          <w:rFonts w:hint="default" w:ascii="Times New Roman" w:hAnsi="Times New Roman" w:eastAsia="仿宋_GB2312" w:cs="仿宋_GB2312"/>
          <w:bCs/>
          <w:kern w:val="0"/>
          <w:sz w:val="32"/>
          <w:szCs w:val="32"/>
          <w:lang w:val="en-US" w:eastAsia="zh-CN" w:bidi="ar"/>
        </w:rPr>
        <w:t>，完成率100%。根据评分标准，该指标不扣分，得4分。</w:t>
      </w:r>
    </w:p>
    <w:p w14:paraId="280681F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（2）服务精神障碍患者人数大于等于100人（分值3分，得分0分）</w:t>
      </w:r>
    </w:p>
    <w:p w14:paraId="7D8F5D5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根据单位提供的《</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2025精康融合</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服务对象信息汇总表》以及线下查看装订成册的档案目录表、活动方案、签到表、资料反馈表、活动总结、通讯稿、活动照片，显示，服务精神障碍患者342人，完成率342%，根据评分标准，该指标扣3分，得0分。</w:t>
      </w:r>
    </w:p>
    <w:p w14:paraId="2C320CF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精康患者评估人次</w:t>
      </w:r>
      <w:r>
        <w:rPr>
          <w:rFonts w:hint="eastAsia" w:ascii="Times New Roman" w:hAnsi="Times New Roman" w:eastAsia="仿宋_GB2312" w:cs="仿宋_GB2312"/>
          <w:bCs/>
          <w:kern w:val="0"/>
          <w:sz w:val="32"/>
          <w:szCs w:val="32"/>
          <w:lang w:val="en-US" w:eastAsia="zh-CN" w:bidi="ar"/>
        </w:rPr>
        <w:t>大于等于300人次（分值3分，得3分）</w:t>
      </w:r>
    </w:p>
    <w:p w14:paraId="4FEFFD5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以及线下查看装订成册的档案目录表、活动方案、签到表、资料反馈表、活动总结、通讯稿、活动照片，本项目通过专业评估，为精神障碍患者定制个性化康复服务，涵盖生活、社交和职业技能训练，助力患者提升自理能力、融入社会，为家属开展护理知识培训和心理支持活动，减轻其照顾负担，本项目共为327人次精康患者评估，完成率达109%。根据评分标准，该指标不扣分，得3分。</w:t>
      </w:r>
    </w:p>
    <w:p w14:paraId="49E933B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（4）个案咨询服务人次大于等于20人次（分值2分，得分2分）</w:t>
      </w:r>
    </w:p>
    <w:p w14:paraId="5AD9AA3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本项目通过专业评估，为精神障碍患者定制个性化康复服务，涵盖生活、社交和职业技能训练，助力患者提升自理能力、融入社会，为家属开展护理知识培训和心理支持活动，减轻其照顾负担，本项目共完成个案咨询服务20人次。根据评分标准，该指标不扣分，得2分。</w:t>
      </w:r>
    </w:p>
    <w:p w14:paraId="5D528F8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（5）开展宣传、培训、训练等活动数量大于等于54场次（分值3分，得3分）</w:t>
      </w:r>
    </w:p>
    <w:p w14:paraId="2E07D3F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以及线下查看装订成册的档案目录表、活动方案、签到表、资料反馈表、活动总结、通讯稿、活动照片，本项目通过专业评估，为精神障碍患者定制个性化康复服务，涵盖生活、社交和职业技能训练，助力患者提升自理能力、融入社会，2025年共开展60场次活动，其中：开展4场宣传活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利用全国助残日，精神卫生日开展精神健康服务宣传，志愿者活动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；35场次</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精康患者</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生活自理技能训练、认知技能训练、情绪管理技能训练、就业技能相关训练或培训、社交技能训练、娱乐服务等活动；21场次</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家属</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护理技能培训、心理团辅、减压服务等活动。根据评分标准，该指标不扣分，得3分。</w:t>
      </w:r>
    </w:p>
    <w:p w14:paraId="19BEBDE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所述，产出数量指标扣3分，得</w:t>
      </w:r>
      <w:r>
        <w:rPr>
          <w:rFonts w:hint="eastAsia" w:ascii="Times New Roman" w:hAnsi="Times New Roman" w:eastAsia="仿宋_GB2312" w:cs="仿宋_GB2312"/>
          <w:bCs/>
          <w:kern w:val="0"/>
          <w:sz w:val="32"/>
          <w:szCs w:val="32"/>
          <w:lang w:val="en-US" w:eastAsia="zh-CN" w:bidi="ar"/>
        </w:rPr>
        <w:t>12</w:t>
      </w:r>
      <w:r>
        <w:rPr>
          <w:rFonts w:hint="default" w:ascii="Times New Roman" w:hAnsi="Times New Roman" w:eastAsia="仿宋_GB2312" w:cs="仿宋_GB2312"/>
          <w:bCs/>
          <w:kern w:val="0"/>
          <w:sz w:val="32"/>
          <w:szCs w:val="32"/>
          <w:lang w:val="en-US" w:eastAsia="zh-CN" w:bidi="ar"/>
        </w:rPr>
        <w:t>分。</w:t>
      </w:r>
    </w:p>
    <w:p w14:paraId="1A1328C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bookmarkStart w:id="315" w:name="_Toc7991"/>
      <w:bookmarkStart w:id="316" w:name="_Toc9298"/>
      <w:r>
        <w:rPr>
          <w:rFonts w:hint="default" w:ascii="Times New Roman" w:hAnsi="Times New Roman" w:eastAsia="仿宋_GB2312" w:cs="仿宋_GB2312"/>
          <w:b/>
          <w:bCs w:val="0"/>
          <w:kern w:val="0"/>
          <w:sz w:val="32"/>
          <w:szCs w:val="32"/>
          <w:lang w:val="en-US" w:eastAsia="zh-CN" w:bidi="ar"/>
        </w:rPr>
        <w:t>2.产出质量（分值1</w:t>
      </w:r>
      <w:r>
        <w:rPr>
          <w:rFonts w:hint="eastAsia" w:ascii="Times New Roman" w:hAnsi="Times New Roman" w:eastAsia="仿宋_GB2312" w:cs="仿宋_GB2312"/>
          <w:b/>
          <w:bCs w:val="0"/>
          <w:kern w:val="0"/>
          <w:sz w:val="32"/>
          <w:szCs w:val="32"/>
          <w:lang w:val="en-US" w:eastAsia="zh-CN" w:bidi="ar"/>
        </w:rPr>
        <w:t>0</w:t>
      </w:r>
      <w:r>
        <w:rPr>
          <w:rFonts w:hint="default" w:ascii="Times New Roman" w:hAnsi="Times New Roman" w:eastAsia="仿宋_GB2312" w:cs="仿宋_GB2312"/>
          <w:b/>
          <w:bCs w:val="0"/>
          <w:kern w:val="0"/>
          <w:sz w:val="32"/>
          <w:szCs w:val="32"/>
          <w:lang w:val="en-US" w:eastAsia="zh-CN" w:bidi="ar"/>
        </w:rPr>
        <w:t>分，得分1</w:t>
      </w:r>
      <w:r>
        <w:rPr>
          <w:rFonts w:hint="eastAsia" w:ascii="Times New Roman" w:hAnsi="Times New Roman" w:eastAsia="仿宋_GB2312" w:cs="仿宋_GB2312"/>
          <w:b/>
          <w:bCs w:val="0"/>
          <w:kern w:val="0"/>
          <w:sz w:val="32"/>
          <w:szCs w:val="32"/>
          <w:lang w:val="en-US" w:eastAsia="zh-CN" w:bidi="ar"/>
        </w:rPr>
        <w:t>0</w:t>
      </w:r>
      <w:r>
        <w:rPr>
          <w:rFonts w:hint="default" w:ascii="Times New Roman" w:hAnsi="Times New Roman" w:eastAsia="仿宋_GB2312" w:cs="仿宋_GB2312"/>
          <w:b/>
          <w:bCs w:val="0"/>
          <w:kern w:val="0"/>
          <w:sz w:val="32"/>
          <w:szCs w:val="32"/>
          <w:lang w:val="en-US" w:eastAsia="zh-CN" w:bidi="ar"/>
        </w:rPr>
        <w:t>分）</w:t>
      </w:r>
      <w:bookmarkEnd w:id="315"/>
      <w:bookmarkEnd w:id="316"/>
    </w:p>
    <w:p w14:paraId="17CA2D5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（1）成果验收合格率等于100%（分值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10D51B2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经查看项目《2025年喀什市精康融合行动项目中期评估报告</w:t>
      </w:r>
      <w:r>
        <w:rPr>
          <w:rFonts w:hint="eastAsia" w:ascii="Times New Roman" w:hAnsi="Times New Roman" w:eastAsia="仿宋_GB2312"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2025年喀什市精康融合行动项目末期评估报告》，验收合格率达100%，根据评分标准，该指标不扣分，得</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22A4512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（2）政府采购率等于100%（分值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5155C0E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经查看《喀什市民政局2025年喀什市精康融合行动项目合同》《喀什市民政局2025年喀什市精康融合行动项目成交通知书》，政府采购100%，根据评分规则，该指标不扣分，得</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25031FA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（3）委托任务完成率等于100%（分值4分，得分4分）</w:t>
      </w:r>
    </w:p>
    <w:p w14:paraId="0770928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以及线下查看装订成册的档案目录表、活动方案、签到表、资料反馈表、活动总结、通讯稿、活动照片，合同约定各项具体工作指标均已完成，委托任务完成率达100%，根据评分规则，该指标扣0分，得4分。</w:t>
      </w:r>
    </w:p>
    <w:p w14:paraId="08917AD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所述，产出质量指标得1</w:t>
      </w:r>
      <w:r>
        <w:rPr>
          <w:rFonts w:hint="eastAsia" w:ascii="Times New Roman" w:hAnsi="Times New Roman" w:eastAsia="仿宋_GB2312" w:cs="仿宋_GB2312"/>
          <w:bCs/>
          <w:kern w:val="0"/>
          <w:sz w:val="32"/>
          <w:szCs w:val="32"/>
          <w:lang w:val="en-US" w:eastAsia="zh-CN" w:bidi="ar"/>
        </w:rPr>
        <w:t>0</w:t>
      </w:r>
      <w:r>
        <w:rPr>
          <w:rFonts w:hint="default" w:ascii="Times New Roman" w:hAnsi="Times New Roman" w:eastAsia="仿宋_GB2312" w:cs="仿宋_GB2312"/>
          <w:bCs/>
          <w:kern w:val="0"/>
          <w:sz w:val="32"/>
          <w:szCs w:val="32"/>
          <w:lang w:val="en-US" w:eastAsia="zh-CN" w:bidi="ar"/>
        </w:rPr>
        <w:t>分。</w:t>
      </w:r>
    </w:p>
    <w:p w14:paraId="3EE3ACF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3.产出时效（分值3分，得分3分）</w:t>
      </w:r>
    </w:p>
    <w:p w14:paraId="72F220A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补助发放及时性等于100%（分值3分，得分3分）</w:t>
      </w:r>
    </w:p>
    <w:p w14:paraId="01B9AA0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经查看《关于提前下达2025年自治区彩票公益金支持残疾人福利项目补助资金预算的通知》（喀地财社〔2024〕84号）、《成交通知书》，补助发放及时，根据评分标准，该指标不扣分，得3分。</w:t>
      </w:r>
    </w:p>
    <w:p w14:paraId="67B1CD5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所述，产出时效指标得3分。</w:t>
      </w:r>
    </w:p>
    <w:p w14:paraId="2A989F8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4.产出成本（分值</w:t>
      </w:r>
      <w:r>
        <w:rPr>
          <w:rFonts w:hint="eastAsia" w:ascii="Times New Roman" w:hAnsi="Times New Roman" w:eastAsia="仿宋_GB2312" w:cs="仿宋_GB2312"/>
          <w:b/>
          <w:bCs w:val="0"/>
          <w:kern w:val="0"/>
          <w:sz w:val="32"/>
          <w:szCs w:val="32"/>
          <w:lang w:val="en-US" w:eastAsia="zh-CN" w:bidi="ar"/>
        </w:rPr>
        <w:t>7</w:t>
      </w:r>
      <w:r>
        <w:rPr>
          <w:rFonts w:hint="default" w:ascii="Times New Roman" w:hAnsi="Times New Roman" w:eastAsia="仿宋_GB2312" w:cs="仿宋_GB2312"/>
          <w:b/>
          <w:bCs w:val="0"/>
          <w:kern w:val="0"/>
          <w:sz w:val="32"/>
          <w:szCs w:val="32"/>
          <w:lang w:val="en-US" w:eastAsia="zh-CN" w:bidi="ar"/>
        </w:rPr>
        <w:t>分，得</w:t>
      </w:r>
      <w:r>
        <w:rPr>
          <w:rFonts w:hint="eastAsia" w:ascii="Times New Roman" w:hAnsi="Times New Roman" w:eastAsia="仿宋_GB2312" w:cs="仿宋_GB2312"/>
          <w:b/>
          <w:bCs w:val="0"/>
          <w:kern w:val="0"/>
          <w:sz w:val="32"/>
          <w:szCs w:val="32"/>
          <w:lang w:val="en-US" w:eastAsia="zh-CN" w:bidi="ar"/>
        </w:rPr>
        <w:t>7</w:t>
      </w:r>
      <w:r>
        <w:rPr>
          <w:rFonts w:hint="default" w:ascii="Times New Roman" w:hAnsi="Times New Roman" w:eastAsia="仿宋_GB2312" w:cs="仿宋_GB2312"/>
          <w:b/>
          <w:bCs w:val="0"/>
          <w:kern w:val="0"/>
          <w:sz w:val="32"/>
          <w:szCs w:val="32"/>
          <w:lang w:val="en-US" w:eastAsia="zh-CN" w:bidi="ar"/>
        </w:rPr>
        <w:t>分）</w:t>
      </w:r>
    </w:p>
    <w:p w14:paraId="217D78F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（1）项目购买服务资金标准小于等于20万元/个（分值</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分）</w:t>
      </w:r>
    </w:p>
    <w:p w14:paraId="112B558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经查阅</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国库</w:t>
      </w:r>
      <w:r>
        <w:rPr>
          <w:rFonts w:hint="eastAsia" w:ascii="Times New Roman" w:hAnsi="Times New Roman" w:cs="仿宋_GB2312"/>
          <w:bCs/>
          <w:kern w:val="0"/>
          <w:sz w:val="32"/>
          <w:szCs w:val="32"/>
          <w:lang w:val="en-US" w:eastAsia="zh-CN" w:bidi="ar"/>
        </w:rPr>
        <w:t>集中</w:t>
      </w:r>
      <w:r>
        <w:rPr>
          <w:rFonts w:hint="default" w:ascii="Times New Roman" w:hAnsi="Times New Roman" w:eastAsia="仿宋_GB2312" w:cs="仿宋_GB2312"/>
          <w:bCs/>
          <w:kern w:val="0"/>
          <w:sz w:val="32"/>
          <w:szCs w:val="32"/>
          <w:lang w:val="en-US" w:eastAsia="zh-CN" w:bidi="ar"/>
        </w:rPr>
        <w:t>支付凭证</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精康融合服务项目截至2025年12月31日分3期支出资金20万元，其中，2025年5月28日支付资金10万元，2025年10月28日支付资金8万元，2025年12月25日支付资金2万元。已全部支付完毕，指标完成率为100%，根据评分标准，该指标不扣分，得</w:t>
      </w:r>
      <w:r>
        <w:rPr>
          <w:rFonts w:hint="eastAsia" w:ascii="Times New Roman" w:hAnsi="Times New Roman" w:eastAsia="仿宋_GB2312"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分。</w:t>
      </w:r>
    </w:p>
    <w:p w14:paraId="35454A0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（2）政府采购节约率小于等于3%（分值</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分，得分</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5496F2F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查阅《关于提前下达2025年自治区彩票公益金支持残疾人福利项目补助资金预算的通知》（喀地财社〔2024〕84号）、《2025年喀什市精康融合行动项目合同》，项目资金控制在20万元以内，根据评分标准，该指标扣0分，得</w:t>
      </w:r>
      <w:r>
        <w:rPr>
          <w:rFonts w:hint="eastAsia" w:ascii="Times New Roman" w:hAnsi="Times New Roman" w:eastAsia="仿宋_GB2312" w:cs="仿宋_GB2312"/>
          <w:bCs/>
          <w:kern w:val="0"/>
          <w:sz w:val="32"/>
          <w:szCs w:val="32"/>
          <w:lang w:val="en-US" w:eastAsia="zh-CN" w:bidi="ar"/>
        </w:rPr>
        <w:t>3</w:t>
      </w:r>
      <w:r>
        <w:rPr>
          <w:rFonts w:hint="default" w:ascii="Times New Roman" w:hAnsi="Times New Roman" w:eastAsia="仿宋_GB2312" w:cs="仿宋_GB2312"/>
          <w:bCs/>
          <w:kern w:val="0"/>
          <w:sz w:val="32"/>
          <w:szCs w:val="32"/>
          <w:lang w:val="en-US" w:eastAsia="zh-CN" w:bidi="ar"/>
        </w:rPr>
        <w:t>分。</w:t>
      </w:r>
    </w:p>
    <w:p w14:paraId="2D26FFFF">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所述，产出成本指标得</w:t>
      </w:r>
      <w:r>
        <w:rPr>
          <w:rFonts w:hint="eastAsia" w:ascii="Times New Roman" w:hAnsi="Times New Roman" w:eastAsia="仿宋_GB2312" w:cs="仿宋_GB2312"/>
          <w:bCs/>
          <w:kern w:val="0"/>
          <w:sz w:val="32"/>
          <w:szCs w:val="32"/>
          <w:lang w:val="en-US" w:eastAsia="zh-CN" w:bidi="ar"/>
        </w:rPr>
        <w:t>7</w:t>
      </w:r>
      <w:r>
        <w:rPr>
          <w:rFonts w:hint="default" w:ascii="Times New Roman" w:hAnsi="Times New Roman" w:eastAsia="仿宋_GB2312" w:cs="仿宋_GB2312"/>
          <w:bCs/>
          <w:kern w:val="0"/>
          <w:sz w:val="32"/>
          <w:szCs w:val="32"/>
          <w:lang w:val="en-US" w:eastAsia="zh-CN" w:bidi="ar"/>
        </w:rPr>
        <w:t>分。</w:t>
      </w:r>
    </w:p>
    <w:p w14:paraId="52DECA5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综上所述</w:t>
      </w:r>
      <w:r>
        <w:rPr>
          <w:rFonts w:hint="default" w:ascii="Times New Roman" w:hAnsi="Times New Roman" w:eastAsia="仿宋_GB2312" w:cs="仿宋_GB2312"/>
          <w:bCs/>
          <w:kern w:val="0"/>
          <w:sz w:val="32"/>
          <w:szCs w:val="32"/>
          <w:lang w:val="en-US" w:eastAsia="zh-CN" w:bidi="ar"/>
        </w:rPr>
        <w:t>，项目产出扣3分，得3</w:t>
      </w:r>
      <w:r>
        <w:rPr>
          <w:rFonts w:hint="eastAsia" w:ascii="Times New Roman" w:hAnsi="Times New Roman" w:eastAsia="仿宋_GB2312" w:cs="仿宋_GB2312"/>
          <w:bCs/>
          <w:kern w:val="0"/>
          <w:sz w:val="32"/>
          <w:szCs w:val="32"/>
          <w:lang w:val="en-US" w:eastAsia="zh-CN" w:bidi="ar"/>
        </w:rPr>
        <w:t>2</w:t>
      </w:r>
      <w:r>
        <w:rPr>
          <w:rFonts w:hint="default" w:ascii="Times New Roman" w:hAnsi="Times New Roman" w:eastAsia="仿宋_GB2312" w:cs="仿宋_GB2312"/>
          <w:bCs/>
          <w:kern w:val="0"/>
          <w:sz w:val="32"/>
          <w:szCs w:val="32"/>
          <w:lang w:val="en-US" w:eastAsia="zh-CN" w:bidi="ar"/>
        </w:rPr>
        <w:t>分。</w:t>
      </w:r>
    </w:p>
    <w:p w14:paraId="4868EE8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rPr>
      </w:pPr>
      <w:bookmarkStart w:id="317" w:name="_Toc32334"/>
      <w:r>
        <w:rPr>
          <w:rFonts w:hint="default" w:ascii="Times New Roman" w:hAnsi="Times New Roman" w:eastAsia="楷体" w:cs="仿宋_GB2312"/>
          <w:b/>
          <w:bCs/>
          <w:color w:val="auto"/>
          <w:sz w:val="32"/>
          <w:szCs w:val="32"/>
          <w:highlight w:val="none"/>
        </w:rPr>
        <w:t>（</w:t>
      </w:r>
      <w:r>
        <w:rPr>
          <w:rFonts w:hint="default" w:ascii="Times New Roman" w:hAnsi="Times New Roman" w:eastAsia="楷体" w:cs="仿宋_GB2312"/>
          <w:b/>
          <w:bCs/>
          <w:color w:val="auto"/>
          <w:sz w:val="32"/>
          <w:szCs w:val="32"/>
          <w:highlight w:val="none"/>
          <w:lang w:val="en-US" w:eastAsia="zh-CN"/>
        </w:rPr>
        <w:t>四</w:t>
      </w:r>
      <w:r>
        <w:rPr>
          <w:rFonts w:hint="default" w:ascii="Times New Roman" w:hAnsi="Times New Roman" w:eastAsia="楷体" w:cs="仿宋_GB2312"/>
          <w:b/>
          <w:bCs/>
          <w:color w:val="auto"/>
          <w:sz w:val="32"/>
          <w:szCs w:val="32"/>
          <w:highlight w:val="none"/>
        </w:rPr>
        <w:t>）项目</w:t>
      </w:r>
      <w:r>
        <w:rPr>
          <w:rFonts w:hint="default" w:ascii="Times New Roman" w:hAnsi="Times New Roman" w:eastAsia="楷体" w:cs="仿宋_GB2312"/>
          <w:b/>
          <w:bCs/>
          <w:color w:val="auto"/>
          <w:sz w:val="32"/>
          <w:szCs w:val="32"/>
          <w:highlight w:val="none"/>
          <w:lang w:val="en-US" w:eastAsia="zh-CN"/>
        </w:rPr>
        <w:t>效益</w:t>
      </w:r>
      <w:r>
        <w:rPr>
          <w:rFonts w:hint="default" w:ascii="Times New Roman" w:hAnsi="Times New Roman" w:eastAsia="楷体" w:cs="仿宋_GB2312"/>
          <w:b/>
          <w:bCs/>
          <w:color w:val="auto"/>
          <w:sz w:val="32"/>
          <w:szCs w:val="32"/>
          <w:highlight w:val="none"/>
        </w:rPr>
        <w:t>情况（分值</w:t>
      </w:r>
      <w:r>
        <w:rPr>
          <w:rFonts w:hint="default" w:ascii="Times New Roman" w:hAnsi="Times New Roman" w:eastAsia="楷体" w:cs="仿宋_GB2312"/>
          <w:b/>
          <w:bCs/>
          <w:color w:val="auto"/>
          <w:sz w:val="32"/>
          <w:szCs w:val="32"/>
          <w:highlight w:val="none"/>
          <w:lang w:val="en-US" w:eastAsia="zh-CN"/>
        </w:rPr>
        <w:t>15</w:t>
      </w:r>
      <w:r>
        <w:rPr>
          <w:rFonts w:hint="default" w:ascii="Times New Roman" w:hAnsi="Times New Roman" w:eastAsia="楷体" w:cs="仿宋_GB2312"/>
          <w:b/>
          <w:bCs/>
          <w:color w:val="auto"/>
          <w:sz w:val="32"/>
          <w:szCs w:val="32"/>
          <w:highlight w:val="none"/>
        </w:rPr>
        <w:t>分，得分</w:t>
      </w:r>
      <w:r>
        <w:rPr>
          <w:rFonts w:hint="default" w:ascii="Times New Roman" w:hAnsi="Times New Roman" w:eastAsia="楷体" w:cs="仿宋_GB2312"/>
          <w:b/>
          <w:bCs/>
          <w:color w:val="auto"/>
          <w:sz w:val="32"/>
          <w:szCs w:val="32"/>
          <w:highlight w:val="none"/>
          <w:lang w:val="en-US" w:eastAsia="zh-CN"/>
        </w:rPr>
        <w:t>15</w:t>
      </w:r>
      <w:r>
        <w:rPr>
          <w:rFonts w:hint="default" w:ascii="Times New Roman" w:hAnsi="Times New Roman" w:eastAsia="楷体" w:cs="仿宋_GB2312"/>
          <w:b/>
          <w:bCs/>
          <w:color w:val="auto"/>
          <w:sz w:val="32"/>
          <w:szCs w:val="32"/>
          <w:highlight w:val="none"/>
        </w:rPr>
        <w:t>分）</w:t>
      </w:r>
      <w:bookmarkEnd w:id="317"/>
    </w:p>
    <w:p w14:paraId="43F0FFED">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1.社会效益（分值10分，得分10分）</w:t>
      </w:r>
    </w:p>
    <w:p w14:paraId="51B8E7C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（1）项目直接受益人员</w:t>
      </w:r>
      <w:r>
        <w:rPr>
          <w:rFonts w:hint="eastAsia" w:ascii="Times New Roman" w:hAnsi="Times New Roman" w:eastAsia="仿宋_GB2312" w:cs="仿宋_GB2312"/>
          <w:bCs/>
          <w:kern w:val="0"/>
          <w:sz w:val="32"/>
          <w:szCs w:val="32"/>
          <w:lang w:val="en-US" w:eastAsia="zh-CN" w:bidi="ar"/>
        </w:rPr>
        <w:t>大于等于2155人</w:t>
      </w:r>
      <w:r>
        <w:rPr>
          <w:rFonts w:hint="default" w:ascii="Times New Roman" w:hAnsi="Times New Roman" w:eastAsia="仿宋_GB2312" w:cs="仿宋_GB2312"/>
          <w:bCs/>
          <w:kern w:val="0"/>
          <w:sz w:val="32"/>
          <w:szCs w:val="32"/>
          <w:lang w:val="en-US" w:eastAsia="zh-CN" w:bidi="ar"/>
        </w:rPr>
        <w:t>（分值5分，得分5分）</w:t>
      </w:r>
    </w:p>
    <w:p w14:paraId="4F95ED7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喀什市民政局2025年喀什市精康融合行动项目指标完成情况汇总表</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本项目通过专业评估，为精神障碍患者定制个性化康复服务，涵盖生活、社交和职业技能训练，助力患者提升自理能力、融入社会，为家属开展护理知识培训和心理支持活动，减轻其照顾负担，本项目直接受益人员达2155人</w:t>
      </w:r>
      <w:r>
        <w:rPr>
          <w:rFonts w:hint="eastAsia" w:ascii="Times New Roman" w:hAnsi="Times New Roman" w:cs="仿宋_GB2312"/>
          <w:bCs/>
          <w:kern w:val="0"/>
          <w:sz w:val="32"/>
          <w:szCs w:val="32"/>
          <w:lang w:val="en-US" w:eastAsia="zh-CN" w:bidi="ar"/>
        </w:rPr>
        <w:t>（2564人次）</w:t>
      </w:r>
      <w:r>
        <w:rPr>
          <w:rFonts w:hint="default" w:ascii="Times New Roman" w:hAnsi="Times New Roman" w:eastAsia="仿宋_GB2312" w:cs="仿宋_GB2312"/>
          <w:bCs/>
          <w:kern w:val="0"/>
          <w:sz w:val="32"/>
          <w:szCs w:val="32"/>
          <w:lang w:val="en-US" w:eastAsia="zh-CN" w:bidi="ar"/>
        </w:rPr>
        <w:t>。根据评分标准，该指标不扣分，得5分。</w:t>
      </w:r>
    </w:p>
    <w:p w14:paraId="34FF4E9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（2）引导社区康复机构的规范化运作（分值5分，得分5分）</w:t>
      </w:r>
    </w:p>
    <w:p w14:paraId="1658ADE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通过查看</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2025年喀什市民政局工作总结</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，通过与社区合作，为社区精康患者提供服务，有助于引导社区康复机构的规范化运作。根据评分标准，该指标不扣分，得5分。</w:t>
      </w:r>
    </w:p>
    <w:p w14:paraId="784153F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w:t>
      </w:r>
      <w:r>
        <w:rPr>
          <w:rFonts w:hint="default" w:ascii="Times New Roman" w:hAnsi="Times New Roman" w:eastAsia="仿宋_GB2312" w:cs="仿宋_GB2312"/>
          <w:bCs/>
          <w:kern w:val="0"/>
          <w:sz w:val="32"/>
          <w:szCs w:val="32"/>
          <w:lang w:val="en-US" w:eastAsia="zh-CN" w:bidi="ar"/>
        </w:rPr>
        <w:t>所述，社会效益指标得10分。</w:t>
      </w:r>
    </w:p>
    <w:p w14:paraId="629C762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2.满意度（分值5分，得分5分）</w:t>
      </w:r>
    </w:p>
    <w:p w14:paraId="2426A99B">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通过对精康患者进行满意度调查，收回有效问卷80份，将其结果进行汇总分析，详见附件2，得出调查满意度为98.75%，精康患者对于2025年喀什市精康融合行动项目非常满意。根据评分标准，该指标不扣分，得5分。</w:t>
      </w:r>
    </w:p>
    <w:p w14:paraId="32C2266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eastAsia" w:ascii="Times New Roman" w:hAnsi="Times New Roman" w:eastAsia="仿宋_GB2312" w:cs="仿宋_GB2312"/>
          <w:bCs/>
          <w:kern w:val="0"/>
          <w:sz w:val="32"/>
          <w:szCs w:val="32"/>
          <w:lang w:val="en-US" w:eastAsia="zh-CN" w:bidi="ar"/>
        </w:rPr>
        <w:t>综上所述</w:t>
      </w:r>
      <w:r>
        <w:rPr>
          <w:rFonts w:hint="default" w:ascii="Times New Roman" w:hAnsi="Times New Roman" w:eastAsia="仿宋_GB2312" w:cs="仿宋_GB2312"/>
          <w:bCs/>
          <w:kern w:val="0"/>
          <w:sz w:val="32"/>
          <w:szCs w:val="32"/>
          <w:lang w:val="en-US" w:eastAsia="zh-CN" w:bidi="ar"/>
        </w:rPr>
        <w:t>，项目效益指标得15分。</w:t>
      </w:r>
    </w:p>
    <w:p w14:paraId="025D91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318" w:name="_Toc27045"/>
      <w:bookmarkStart w:id="319" w:name="_Toc1671"/>
      <w:r>
        <w:rPr>
          <w:rFonts w:hint="default" w:ascii="Times New Roman" w:hAnsi="Times New Roman" w:eastAsia="黑体" w:cs="仿宋_GB2312"/>
          <w:color w:val="auto"/>
          <w:kern w:val="0"/>
          <w:sz w:val="32"/>
          <w:szCs w:val="32"/>
          <w:highlight w:val="none"/>
          <w:lang w:bidi="en-US"/>
        </w:rPr>
        <w:t>五、主要的经验及做法、存在的问题及原因分析</w:t>
      </w:r>
      <w:bookmarkEnd w:id="318"/>
      <w:bookmarkEnd w:id="319"/>
    </w:p>
    <w:p w14:paraId="795A158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320" w:name="_Toc18786"/>
      <w:bookmarkStart w:id="321" w:name="_Toc9714"/>
      <w:r>
        <w:rPr>
          <w:rFonts w:hint="default" w:ascii="Times New Roman" w:hAnsi="Times New Roman" w:eastAsia="楷体" w:cs="仿宋_GB2312"/>
          <w:b/>
          <w:bCs/>
          <w:color w:val="auto"/>
          <w:sz w:val="32"/>
          <w:szCs w:val="32"/>
          <w:highlight w:val="none"/>
        </w:rPr>
        <w:t>（一）主要的经验及做法</w:t>
      </w:r>
      <w:bookmarkEnd w:id="320"/>
      <w:bookmarkEnd w:id="321"/>
    </w:p>
    <w:p w14:paraId="6E66AB4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1.健全统筹联动机制，打通多部门协同闭环</w:t>
      </w:r>
    </w:p>
    <w:p w14:paraId="6B235E1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由市民政局统筹，卫健委、残联、乡镇（街道）、村（社区）等常态化联合办公，定期互通严重精神障碍患者台账信息，解决信息割裂、转介不畅问题。卫健部门提供精神科医师技术支撑、定期病情评估、复发绿色通道；残联落实残疾人补贴、托养、辅助性就业资源；社区网格员负责日常走访、风险预警、服务转介，形成筛查—诊疗—康复—救助全链条衔接机制。</w:t>
      </w:r>
    </w:p>
    <w:p w14:paraId="6B29109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2.规范过程监管与绩效评估，长效管控服务质量</w:t>
      </w:r>
    </w:p>
    <w:p w14:paraId="63C6F53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（1）全流程标准化服务台账。统一设计入户走访、小组活动、病情评估、转介记录、家属服务标准化表单，做到每次服务留痕、有据可查，适配财政绩效评价、审计核查要求。</w:t>
      </w:r>
    </w:p>
    <w:p w14:paraId="1C5975F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常态化督导与季度绩效评价。市级孵化基地每月下沉站点实地督导，核查服务频次、服务质量、群众满意度；按季度开展项目绩效自评，从服务覆盖率、规范服药率、生活自理提升率、群众满意度、复发率等指标量化成效，动态优化服务方案。</w:t>
      </w:r>
    </w:p>
    <w:p w14:paraId="7723416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（3）群众反馈闭环机制。通过入户回访、社区座谈、双语意见收集箱收集患者及家属诉求，建立问题整改台账，限时优化服务内容，持续提升群众获得感。</w:t>
      </w:r>
    </w:p>
    <w:p w14:paraId="7D8AEC3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val="en-US" w:eastAsia="zh-CN"/>
        </w:rPr>
      </w:pPr>
      <w:bookmarkStart w:id="322" w:name="_Toc20334"/>
      <w:r>
        <w:rPr>
          <w:rFonts w:hint="default" w:ascii="Times New Roman" w:hAnsi="Times New Roman" w:eastAsia="楷体" w:cs="仿宋_GB2312"/>
          <w:b/>
          <w:bCs/>
          <w:color w:val="auto"/>
          <w:sz w:val="32"/>
          <w:szCs w:val="32"/>
          <w:highlight w:val="none"/>
          <w:lang w:val="en-US" w:eastAsia="zh-CN"/>
        </w:rPr>
        <w:t>（二）存在的问题及原因分析</w:t>
      </w:r>
      <w:bookmarkEnd w:id="322"/>
    </w:p>
    <w:p w14:paraId="44A31AB9">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1.项目前期论证不足，实施方案编制不科学，绩效目标设置偏低，与实际执行情况偏差较大</w:t>
      </w:r>
    </w:p>
    <w:p w14:paraId="2A3AB35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项目提供了完整的《项目支出绩效目标表》，并制定了实施方案，该项目绩效目标与实际工作内容具有相关性，明确了总体思路及目标项目预期产出和效益基本符合正常的业绩水平，截至2025年12月31日，项目资金支出与预算确定的项目投资额20万元相匹配，本项目实施方案计划</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服务精神障碍患者人数100人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，实际服务精神障碍患者342人，实际完成值与预期值差额较大。</w:t>
      </w:r>
      <w:r>
        <w:rPr>
          <w:rFonts w:hint="eastAsia" w:ascii="Times New Roman" w:hAnsi="Times New Roman" w:cs="仿宋_GB2312"/>
          <w:bCs/>
          <w:kern w:val="0"/>
          <w:sz w:val="32"/>
          <w:szCs w:val="32"/>
          <w:lang w:val="en-US" w:eastAsia="zh-CN" w:bidi="ar"/>
        </w:rPr>
        <w:t>开展项目前期工作时，实地调研、现状摸排不够；绩效预期目标测算主观性较强，项目方案不够成熟。</w:t>
      </w:r>
    </w:p>
    <w:p w14:paraId="1F9878B7">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2.项目期末评估与项目合同的贴合度不够</w:t>
      </w:r>
    </w:p>
    <w:p w14:paraId="1E5511C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现场检查发现，该项目的评估分为期中和期末，期末对于精康融合行动服务的评估无合同中具体工作指标的评估，项目履约验收不规范。评估工作侧重点发生偏移。期中评估重点核查项目阶段性产出、服务台账数据，聚焦进度纠偏，因此对服务人次、走访数量、个案数等具体业务数据逐项核验；期末评估更偏向成效、社会效益、满意度定性评价，弱化了业务原始数据核对，缺少量化数据复核环节。</w:t>
      </w:r>
    </w:p>
    <w:p w14:paraId="6B2B85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仿宋_GB2312"/>
          <w:color w:val="auto"/>
          <w:kern w:val="0"/>
          <w:sz w:val="32"/>
          <w:szCs w:val="32"/>
          <w:highlight w:val="none"/>
          <w:lang w:bidi="en-US"/>
        </w:rPr>
      </w:pPr>
      <w:bookmarkStart w:id="323" w:name="_Toc28133"/>
      <w:r>
        <w:rPr>
          <w:rFonts w:hint="default" w:ascii="Times New Roman" w:hAnsi="Times New Roman" w:eastAsia="黑体" w:cs="仿宋_GB2312"/>
          <w:color w:val="auto"/>
          <w:kern w:val="0"/>
          <w:sz w:val="32"/>
          <w:szCs w:val="32"/>
          <w:highlight w:val="none"/>
          <w:lang w:bidi="en-US"/>
        </w:rPr>
        <w:t>六、相关建议</w:t>
      </w:r>
      <w:bookmarkEnd w:id="323"/>
    </w:p>
    <w:p w14:paraId="479F795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1.加强项目前期深入调研，合理设置绩效目标，力求最大限度与实际执行相符</w:t>
      </w:r>
    </w:p>
    <w:p w14:paraId="4C4C36B8">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深入开展项目的前期调研，了解分析项目的实际需求，根据项目的规模合理编制项目方案，全面考虑项目所涉及的所有范围，使前期论证具有前瞻性、适应性和可操作性，加强与相关业务科室的协调沟通，广泛征求意见，准确把握政策要求和项目实际需求，减少项目预期计划完成工作量与实际完成工作量之间的偏差。合理设置绩效目标，设置的目标需与项目实际情况相对应，确保绩效目标符合实际，尽可能地减小实际完成值与预期目标值之间的差距，做到精准有效，质量保证，最大限度地发挥资金的使用绩效。</w:t>
      </w:r>
    </w:p>
    <w:p w14:paraId="26089D30">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3" w:firstLineChars="200"/>
        <w:textAlignment w:val="auto"/>
        <w:rPr>
          <w:rFonts w:hint="default" w:ascii="Times New Roman" w:hAnsi="Times New Roman" w:eastAsia="仿宋_GB2312" w:cs="仿宋_GB2312"/>
          <w:b/>
          <w:bCs w:val="0"/>
          <w:kern w:val="0"/>
          <w:sz w:val="32"/>
          <w:szCs w:val="32"/>
          <w:lang w:val="en-US" w:eastAsia="zh-CN" w:bidi="ar"/>
        </w:rPr>
      </w:pPr>
      <w:r>
        <w:rPr>
          <w:rFonts w:hint="default" w:ascii="Times New Roman" w:hAnsi="Times New Roman" w:eastAsia="仿宋_GB2312" w:cs="仿宋_GB2312"/>
          <w:b/>
          <w:bCs w:val="0"/>
          <w:kern w:val="0"/>
          <w:sz w:val="32"/>
          <w:szCs w:val="32"/>
          <w:lang w:val="en-US" w:eastAsia="zh-CN" w:bidi="ar"/>
        </w:rPr>
        <w:t>2.加强政府采购需求和履约验收管理</w:t>
      </w:r>
    </w:p>
    <w:p w14:paraId="1CC1D623">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加强项目采购需求和履约验收管理，建立健全项目全过程跟踪监督机制，认真学习财政部印发</w:t>
      </w:r>
      <w:r>
        <w:rPr>
          <w:rFonts w:hint="eastAsia" w:ascii="Times New Roman" w:hAnsi="Times New Roman" w:eastAsia="仿宋_GB2312" w:cs="仿宋_GB2312"/>
          <w:bCs/>
          <w:kern w:val="0"/>
          <w:sz w:val="32"/>
          <w:szCs w:val="32"/>
          <w:lang w:val="en-US" w:eastAsia="zh-CN" w:bidi="ar"/>
        </w:rPr>
        <w:t>的</w:t>
      </w:r>
      <w:r>
        <w:rPr>
          <w:rFonts w:hint="default" w:ascii="Times New Roman" w:hAnsi="Times New Roman" w:eastAsia="仿宋_GB2312" w:cs="仿宋_GB2312"/>
          <w:bCs/>
          <w:kern w:val="0"/>
          <w:sz w:val="32"/>
          <w:szCs w:val="32"/>
          <w:lang w:val="en-US" w:eastAsia="zh-CN" w:bidi="ar"/>
        </w:rPr>
        <w:t>《关于进一步加强政府采购需求和履约验收管理的指导意见》，提高政府采购需求和履约验收管理的科学化、规范化水平。强化采购人对采购需求和履约验收的主体责任，切实做好需求编制和履约验收工作，完善内部机制、强化内部监督、细化内部流程，对于多阶段验收的项目，统一验收、评估的标准。</w:t>
      </w:r>
    </w:p>
    <w:p w14:paraId="7D40DD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方正黑体_GBK" w:cs="仿宋_GB2312"/>
          <w:color w:val="auto"/>
          <w:kern w:val="0"/>
          <w:sz w:val="28"/>
          <w:szCs w:val="28"/>
          <w:highlight w:val="none"/>
          <w:lang w:val="en-US" w:eastAsia="zh-CN" w:bidi="en-US"/>
        </w:rPr>
      </w:pPr>
      <w:bookmarkStart w:id="324" w:name="_Toc27485"/>
      <w:r>
        <w:rPr>
          <w:rFonts w:hint="default" w:ascii="Times New Roman" w:hAnsi="Times New Roman" w:eastAsia="黑体" w:cs="仿宋_GB2312"/>
          <w:color w:val="auto"/>
          <w:kern w:val="0"/>
          <w:sz w:val="32"/>
          <w:szCs w:val="32"/>
          <w:highlight w:val="none"/>
          <w:lang w:val="en-US" w:eastAsia="zh-CN" w:bidi="en-US"/>
        </w:rPr>
        <w:t>七、其他需要说明的问题</w:t>
      </w:r>
      <w:bookmarkEnd w:id="324"/>
    </w:p>
    <w:p w14:paraId="16738DD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方正楷体_GBK" w:cs="仿宋_GB2312"/>
          <w:b/>
          <w:bCs/>
          <w:color w:val="auto"/>
          <w:sz w:val="28"/>
          <w:szCs w:val="28"/>
          <w:highlight w:val="none"/>
          <w:lang w:eastAsia="zh-CN"/>
        </w:rPr>
      </w:pPr>
      <w:bookmarkStart w:id="325" w:name="_Toc26696"/>
      <w:bookmarkStart w:id="326" w:name="_Toc14406"/>
      <w:r>
        <w:rPr>
          <w:rFonts w:hint="default" w:ascii="Times New Roman" w:hAnsi="Times New Roman" w:eastAsia="楷体" w:cs="仿宋_GB2312"/>
          <w:b/>
          <w:bCs/>
          <w:color w:val="auto"/>
          <w:sz w:val="32"/>
          <w:szCs w:val="32"/>
          <w:highlight w:val="none"/>
          <w:lang w:eastAsia="zh-CN"/>
        </w:rPr>
        <w:t>（一）关于评价责任的说明</w:t>
      </w:r>
      <w:bookmarkEnd w:id="325"/>
      <w:bookmarkEnd w:id="326"/>
    </w:p>
    <w:p w14:paraId="1331DE7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评价结果依据评价客体提供的各项基础资料，运用规定的评价方法，评价工作组保证本次评价工作全过程的公正和公平，各项评价基础资料的真实性与完整性由评价客体负责，未经评价组织机构同意，任何单位和个人不得将本评价结果对外公布。</w:t>
      </w:r>
    </w:p>
    <w:p w14:paraId="717C72E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eastAsia="zh-CN"/>
        </w:rPr>
      </w:pPr>
      <w:bookmarkStart w:id="327" w:name="_Toc789"/>
      <w:bookmarkStart w:id="328" w:name="_Toc20928"/>
      <w:r>
        <w:rPr>
          <w:rFonts w:hint="default" w:ascii="Times New Roman" w:hAnsi="Times New Roman" w:eastAsia="楷体" w:cs="仿宋_GB2312"/>
          <w:b/>
          <w:bCs/>
          <w:color w:val="auto"/>
          <w:sz w:val="32"/>
          <w:szCs w:val="32"/>
          <w:highlight w:val="none"/>
          <w:lang w:eastAsia="zh-CN"/>
        </w:rPr>
        <w:t>（二）本次绩效评价的局限性</w:t>
      </w:r>
      <w:bookmarkEnd w:id="327"/>
      <w:bookmarkEnd w:id="328"/>
    </w:p>
    <w:p w14:paraId="68DCC46E">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1.评价组本着严谨客观的态度完成绩效评价工作，从前期调研、方案设计、数据采集到报告撰写，尽量做到科学和全面，但鉴于种种因素，本次评价在指标设计上可能仍存在一定的局限性。</w:t>
      </w:r>
    </w:p>
    <w:p w14:paraId="0E130AC1">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2.部分末级指标是在相关单位提供的评价资料的基础上分析得出的，其可靠性取决于项目单位提供的资料真实性、有效性和正确性，同时也受绩效评价工作人员专业判断能力的限制，可能会对评价结论产生一定影响。</w:t>
      </w:r>
    </w:p>
    <w:p w14:paraId="1DB6B48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3.本绩效评价报告仅对项目财政支出绩效发表评价意见，不应视为对项目实施、管理单位工作的全面评价，也不应视为对相关单位财务情况发表的审计意见。</w:t>
      </w:r>
    </w:p>
    <w:p w14:paraId="14C9FA8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方正黑体_GBK" w:cs="仿宋_GB2312"/>
          <w:color w:val="auto"/>
          <w:kern w:val="0"/>
          <w:sz w:val="28"/>
          <w:szCs w:val="28"/>
          <w:highlight w:val="none"/>
          <w:lang w:bidi="en-US"/>
        </w:rPr>
      </w:pPr>
      <w:bookmarkStart w:id="329" w:name="_Toc29726"/>
      <w:bookmarkStart w:id="330" w:name="_Toc15364"/>
      <w:r>
        <w:rPr>
          <w:rFonts w:hint="default" w:ascii="Times New Roman" w:hAnsi="Times New Roman" w:eastAsia="黑体" w:cs="仿宋_GB2312"/>
          <w:color w:val="auto"/>
          <w:kern w:val="0"/>
          <w:sz w:val="32"/>
          <w:szCs w:val="32"/>
          <w:highlight w:val="none"/>
          <w:lang w:bidi="en-US"/>
        </w:rPr>
        <w:t>八、绩效评价结果应用建议</w:t>
      </w:r>
      <w:bookmarkEnd w:id="329"/>
      <w:bookmarkEnd w:id="330"/>
    </w:p>
    <w:p w14:paraId="70787652">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32"/>
          <w:szCs w:val="32"/>
          <w:lang w:val="en-US" w:eastAsia="zh-CN"/>
        </w:rPr>
      </w:pPr>
      <w:r>
        <w:rPr>
          <w:rFonts w:hint="default" w:ascii="Times New Roman" w:hAnsi="Times New Roman" w:eastAsia="仿宋_GB2312" w:cs="仿宋_GB2312"/>
          <w:bCs/>
          <w:kern w:val="0"/>
          <w:sz w:val="32"/>
          <w:szCs w:val="32"/>
          <w:lang w:val="en-US" w:eastAsia="zh-CN" w:bidi="ar"/>
        </w:rPr>
        <w:t>针对上述绩效评价报告结果提出结果应用建议如下：</w:t>
      </w:r>
    </w:p>
    <w:p w14:paraId="166522D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331" w:name="_Toc14227"/>
      <w:bookmarkStart w:id="332" w:name="_Toc11569"/>
      <w:bookmarkStart w:id="333" w:name="_Toc29785"/>
      <w:bookmarkStart w:id="334" w:name="_Toc15137"/>
      <w:bookmarkStart w:id="335" w:name="_Toc12903"/>
      <w:bookmarkStart w:id="336" w:name="_Toc18050"/>
      <w:bookmarkStart w:id="337" w:name="_Toc22340"/>
      <w:bookmarkStart w:id="338" w:name="_Toc23685"/>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一</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绩效结果挂钩次年预算资金安排</w:t>
      </w:r>
      <w:bookmarkEnd w:id="331"/>
      <w:bookmarkEnd w:id="332"/>
      <w:bookmarkEnd w:id="333"/>
      <w:bookmarkEnd w:id="334"/>
      <w:bookmarkEnd w:id="335"/>
      <w:bookmarkEnd w:id="336"/>
      <w:bookmarkEnd w:id="337"/>
      <w:bookmarkEnd w:id="338"/>
    </w:p>
    <w:p w14:paraId="7C8AD4DC">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bookmarkStart w:id="339" w:name="_Toc18876"/>
      <w:bookmarkStart w:id="340" w:name="_Toc17557"/>
      <w:bookmarkStart w:id="341" w:name="_Toc30788"/>
      <w:bookmarkStart w:id="342" w:name="_Toc12336"/>
      <w:bookmarkStart w:id="343" w:name="_Toc29026"/>
      <w:bookmarkStart w:id="344" w:name="_Toc20260"/>
      <w:r>
        <w:rPr>
          <w:rFonts w:hint="default" w:ascii="Times New Roman" w:hAnsi="Times New Roman" w:eastAsia="仿宋_GB2312" w:cs="仿宋_GB2312"/>
          <w:bCs/>
          <w:kern w:val="0"/>
          <w:sz w:val="32"/>
          <w:szCs w:val="32"/>
          <w:lang w:val="en-US" w:eastAsia="zh-CN" w:bidi="ar"/>
        </w:rPr>
        <w:t>为有效提高财政预算资金的经济性、效率性以及效益性，建议将本次绩效评价结果作为预算单位次年预算编制的重要依据，并优化支出结构、完善相关办法、改进预算管理。对于评价结果为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（90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（含）-100分）：属延续性项目的，在下一年度部门预算编制中优先予以安排。属一次性项目的，在下一年度部门预算编制中，可予以奖励；对于评价结果为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良</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（80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（含）-90分）：属延续性项目的，在下一年度部门预算编制中，可适当予以安排；对于评价结果为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中</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（70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（含）-80分）：属延续性项目的，在下一年度部门预算编制中，按照比例）（（80－项目绩效评价结果得分）%）扣减项目预算；对于评价结果为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差</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（70分以下）：在下一年度部门预算编制中，原则上不予安排。</w:t>
      </w:r>
    </w:p>
    <w:p w14:paraId="76477916">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经对喀什市2025年喀什市精康融合行动项目进行客观评价，最终评分结果：评价总分9</w:t>
      </w:r>
      <w:r>
        <w:rPr>
          <w:rFonts w:hint="eastAsia" w:ascii="Times New Roman" w:hAnsi="Times New Roman" w:cs="仿宋_GB2312"/>
          <w:bCs/>
          <w:kern w:val="0"/>
          <w:sz w:val="32"/>
          <w:szCs w:val="32"/>
          <w:lang w:val="en-US" w:eastAsia="zh-CN" w:bidi="ar"/>
        </w:rPr>
        <w:t>4</w:t>
      </w:r>
      <w:r>
        <w:rPr>
          <w:rFonts w:hint="default" w:ascii="Times New Roman" w:hAnsi="Times New Roman" w:eastAsia="仿宋_GB2312" w:cs="仿宋_GB2312"/>
          <w:bCs/>
          <w:kern w:val="0"/>
          <w:sz w:val="32"/>
          <w:szCs w:val="32"/>
          <w:lang w:val="en-US" w:eastAsia="zh-CN" w:bidi="ar"/>
        </w:rPr>
        <w:t>.5分，绩效等级为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。根据政策制度，建议对本项目根据《喀什地区全过程预算绩效管理结果应用暂行办法》的规定，对于评价结果为</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优</w:t>
      </w:r>
      <w:r>
        <w:rPr>
          <w:rFonts w:hint="eastAsia" w:ascii="Times New Roman" w:hAnsi="Times New Roman" w:cs="仿宋_GB2312"/>
          <w:bCs/>
          <w:kern w:val="0"/>
          <w:sz w:val="32"/>
          <w:szCs w:val="32"/>
          <w:lang w:val="en-US" w:eastAsia="zh-CN" w:bidi="ar"/>
        </w:rPr>
        <w:t>”</w:t>
      </w:r>
      <w:r>
        <w:rPr>
          <w:rFonts w:hint="default" w:ascii="Times New Roman" w:hAnsi="Times New Roman" w:eastAsia="仿宋_GB2312" w:cs="仿宋_GB2312"/>
          <w:bCs/>
          <w:kern w:val="0"/>
          <w:sz w:val="32"/>
          <w:szCs w:val="32"/>
          <w:lang w:val="en-US" w:eastAsia="zh-CN" w:bidi="ar"/>
        </w:rPr>
        <w:t>（90</w:t>
      </w:r>
      <w:r>
        <w:rPr>
          <w:rFonts w:hint="eastAsia" w:ascii="Times New Roman" w:hAnsi="Times New Roman" w:cs="仿宋_GB2312"/>
          <w:bCs/>
          <w:kern w:val="0"/>
          <w:sz w:val="32"/>
          <w:szCs w:val="32"/>
          <w:lang w:val="en-US" w:eastAsia="zh-CN" w:bidi="ar"/>
        </w:rPr>
        <w:t>分</w:t>
      </w:r>
      <w:r>
        <w:rPr>
          <w:rFonts w:hint="default" w:ascii="Times New Roman" w:hAnsi="Times New Roman" w:eastAsia="仿宋_GB2312" w:cs="仿宋_GB2312"/>
          <w:bCs/>
          <w:kern w:val="0"/>
          <w:sz w:val="32"/>
          <w:szCs w:val="32"/>
          <w:lang w:val="en-US" w:eastAsia="zh-CN" w:bidi="ar"/>
        </w:rPr>
        <w:t>（含）-100分）：属延续性项目的，在下一年度部门预算编制中优先予以安排。</w:t>
      </w:r>
    </w:p>
    <w:p w14:paraId="65F4EE5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rPr>
      </w:pPr>
      <w:bookmarkStart w:id="345" w:name="_Toc1031"/>
      <w:bookmarkStart w:id="346" w:name="_Toc597"/>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二</w:t>
      </w:r>
      <w:r>
        <w:rPr>
          <w:rFonts w:hint="default" w:ascii="Times New Roman" w:hAnsi="Times New Roman" w:eastAsia="楷体" w:cs="仿宋_GB2312"/>
          <w:b/>
          <w:bCs/>
          <w:color w:val="auto"/>
          <w:sz w:val="32"/>
          <w:szCs w:val="32"/>
          <w:highlight w:val="none"/>
          <w:lang w:eastAsia="zh-CN"/>
        </w:rPr>
        <w:t>）</w:t>
      </w:r>
      <w:r>
        <w:rPr>
          <w:rFonts w:hint="default" w:ascii="Times New Roman" w:hAnsi="Times New Roman" w:eastAsia="楷体" w:cs="仿宋_GB2312"/>
          <w:b/>
          <w:bCs/>
          <w:color w:val="auto"/>
          <w:sz w:val="32"/>
          <w:szCs w:val="32"/>
          <w:highlight w:val="none"/>
        </w:rPr>
        <w:t>绩效结果挂钩整改措施</w:t>
      </w:r>
      <w:bookmarkEnd w:id="339"/>
      <w:bookmarkEnd w:id="340"/>
      <w:bookmarkEnd w:id="341"/>
      <w:bookmarkEnd w:id="342"/>
      <w:bookmarkEnd w:id="343"/>
      <w:bookmarkEnd w:id="344"/>
      <w:bookmarkEnd w:id="345"/>
      <w:bookmarkEnd w:id="346"/>
    </w:p>
    <w:p w14:paraId="2706EAB5">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建议根据本次绩效评价报告中所反馈的问题和建议，由项目实施单位及时研究制定整改措施，积极落实整改要求，切实改进资金管理和项目管理，并在规定的时间内，将整改情况向喀什市财政局行文报告，并附《绩效评价结果整改报告》。</w:t>
      </w:r>
    </w:p>
    <w:p w14:paraId="5FD528D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default" w:ascii="Times New Roman" w:hAnsi="Times New Roman" w:eastAsia="楷体" w:cs="仿宋_GB2312"/>
          <w:b/>
          <w:bCs/>
          <w:color w:val="auto"/>
          <w:sz w:val="32"/>
          <w:szCs w:val="32"/>
          <w:highlight w:val="none"/>
          <w:lang w:eastAsia="zh-CN"/>
        </w:rPr>
      </w:pPr>
      <w:bookmarkStart w:id="347" w:name="_Toc24053"/>
      <w:bookmarkStart w:id="348" w:name="_Toc29077"/>
      <w:bookmarkStart w:id="349" w:name="_Toc23579"/>
      <w:bookmarkStart w:id="350" w:name="_Toc27355"/>
      <w:bookmarkStart w:id="351" w:name="_Toc3894"/>
      <w:bookmarkStart w:id="352" w:name="_Toc15897"/>
      <w:bookmarkStart w:id="353" w:name="_Toc16732"/>
      <w:bookmarkStart w:id="354" w:name="_Toc28361"/>
      <w:r>
        <w:rPr>
          <w:rFonts w:hint="default" w:ascii="Times New Roman" w:hAnsi="Times New Roman" w:eastAsia="楷体" w:cs="仿宋_GB2312"/>
          <w:b/>
          <w:bCs/>
          <w:color w:val="auto"/>
          <w:sz w:val="32"/>
          <w:szCs w:val="32"/>
          <w:highlight w:val="none"/>
          <w:lang w:eastAsia="zh-CN"/>
        </w:rPr>
        <w:t>（三）绩效结果挂钩报告公开</w:t>
      </w:r>
      <w:bookmarkEnd w:id="347"/>
      <w:bookmarkEnd w:id="348"/>
      <w:bookmarkEnd w:id="349"/>
      <w:bookmarkEnd w:id="350"/>
      <w:bookmarkEnd w:id="351"/>
      <w:bookmarkEnd w:id="352"/>
      <w:bookmarkEnd w:id="353"/>
      <w:bookmarkEnd w:id="354"/>
    </w:p>
    <w:p w14:paraId="6B38F64A">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仿宋_GBK" w:cs="仿宋_GB2312"/>
          <w:spacing w:val="6"/>
          <w:kern w:val="0"/>
          <w:sz w:val="28"/>
          <w:szCs w:val="28"/>
          <w:lang w:val="en-US" w:eastAsia="zh-CN" w:bidi="ar-SA"/>
        </w:rPr>
      </w:pPr>
      <w:r>
        <w:rPr>
          <w:rFonts w:hint="default" w:ascii="Times New Roman" w:hAnsi="Times New Roman" w:eastAsia="仿宋_GB2312" w:cs="仿宋_GB2312"/>
          <w:bCs/>
          <w:kern w:val="0"/>
          <w:sz w:val="32"/>
          <w:szCs w:val="32"/>
          <w:lang w:val="en-US" w:eastAsia="zh-CN" w:bidi="ar"/>
        </w:rPr>
        <w:t>积极推进评价结果和评价报告等绩效信息的公开。按照政府信息公开有关规定，由喀什市财政局将本次绩效评价的结果信息进行公开，加强社会和舆论监督，提高财政资金使用透明度。</w:t>
      </w:r>
    </w:p>
    <w:p w14:paraId="753A97F4">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both"/>
        <w:textAlignment w:val="auto"/>
        <w:rPr>
          <w:rFonts w:hint="default" w:ascii="Times New Roman" w:hAnsi="Times New Roman" w:eastAsia="方正仿宋_GBK" w:cs="仿宋_GB2312"/>
          <w:spacing w:val="6"/>
          <w:kern w:val="0"/>
          <w:sz w:val="28"/>
          <w:szCs w:val="28"/>
          <w:lang w:val="en-US" w:eastAsia="zh-CN" w:bidi="ar-SA"/>
        </w:rPr>
      </w:pPr>
    </w:p>
    <w:p w14:paraId="35C95CA7">
      <w:pPr>
        <w:pStyle w:val="16"/>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default" w:ascii="Times New Roman" w:hAnsi="Times New Roman" w:eastAsia="方正仿宋_GBK" w:cs="仿宋_GB2312"/>
          <w:spacing w:val="6"/>
          <w:kern w:val="0"/>
          <w:sz w:val="28"/>
          <w:szCs w:val="28"/>
          <w:lang w:val="en-US" w:eastAsia="zh-CN" w:bidi="ar-SA"/>
        </w:rPr>
      </w:pPr>
    </w:p>
    <w:p w14:paraId="72A6099C">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附件1:2025年喀什市精康融合行动项目绩效评价指标综合评分表</w:t>
      </w:r>
    </w:p>
    <w:p w14:paraId="1CC5B77D">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bookmarkStart w:id="355" w:name="_Toc12421"/>
      <w:bookmarkStart w:id="356" w:name="_Toc13251"/>
      <w:bookmarkStart w:id="357" w:name="_Toc13965"/>
      <w:bookmarkStart w:id="358" w:name="_Toc11962"/>
      <w:bookmarkStart w:id="359" w:name="_Toc7987"/>
      <w:bookmarkStart w:id="360" w:name="_Toc19730"/>
      <w:bookmarkStart w:id="361" w:name="_Toc6546"/>
      <w:bookmarkStart w:id="362" w:name="_Toc12712"/>
      <w:r>
        <w:rPr>
          <w:rFonts w:hint="default" w:ascii="Times New Roman" w:hAnsi="Times New Roman" w:eastAsia="仿宋_GB2312" w:cs="仿宋_GB2312"/>
          <w:bCs/>
          <w:kern w:val="0"/>
          <w:sz w:val="32"/>
          <w:szCs w:val="32"/>
          <w:lang w:val="en-US" w:eastAsia="zh-CN" w:bidi="ar"/>
        </w:rPr>
        <w:t>附件2</w:t>
      </w:r>
      <w:bookmarkEnd w:id="355"/>
      <w:bookmarkEnd w:id="356"/>
      <w:bookmarkEnd w:id="357"/>
      <w:bookmarkEnd w:id="358"/>
      <w:bookmarkEnd w:id="359"/>
      <w:bookmarkEnd w:id="360"/>
      <w:bookmarkEnd w:id="361"/>
      <w:bookmarkEnd w:id="362"/>
      <w:r>
        <w:rPr>
          <w:rFonts w:hint="default" w:ascii="Times New Roman" w:hAnsi="Times New Roman" w:eastAsia="仿宋_GB2312" w:cs="仿宋_GB2312"/>
          <w:bCs/>
          <w:kern w:val="0"/>
          <w:sz w:val="32"/>
          <w:szCs w:val="32"/>
          <w:lang w:val="en-US" w:eastAsia="zh-CN" w:bidi="ar"/>
        </w:rPr>
        <w:t>：</w:t>
      </w:r>
      <w:r>
        <w:rPr>
          <w:rFonts w:hint="eastAsia" w:ascii="Times New Roman" w:hAnsi="Times New Roman" w:cs="仿宋_GB2312"/>
          <w:bCs/>
          <w:kern w:val="0"/>
          <w:sz w:val="32"/>
          <w:szCs w:val="32"/>
          <w:lang w:val="en-US" w:eastAsia="zh-CN" w:bidi="ar"/>
        </w:rPr>
        <w:t>满意度</w:t>
      </w:r>
      <w:r>
        <w:rPr>
          <w:rFonts w:hint="default" w:ascii="Times New Roman" w:hAnsi="Times New Roman" w:eastAsia="仿宋_GB2312" w:cs="仿宋_GB2312"/>
          <w:bCs/>
          <w:kern w:val="0"/>
          <w:sz w:val="32"/>
          <w:szCs w:val="32"/>
          <w:lang w:val="zh-CN" w:eastAsia="zh-CN" w:bidi="ar"/>
        </w:rPr>
        <w:t>调查问卷</w:t>
      </w:r>
      <w:r>
        <w:rPr>
          <w:rFonts w:hint="default" w:ascii="Times New Roman" w:hAnsi="Times New Roman" w:eastAsia="仿宋_GB2312" w:cs="仿宋_GB2312"/>
          <w:bCs/>
          <w:kern w:val="0"/>
          <w:sz w:val="32"/>
          <w:szCs w:val="32"/>
          <w:lang w:val="en-US" w:eastAsia="zh-CN" w:bidi="ar"/>
        </w:rPr>
        <w:t>汇总表</w:t>
      </w:r>
    </w:p>
    <w:p w14:paraId="56DBA17E">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附件3：基础信息采集表</w:t>
      </w:r>
    </w:p>
    <w:p w14:paraId="1324533B">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附件4：访谈记录</w:t>
      </w:r>
    </w:p>
    <w:p w14:paraId="2DF2016B">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附件5：实地勘察记录</w:t>
      </w:r>
    </w:p>
    <w:p w14:paraId="348E8904">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cs="仿宋_GB2312"/>
          <w:bCs/>
          <w:kern w:val="0"/>
          <w:sz w:val="32"/>
          <w:szCs w:val="32"/>
          <w:lang w:val="en-US" w:eastAsia="zh-CN" w:bidi="ar"/>
        </w:rPr>
      </w:pPr>
      <w:r>
        <w:rPr>
          <w:rFonts w:hint="eastAsia" w:ascii="Times New Roman" w:hAnsi="Times New Roman" w:cs="仿宋_GB2312"/>
          <w:bCs/>
          <w:kern w:val="0"/>
          <w:sz w:val="32"/>
          <w:szCs w:val="32"/>
          <w:lang w:val="en-US" w:eastAsia="zh-CN" w:bidi="ar"/>
        </w:rPr>
        <w:t>附件6：绩效评价报告单位反馈意见单</w:t>
      </w:r>
    </w:p>
    <w:p w14:paraId="760FDE91">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cs="仿宋_GB2312"/>
          <w:bCs/>
          <w:kern w:val="0"/>
          <w:sz w:val="32"/>
          <w:szCs w:val="32"/>
          <w:lang w:val="en-US" w:eastAsia="zh-CN" w:bidi="ar"/>
        </w:rPr>
      </w:pPr>
      <w:r>
        <w:rPr>
          <w:rFonts w:hint="eastAsia" w:ascii="Times New Roman" w:hAnsi="Times New Roman" w:cs="仿宋_GB2312"/>
          <w:bCs/>
          <w:kern w:val="0"/>
          <w:sz w:val="32"/>
          <w:szCs w:val="32"/>
          <w:lang w:val="en-US" w:eastAsia="zh-CN" w:bidi="ar"/>
        </w:rPr>
        <w:t>附件7：绩效评价报告财政部门意见反馈表</w:t>
      </w:r>
    </w:p>
    <w:p w14:paraId="3FCA097B">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p>
    <w:p w14:paraId="5D4A08B8">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仿宋_GB2312"/>
          <w:bCs/>
          <w:kern w:val="0"/>
          <w:sz w:val="32"/>
          <w:szCs w:val="32"/>
          <w:lang w:val="en-US" w:eastAsia="zh-CN" w:bidi="ar"/>
        </w:rPr>
      </w:pPr>
    </w:p>
    <w:p w14:paraId="60B568F6">
      <w:pPr>
        <w:pStyle w:val="1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right"/>
        <w:textAlignment w:val="auto"/>
        <w:rPr>
          <w:rFonts w:hint="default" w:ascii="Times New Roman" w:hAnsi="Times New Roman" w:eastAsia="仿宋_GB2312" w:cs="仿宋_GB2312"/>
          <w:bCs/>
          <w:kern w:val="0"/>
          <w:sz w:val="32"/>
          <w:szCs w:val="32"/>
          <w:lang w:val="en-US" w:eastAsia="zh-CN" w:bidi="ar"/>
        </w:rPr>
      </w:pPr>
      <w:r>
        <w:rPr>
          <w:rFonts w:hint="default" w:ascii="Times New Roman" w:hAnsi="Times New Roman" w:eastAsia="仿宋_GB2312" w:cs="仿宋_GB2312"/>
          <w:bCs/>
          <w:kern w:val="0"/>
          <w:sz w:val="32"/>
          <w:szCs w:val="32"/>
          <w:lang w:val="en-US" w:eastAsia="zh-CN" w:bidi="ar"/>
        </w:rPr>
        <w:t>新疆高博有限责任会计师事务所</w:t>
      </w:r>
    </w:p>
    <w:p w14:paraId="66B3E9C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center"/>
        <w:textAlignment w:val="auto"/>
        <w:rPr>
          <w:rFonts w:hint="default" w:ascii="Times New Roman" w:hAnsi="Times New Roman" w:eastAsia="仿宋_GB2312" w:cs="仿宋_GB2312"/>
          <w:bCs/>
          <w:kern w:val="0"/>
          <w:sz w:val="32"/>
          <w:szCs w:val="32"/>
          <w:lang w:val="en-US" w:eastAsia="zh-CN" w:bidi="ar"/>
        </w:rPr>
        <w:sectPr>
          <w:footerReference r:id="rId5" w:type="default"/>
          <w:pgSz w:w="11906" w:h="16838"/>
          <w:pgMar w:top="1984" w:right="1531" w:bottom="1701" w:left="1531" w:header="851" w:footer="992" w:gutter="0"/>
          <w:pgNumType w:fmt="decimal" w:start="1"/>
          <w:cols w:space="425" w:num="1"/>
          <w:docGrid w:type="lines" w:linePitch="312" w:charSpace="0"/>
        </w:sectPr>
      </w:pPr>
      <w:r>
        <w:rPr>
          <w:rFonts w:hint="eastAsia" w:ascii="Times New Roman" w:hAnsi="Times New Roman" w:cs="仿宋_GB2312"/>
          <w:bCs/>
          <w:kern w:val="0"/>
          <w:sz w:val="32"/>
          <w:szCs w:val="32"/>
          <w:lang w:val="en-US" w:eastAsia="zh-CN" w:bidi="ar"/>
        </w:rPr>
        <w:t xml:space="preserve">                       </w:t>
      </w:r>
      <w:r>
        <w:rPr>
          <w:rFonts w:hint="default" w:ascii="Times New Roman" w:hAnsi="Times New Roman" w:eastAsia="仿宋_GB2312" w:cs="仿宋_GB2312"/>
          <w:bCs/>
          <w:kern w:val="0"/>
          <w:sz w:val="32"/>
          <w:szCs w:val="32"/>
          <w:lang w:val="en-US" w:eastAsia="zh-CN" w:bidi="ar"/>
        </w:rPr>
        <w:t>2026年</w:t>
      </w:r>
      <w:r>
        <w:rPr>
          <w:rFonts w:hint="eastAsia" w:ascii="Times New Roman" w:hAnsi="Times New Roman" w:eastAsia="仿宋_GB2312" w:cs="仿宋_GB2312"/>
          <w:bCs/>
          <w:kern w:val="0"/>
          <w:sz w:val="32"/>
          <w:szCs w:val="32"/>
          <w:lang w:val="en-US" w:eastAsia="zh-CN" w:bidi="ar"/>
        </w:rPr>
        <w:t>8</w:t>
      </w:r>
      <w:r>
        <w:rPr>
          <w:rFonts w:hint="default" w:ascii="Times New Roman" w:hAnsi="Times New Roman" w:eastAsia="仿宋_GB2312" w:cs="仿宋_GB2312"/>
          <w:bCs/>
          <w:kern w:val="0"/>
          <w:sz w:val="32"/>
          <w:szCs w:val="32"/>
          <w:lang w:val="en-US" w:eastAsia="zh-CN" w:bidi="ar"/>
        </w:rPr>
        <w:t>月1</w:t>
      </w:r>
      <w:r>
        <w:rPr>
          <w:rFonts w:hint="eastAsia" w:ascii="Times New Roman" w:hAnsi="Times New Roman" w:eastAsia="仿宋_GB2312" w:cs="仿宋_GB2312"/>
          <w:bCs/>
          <w:kern w:val="0"/>
          <w:sz w:val="32"/>
          <w:szCs w:val="32"/>
          <w:lang w:val="en-US" w:eastAsia="zh-CN" w:bidi="ar"/>
        </w:rPr>
        <w:t>0</w:t>
      </w:r>
      <w:r>
        <w:rPr>
          <w:rFonts w:hint="default" w:ascii="Times New Roman" w:hAnsi="Times New Roman" w:eastAsia="仿宋_GB2312" w:cs="仿宋_GB2312"/>
          <w:bCs/>
          <w:kern w:val="0"/>
          <w:sz w:val="32"/>
          <w:szCs w:val="32"/>
          <w:lang w:val="en-US" w:eastAsia="zh-CN" w:bidi="ar"/>
        </w:rPr>
        <w:t>日</w:t>
      </w:r>
    </w:p>
    <w:p w14:paraId="6E20F0E1">
      <w:pPr>
        <w:pStyle w:val="26"/>
        <w:spacing w:line="360" w:lineRule="auto"/>
        <w:ind w:firstLine="0" w:firstLineChars="0"/>
        <w:jc w:val="left"/>
        <w:outlineLvl w:val="0"/>
        <w:rPr>
          <w:rFonts w:hint="default" w:ascii="Times New Roman" w:hAnsi="Times New Roman" w:eastAsia="方正仿宋_GBK" w:cs="仿宋_GB2312"/>
          <w:sz w:val="32"/>
          <w:szCs w:val="32"/>
          <w:highlight w:val="none"/>
        </w:rPr>
      </w:pPr>
      <w:bookmarkStart w:id="363" w:name="_Toc20129"/>
      <w:bookmarkStart w:id="364" w:name="_Toc19011"/>
      <w:r>
        <w:rPr>
          <w:rFonts w:hint="default" w:ascii="Times New Roman" w:hAnsi="Times New Roman" w:eastAsia="方正仿宋_GBK" w:cs="仿宋_GB2312"/>
          <w:sz w:val="32"/>
          <w:szCs w:val="32"/>
          <w:highlight w:val="none"/>
        </w:rPr>
        <w:t>附件1</w:t>
      </w:r>
      <w:r>
        <w:rPr>
          <w:rFonts w:hint="eastAsia" w:ascii="Times New Roman" w:hAnsi="Times New Roman" w:eastAsia="方正仿宋_GBK" w:cs="仿宋_GB2312"/>
          <w:sz w:val="32"/>
          <w:szCs w:val="32"/>
          <w:highlight w:val="none"/>
          <w:lang w:eastAsia="zh-CN"/>
        </w:rPr>
        <w:t>:</w:t>
      </w:r>
      <w:r>
        <w:rPr>
          <w:rFonts w:hint="default" w:ascii="Times New Roman" w:hAnsi="Times New Roman" w:eastAsia="方正仿宋_GBK" w:cs="仿宋_GB2312"/>
          <w:sz w:val="32"/>
          <w:szCs w:val="32"/>
          <w:highlight w:val="none"/>
        </w:rPr>
        <w:t>2025年政府购买精康融合行动服务项目绩效评价指标综合评分表</w:t>
      </w:r>
      <w:bookmarkEnd w:id="363"/>
      <w:bookmarkEnd w:id="364"/>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028"/>
        <w:gridCol w:w="1044"/>
        <w:gridCol w:w="1036"/>
        <w:gridCol w:w="1044"/>
        <w:gridCol w:w="1059"/>
        <w:gridCol w:w="1082"/>
        <w:gridCol w:w="1098"/>
        <w:gridCol w:w="1518"/>
        <w:gridCol w:w="1033"/>
        <w:gridCol w:w="1041"/>
        <w:gridCol w:w="1070"/>
        <w:gridCol w:w="1061"/>
      </w:tblGrid>
      <w:tr w14:paraId="7947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090" w:type="dxa"/>
            <w:vAlign w:val="center"/>
          </w:tcPr>
          <w:p w14:paraId="4C7D619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一级指标</w:t>
            </w:r>
          </w:p>
        </w:tc>
        <w:tc>
          <w:tcPr>
            <w:tcW w:w="1090" w:type="dxa"/>
            <w:vAlign w:val="center"/>
          </w:tcPr>
          <w:p w14:paraId="50FBD48A">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二级指标</w:t>
            </w:r>
          </w:p>
        </w:tc>
        <w:tc>
          <w:tcPr>
            <w:tcW w:w="1090" w:type="dxa"/>
            <w:vAlign w:val="center"/>
          </w:tcPr>
          <w:p w14:paraId="66BC1EA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三级指标</w:t>
            </w:r>
          </w:p>
        </w:tc>
        <w:tc>
          <w:tcPr>
            <w:tcW w:w="1090" w:type="dxa"/>
            <w:vAlign w:val="center"/>
          </w:tcPr>
          <w:p w14:paraId="21F88077">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权重</w:t>
            </w:r>
          </w:p>
        </w:tc>
        <w:tc>
          <w:tcPr>
            <w:tcW w:w="1090" w:type="dxa"/>
            <w:vAlign w:val="center"/>
          </w:tcPr>
          <w:p w14:paraId="03608139">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指标解释</w:t>
            </w:r>
          </w:p>
        </w:tc>
        <w:tc>
          <w:tcPr>
            <w:tcW w:w="1090" w:type="dxa"/>
            <w:vAlign w:val="center"/>
          </w:tcPr>
          <w:p w14:paraId="694AAC0E">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标杆值</w:t>
            </w:r>
          </w:p>
        </w:tc>
        <w:tc>
          <w:tcPr>
            <w:tcW w:w="1090" w:type="dxa"/>
            <w:vAlign w:val="center"/>
          </w:tcPr>
          <w:p w14:paraId="79B2406A">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评分依据</w:t>
            </w:r>
          </w:p>
        </w:tc>
        <w:tc>
          <w:tcPr>
            <w:tcW w:w="1090" w:type="dxa"/>
            <w:vAlign w:val="center"/>
          </w:tcPr>
          <w:p w14:paraId="071C506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评分标准</w:t>
            </w:r>
          </w:p>
        </w:tc>
        <w:tc>
          <w:tcPr>
            <w:tcW w:w="1090" w:type="dxa"/>
            <w:vAlign w:val="center"/>
          </w:tcPr>
          <w:p w14:paraId="2759B4A7">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评分过程</w:t>
            </w:r>
          </w:p>
        </w:tc>
        <w:tc>
          <w:tcPr>
            <w:tcW w:w="1091" w:type="dxa"/>
            <w:vAlign w:val="center"/>
          </w:tcPr>
          <w:p w14:paraId="73F5B9B4">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扣分</w:t>
            </w:r>
          </w:p>
        </w:tc>
        <w:tc>
          <w:tcPr>
            <w:tcW w:w="1091" w:type="dxa"/>
            <w:vAlign w:val="center"/>
          </w:tcPr>
          <w:p w14:paraId="5E5CCFF7">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得分</w:t>
            </w:r>
          </w:p>
        </w:tc>
        <w:tc>
          <w:tcPr>
            <w:tcW w:w="1091" w:type="dxa"/>
            <w:vAlign w:val="center"/>
          </w:tcPr>
          <w:p w14:paraId="62D881DF">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得分率</w:t>
            </w:r>
          </w:p>
        </w:tc>
        <w:tc>
          <w:tcPr>
            <w:tcW w:w="1091" w:type="dxa"/>
            <w:vAlign w:val="center"/>
          </w:tcPr>
          <w:p w14:paraId="02F1F9E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扣分原因</w:t>
            </w:r>
          </w:p>
        </w:tc>
      </w:tr>
      <w:tr w14:paraId="2732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restart"/>
            <w:vAlign w:val="center"/>
          </w:tcPr>
          <w:p w14:paraId="00FC71CD">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决策（20）</w:t>
            </w:r>
          </w:p>
        </w:tc>
        <w:tc>
          <w:tcPr>
            <w:tcW w:w="1090" w:type="dxa"/>
            <w:vMerge w:val="restart"/>
            <w:vAlign w:val="center"/>
          </w:tcPr>
          <w:p w14:paraId="3F9CD5A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项目立项</w:t>
            </w:r>
          </w:p>
        </w:tc>
        <w:tc>
          <w:tcPr>
            <w:tcW w:w="1090" w:type="dxa"/>
            <w:vAlign w:val="center"/>
          </w:tcPr>
          <w:p w14:paraId="5DAA3D8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立项依据充分性</w:t>
            </w:r>
          </w:p>
        </w:tc>
        <w:tc>
          <w:tcPr>
            <w:tcW w:w="1090" w:type="dxa"/>
            <w:vAlign w:val="center"/>
          </w:tcPr>
          <w:p w14:paraId="72BEC545">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Align w:val="center"/>
          </w:tcPr>
          <w:p w14:paraId="3AC404D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项目立项是否符合法律法规、相关政策、发展规划以及部门职责，用以反映和考核项目立项依据情况。</w:t>
            </w:r>
          </w:p>
        </w:tc>
        <w:tc>
          <w:tcPr>
            <w:tcW w:w="1090" w:type="dxa"/>
            <w:vAlign w:val="center"/>
          </w:tcPr>
          <w:p w14:paraId="217D97B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1090" w:type="dxa"/>
            <w:vAlign w:val="center"/>
          </w:tcPr>
          <w:p w14:paraId="4CC9CE3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政府采购规划报告，规划制定的相关论证或上级部</w:t>
            </w:r>
          </w:p>
        </w:tc>
        <w:tc>
          <w:tcPr>
            <w:tcW w:w="1090" w:type="dxa"/>
            <w:vAlign w:val="center"/>
          </w:tcPr>
          <w:p w14:paraId="39CF4F1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①采购需求符合国家法律法规及政府采购政策的有关规定；</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②项目采购需求编制符合相关管理制度规定；</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③项目采购需求与实际情况相匹配；</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④项目采购开展前按照要求开始需求调查，确定内容（本条针对有强制要求做需求调查的项目）。</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本项为一票否决项目，全部符合得4分，否则不得分。</w:t>
            </w:r>
          </w:p>
        </w:tc>
        <w:tc>
          <w:tcPr>
            <w:tcW w:w="1090" w:type="dxa"/>
            <w:vAlign w:val="center"/>
          </w:tcPr>
          <w:p w14:paraId="63C0EBE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根据《关于开展“精康融合行动”的通知》（民发〔2022〕104号），《关于提前下达2025年自治区彩票公益金支持残疾人福利项目补助资金预算的通知》（喀地财社〔2024〕84号），结合《关于印发喀什市民政局职能配置、内设机构和人员编制规定》的通知》（喀市党办字〔2024〕11号）相关职责规定，该项目立项与部门职责范围相符；围绕喀什市民政局2025年度工作重点和工作任务制定经费预算，立项依据充分，符合相关政策，未与相关部门同类项目或部门内部相关项目重复，根据评分标准，该指标不扣分，得4分。</w:t>
            </w:r>
          </w:p>
        </w:tc>
        <w:tc>
          <w:tcPr>
            <w:tcW w:w="1091" w:type="dxa"/>
            <w:vAlign w:val="center"/>
          </w:tcPr>
          <w:p w14:paraId="4E72A73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4011398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60ED1DF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446EABB">
            <w:pPr>
              <w:jc w:val="left"/>
              <w:rPr>
                <w:rFonts w:hint="eastAsia" w:ascii="Times New Roman" w:hAnsi="Times New Roman" w:eastAsia="仿宋_GB2312" w:cs="仿宋_GB2312"/>
                <w:sz w:val="18"/>
                <w:szCs w:val="18"/>
                <w:highlight w:val="none"/>
                <w:vertAlign w:val="baseline"/>
                <w:lang w:val="en-US" w:eastAsia="zh-CN"/>
              </w:rPr>
            </w:pPr>
          </w:p>
        </w:tc>
      </w:tr>
      <w:tr w14:paraId="58FE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DD6F703">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6171085D">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48DA79A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项目立项规范性</w:t>
            </w:r>
          </w:p>
        </w:tc>
        <w:tc>
          <w:tcPr>
            <w:tcW w:w="1090" w:type="dxa"/>
            <w:vAlign w:val="center"/>
          </w:tcPr>
          <w:p w14:paraId="6BE1676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Align w:val="center"/>
          </w:tcPr>
          <w:p w14:paraId="7EA6972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考察政府采购的项目申请、设立过程是否符合相关要求，用以反映和考核项目立项的规范情况。</w:t>
            </w:r>
          </w:p>
        </w:tc>
        <w:tc>
          <w:tcPr>
            <w:tcW w:w="1090" w:type="dxa"/>
            <w:vAlign w:val="center"/>
          </w:tcPr>
          <w:p w14:paraId="348CF01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1090" w:type="dxa"/>
            <w:vAlign w:val="center"/>
          </w:tcPr>
          <w:p w14:paraId="2C488DA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项目申报书、可行性报告及专家论证意见</w:t>
            </w:r>
          </w:p>
        </w:tc>
        <w:tc>
          <w:tcPr>
            <w:tcW w:w="1090" w:type="dxa"/>
            <w:vAlign w:val="center"/>
          </w:tcPr>
          <w:p w14:paraId="0344F5D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①立项前是否经过必要得可行性研究、专家论证、风险评估、集体决策等；</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②项目立项符合规定程序；</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③审批文件和材料合规完整，</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全部符合得4分</w:t>
            </w:r>
          </w:p>
        </w:tc>
        <w:tc>
          <w:tcPr>
            <w:tcW w:w="1090" w:type="dxa"/>
            <w:vAlign w:val="center"/>
          </w:tcPr>
          <w:p w14:paraId="092882D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依据《关于提前下达2025年自治区彩票公益金支持残疾人福利项目补助资金预算的通知》（喀地财社〔2024〕84号），《2025年喀什市精康融合行动项目实施方案》根据决策依据编制工作计划和经费预算，经过与喀什市民政局的主要领导进行沟通、筛选确定经费预算计划，研究确定最终预算方案，根据评分标准，该指标不扣分，得4分。</w:t>
            </w:r>
          </w:p>
        </w:tc>
        <w:tc>
          <w:tcPr>
            <w:tcW w:w="1091" w:type="dxa"/>
            <w:vAlign w:val="center"/>
          </w:tcPr>
          <w:p w14:paraId="215DA50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1107759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11D1949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FCB3227">
            <w:pPr>
              <w:jc w:val="left"/>
              <w:rPr>
                <w:rFonts w:hint="eastAsia" w:ascii="Times New Roman" w:hAnsi="Times New Roman" w:eastAsia="仿宋_GB2312" w:cs="仿宋_GB2312"/>
                <w:sz w:val="18"/>
                <w:szCs w:val="18"/>
                <w:highlight w:val="none"/>
                <w:vertAlign w:val="baseline"/>
                <w:lang w:val="en-US" w:eastAsia="zh-CN"/>
              </w:rPr>
            </w:pPr>
          </w:p>
        </w:tc>
      </w:tr>
      <w:tr w14:paraId="2DF9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31311B8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restart"/>
            <w:vAlign w:val="center"/>
          </w:tcPr>
          <w:p w14:paraId="4E05200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项目目标</w:t>
            </w:r>
          </w:p>
        </w:tc>
        <w:tc>
          <w:tcPr>
            <w:tcW w:w="1090" w:type="dxa"/>
            <w:vAlign w:val="center"/>
          </w:tcPr>
          <w:p w14:paraId="2302F52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绩效目标合理性</w:t>
            </w:r>
          </w:p>
        </w:tc>
        <w:tc>
          <w:tcPr>
            <w:tcW w:w="1090" w:type="dxa"/>
            <w:vAlign w:val="center"/>
          </w:tcPr>
          <w:p w14:paraId="022757B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7F4396A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考察政府采购所设定的绩效目标是否依据充分，是否符合客观实际， 用以反映和考核项目绩效目标与项目实施的相符情况；绩效指标是否清晰、细化、可衡量等，用以反映和考核项目绩效目标的明细化情况。</w:t>
            </w:r>
          </w:p>
        </w:tc>
        <w:tc>
          <w:tcPr>
            <w:tcW w:w="1090" w:type="dxa"/>
            <w:vAlign w:val="center"/>
          </w:tcPr>
          <w:p w14:paraId="17481BF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1090" w:type="dxa"/>
            <w:vAlign w:val="center"/>
          </w:tcPr>
          <w:p w14:paraId="18DC36A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绩效目标申报表</w:t>
            </w:r>
          </w:p>
        </w:tc>
        <w:tc>
          <w:tcPr>
            <w:tcW w:w="1090" w:type="dxa"/>
            <w:vAlign w:val="center"/>
          </w:tcPr>
          <w:p w14:paraId="551A720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①项目设立了总目标和年度目标；②绩效目标设立依据充分且符合客观实际，③绩效指标清晰、可衡量。每符合一项得 1/3 权重分。</w:t>
            </w:r>
          </w:p>
        </w:tc>
        <w:tc>
          <w:tcPr>
            <w:tcW w:w="1090" w:type="dxa"/>
            <w:vAlign w:val="center"/>
          </w:tcPr>
          <w:p w14:paraId="5E1ADE9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该项目提供了完整的《项目支出绩效目标表》，并制定了实施方案，该项目绩效目标与实际工作内容具有相关性，明确了总体思路及目标项目预期产出和效益基本符合正常的业绩水平，截至2025年12月31日，项目资金支出与预算确定的项目投资额20万元相匹配，本项目实施方案计划“服务精神障碍患者人数100人”，实际服务精神障碍患者342人，实际完成值与预期值差额较大；根据评分标准，该指标扣1分，得2分。</w:t>
            </w:r>
          </w:p>
        </w:tc>
        <w:tc>
          <w:tcPr>
            <w:tcW w:w="1091" w:type="dxa"/>
            <w:vAlign w:val="center"/>
          </w:tcPr>
          <w:p w14:paraId="003BEC4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1091" w:type="dxa"/>
            <w:vAlign w:val="center"/>
          </w:tcPr>
          <w:p w14:paraId="2989144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607A0D8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66.67%</w:t>
            </w:r>
          </w:p>
        </w:tc>
        <w:tc>
          <w:tcPr>
            <w:tcW w:w="1091" w:type="dxa"/>
            <w:vAlign w:val="center"/>
          </w:tcPr>
          <w:p w14:paraId="62BE195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实施方案“</w:t>
            </w:r>
            <w:r>
              <w:rPr>
                <w:rFonts w:hint="eastAsia" w:ascii="Times New Roman" w:hAnsi="Times New Roman" w:cs="仿宋_GB2312"/>
                <w:i w:val="0"/>
                <w:iCs w:val="0"/>
                <w:color w:val="000000"/>
                <w:kern w:val="0"/>
                <w:sz w:val="18"/>
                <w:szCs w:val="18"/>
                <w:u w:val="none"/>
                <w:lang w:val="en-US" w:eastAsia="zh-CN" w:bidi="ar"/>
              </w:rPr>
              <w:t>服务精神障碍患者人数</w:t>
            </w:r>
            <w:r>
              <w:rPr>
                <w:rFonts w:hint="eastAsia" w:ascii="Times New Roman" w:hAnsi="Times New Roman" w:eastAsia="仿宋_GB2312" w:cs="仿宋_GB2312"/>
                <w:i w:val="0"/>
                <w:iCs w:val="0"/>
                <w:color w:val="000000"/>
                <w:kern w:val="0"/>
                <w:sz w:val="18"/>
                <w:szCs w:val="18"/>
                <w:u w:val="none"/>
                <w:lang w:val="en-US" w:eastAsia="zh-CN" w:bidi="ar"/>
              </w:rPr>
              <w:t>100人”，实际服务精神障碍患者342人，实际完成值与预期值差额较大</w:t>
            </w:r>
          </w:p>
        </w:tc>
      </w:tr>
      <w:tr w14:paraId="05F0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195CA8D3">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07FD8E7C">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4F2B28A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绩效指标明确性</w:t>
            </w:r>
          </w:p>
        </w:tc>
        <w:tc>
          <w:tcPr>
            <w:tcW w:w="1090" w:type="dxa"/>
            <w:vAlign w:val="center"/>
          </w:tcPr>
          <w:p w14:paraId="27789CAA">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0B8D8F8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购买主体依据绩效目标设定的绩效指标是否清晰、细化、可衡量等，用以反映和考核项目绩效目标的明细化情况。</w:t>
            </w:r>
          </w:p>
        </w:tc>
        <w:tc>
          <w:tcPr>
            <w:tcW w:w="1090" w:type="dxa"/>
            <w:vAlign w:val="center"/>
          </w:tcPr>
          <w:p w14:paraId="09C9F62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明确</w:t>
            </w:r>
          </w:p>
        </w:tc>
        <w:tc>
          <w:tcPr>
            <w:tcW w:w="1090" w:type="dxa"/>
            <w:vAlign w:val="center"/>
          </w:tcPr>
          <w:p w14:paraId="0496441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绩效目标申报表</w:t>
            </w:r>
          </w:p>
        </w:tc>
        <w:tc>
          <w:tcPr>
            <w:tcW w:w="1090" w:type="dxa"/>
            <w:vAlign w:val="center"/>
          </w:tcPr>
          <w:p w14:paraId="7766F93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①项目绩效目标细化分解为具体的绩效指标（1分）否则，不得分；②绩效指标通过清晰、可衡量的指标值予以体现（1分）否则，不得分；③与项目目标任务数或计划数相对应（1分）否则，不得分。</w:t>
            </w:r>
          </w:p>
        </w:tc>
        <w:tc>
          <w:tcPr>
            <w:tcW w:w="1090" w:type="dxa"/>
            <w:vAlign w:val="center"/>
          </w:tcPr>
          <w:p w14:paraId="3BFDD72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依据《2025年政府购买精康融合行动服务项目支出绩效目标表》《2025年政府购买精康融合行动服务项目实施方案》，该项目明确了总体思路及目标、并对任务进行了详细分解，对目标进行了细化，将项目绩效目标分解为具体的绩效指标，其中，一级指标4个，二级指标6个，三级指标14个，具体指标内容与项目实际情况相符，项目绩效目标与实际工作内容具有相关性，项目目标任务数与实际相对应，根据评分标准，该指标不扣分，该指标得3分。</w:t>
            </w:r>
          </w:p>
        </w:tc>
        <w:tc>
          <w:tcPr>
            <w:tcW w:w="1091" w:type="dxa"/>
            <w:vAlign w:val="center"/>
          </w:tcPr>
          <w:p w14:paraId="5B884C0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2B92B21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7A3E5FC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35F78E5E">
            <w:pPr>
              <w:jc w:val="left"/>
              <w:rPr>
                <w:rFonts w:hint="eastAsia" w:ascii="Times New Roman" w:hAnsi="Times New Roman" w:eastAsia="仿宋_GB2312" w:cs="仿宋_GB2312"/>
                <w:sz w:val="18"/>
                <w:szCs w:val="18"/>
                <w:highlight w:val="none"/>
                <w:vertAlign w:val="baseline"/>
                <w:lang w:val="en-US" w:eastAsia="zh-CN"/>
              </w:rPr>
            </w:pPr>
          </w:p>
        </w:tc>
      </w:tr>
      <w:tr w14:paraId="0E94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073D713">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restart"/>
            <w:vAlign w:val="center"/>
          </w:tcPr>
          <w:p w14:paraId="014BFAA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资金投入</w:t>
            </w:r>
          </w:p>
        </w:tc>
        <w:tc>
          <w:tcPr>
            <w:tcW w:w="1090" w:type="dxa"/>
            <w:vAlign w:val="center"/>
          </w:tcPr>
          <w:p w14:paraId="09A363C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预算编制科学性</w:t>
            </w:r>
          </w:p>
        </w:tc>
        <w:tc>
          <w:tcPr>
            <w:tcW w:w="1090" w:type="dxa"/>
            <w:vAlign w:val="center"/>
          </w:tcPr>
          <w:p w14:paraId="0AB8B6A3">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11E7BF0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c>
          <w:tcPr>
            <w:tcW w:w="1090" w:type="dxa"/>
            <w:vAlign w:val="center"/>
          </w:tcPr>
          <w:p w14:paraId="775F580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科学</w:t>
            </w:r>
          </w:p>
        </w:tc>
        <w:tc>
          <w:tcPr>
            <w:tcW w:w="1090" w:type="dxa"/>
            <w:vAlign w:val="center"/>
          </w:tcPr>
          <w:p w14:paraId="623F086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根据评分标准中的具体分值进行赋分</w:t>
            </w:r>
          </w:p>
        </w:tc>
        <w:tc>
          <w:tcPr>
            <w:tcW w:w="1090" w:type="dxa"/>
            <w:vAlign w:val="center"/>
          </w:tcPr>
          <w:p w14:paraId="3BB9782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预算编制经过科学论证（1分）否则，不得分；②预算内容与项目内容匹配（1分）否则，不得分；③预算额度测算依据充分，按照标准编制（0.5分）否则，不得分；④预算确定的项目投资额或资金量与工作任务相匹配（0.5分）否则，不得分。</w:t>
            </w:r>
          </w:p>
        </w:tc>
        <w:tc>
          <w:tcPr>
            <w:tcW w:w="1090" w:type="dxa"/>
            <w:vAlign w:val="center"/>
          </w:tcPr>
          <w:p w14:paraId="39358B6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阅《关于开展“精康融合行动”的通知》（民发〔2022〕104号），《关于提前下达2025年自治区彩票公益金支持残疾人福利项目补助资金预算的通知》（喀地财社〔2024〕84号）的通知，预算编制经过科学论证，预算内容与项目内容匹配，完成率为100%，预算额度测算依据充分，预算确定的项目投资额或资金量与实际工作任务匹配，但服务精神障碍患者实际完成值与预期值严重偏离，项目前期论证不足、实施方案编制不科学。根据评分标准，该指标扣1分，得2分。</w:t>
            </w:r>
          </w:p>
        </w:tc>
        <w:tc>
          <w:tcPr>
            <w:tcW w:w="1091" w:type="dxa"/>
            <w:vAlign w:val="center"/>
          </w:tcPr>
          <w:p w14:paraId="75AB802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1091" w:type="dxa"/>
            <w:vAlign w:val="center"/>
          </w:tcPr>
          <w:p w14:paraId="65D37CB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4596D5C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66.67%</w:t>
            </w:r>
          </w:p>
        </w:tc>
        <w:tc>
          <w:tcPr>
            <w:tcW w:w="1091" w:type="dxa"/>
            <w:vAlign w:val="center"/>
          </w:tcPr>
          <w:p w14:paraId="7E4420B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服务精神障碍患者实际完成值与预期值严重偏离，项目前期论证不足、实施方案编制不科学。</w:t>
            </w:r>
          </w:p>
        </w:tc>
      </w:tr>
      <w:tr w14:paraId="0A6A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4970A2AF">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7D5F9626">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747280F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资金分配合理性</w:t>
            </w:r>
          </w:p>
        </w:tc>
        <w:tc>
          <w:tcPr>
            <w:tcW w:w="1090" w:type="dxa"/>
            <w:vAlign w:val="center"/>
          </w:tcPr>
          <w:p w14:paraId="65E539E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6606DB5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考察项目预算资金分配是否有测算依据，与政府采购的目标是否相适应， 用以反映和考核项目预算资金分配的科学性、合理性情况。</w:t>
            </w:r>
          </w:p>
        </w:tc>
        <w:tc>
          <w:tcPr>
            <w:tcW w:w="1090" w:type="dxa"/>
            <w:vAlign w:val="center"/>
          </w:tcPr>
          <w:p w14:paraId="0E5E002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1090" w:type="dxa"/>
            <w:vAlign w:val="center"/>
          </w:tcPr>
          <w:p w14:paraId="0889180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预算申报表、资金分配表</w:t>
            </w:r>
          </w:p>
        </w:tc>
        <w:tc>
          <w:tcPr>
            <w:tcW w:w="1090" w:type="dxa"/>
            <w:vAlign w:val="center"/>
          </w:tcPr>
          <w:p w14:paraId="77C2727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项目预算资金分配有测算依据且与政府采购目标相适应，得满分，否则不得分。</w:t>
            </w:r>
          </w:p>
        </w:tc>
        <w:tc>
          <w:tcPr>
            <w:tcW w:w="1090" w:type="dxa"/>
            <w:vAlign w:val="center"/>
          </w:tcPr>
          <w:p w14:paraId="28BF475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根据《关于提前下达2025年自治区彩票公益金支持残疾人福利项目补助资金预算的通知》（喀地财社〔2024〕84号）文件，本项目关于购买精康融合行动服务成本预算资金分配依据充分，资金分配额度合理与实际相适应,根据评分标准，该指标不扣分，得3分。</w:t>
            </w:r>
          </w:p>
        </w:tc>
        <w:tc>
          <w:tcPr>
            <w:tcW w:w="1091" w:type="dxa"/>
            <w:vAlign w:val="center"/>
          </w:tcPr>
          <w:p w14:paraId="31E5B7C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6B9D326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71E0D6D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3AED7631">
            <w:pPr>
              <w:jc w:val="left"/>
              <w:rPr>
                <w:rFonts w:hint="eastAsia" w:ascii="Times New Roman" w:hAnsi="Times New Roman" w:eastAsia="仿宋_GB2312" w:cs="仿宋_GB2312"/>
                <w:sz w:val="18"/>
                <w:szCs w:val="18"/>
                <w:highlight w:val="none"/>
                <w:vertAlign w:val="baseline"/>
                <w:lang w:val="en-US" w:eastAsia="zh-CN"/>
              </w:rPr>
            </w:pPr>
          </w:p>
        </w:tc>
      </w:tr>
      <w:tr w14:paraId="1168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0" w:type="dxa"/>
            <w:vMerge w:val="restart"/>
            <w:vAlign w:val="center"/>
          </w:tcPr>
          <w:p w14:paraId="768504B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过程（30）</w:t>
            </w:r>
          </w:p>
        </w:tc>
        <w:tc>
          <w:tcPr>
            <w:tcW w:w="1090" w:type="dxa"/>
            <w:vMerge w:val="restart"/>
            <w:vAlign w:val="center"/>
          </w:tcPr>
          <w:p w14:paraId="7887284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资金管理</w:t>
            </w:r>
          </w:p>
        </w:tc>
        <w:tc>
          <w:tcPr>
            <w:tcW w:w="1090" w:type="dxa"/>
            <w:vAlign w:val="center"/>
          </w:tcPr>
          <w:p w14:paraId="1689D1A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资金到位率</w:t>
            </w:r>
          </w:p>
        </w:tc>
        <w:tc>
          <w:tcPr>
            <w:tcW w:w="1090" w:type="dxa"/>
            <w:vAlign w:val="center"/>
          </w:tcPr>
          <w:p w14:paraId="7E53EB8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Align w:val="center"/>
          </w:tcPr>
          <w:p w14:paraId="2B1462A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实际到位资金与预算资金的比率，用以反映和考核资金落实情况对项目实施的总体保障程度。</w:t>
            </w:r>
          </w:p>
        </w:tc>
        <w:tc>
          <w:tcPr>
            <w:tcW w:w="1090" w:type="dxa"/>
            <w:vAlign w:val="center"/>
          </w:tcPr>
          <w:p w14:paraId="24B014A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402325B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资金到位率=（实际到位资金/预算资金）×100%。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实际到位资金：一定时期（本年度或项目期）内落实到具体项目的资金。</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预算资金：一定时期（本年度或项目期）内预算安排到具体项目的资金。</w:t>
            </w:r>
          </w:p>
        </w:tc>
        <w:tc>
          <w:tcPr>
            <w:tcW w:w="1090" w:type="dxa"/>
            <w:vAlign w:val="center"/>
          </w:tcPr>
          <w:p w14:paraId="3D58FE6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预算执行率*权重分</w:t>
            </w:r>
          </w:p>
        </w:tc>
        <w:tc>
          <w:tcPr>
            <w:tcW w:w="1090" w:type="dxa"/>
            <w:vAlign w:val="center"/>
          </w:tcPr>
          <w:p w14:paraId="792726A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本项目预算资金20万元，截至2025年12月31日，实际到位资金20万元，资金到位率=（实际到位资金/预算资金）×100%=（20万元/20万元）×100%=100%，资金足额拨付到位，根据评分标准，该指标不扣分，得2分。</w:t>
            </w:r>
          </w:p>
        </w:tc>
        <w:tc>
          <w:tcPr>
            <w:tcW w:w="1091" w:type="dxa"/>
            <w:vAlign w:val="center"/>
          </w:tcPr>
          <w:p w14:paraId="56F79DA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1F6F95F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05FDF90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34918D1B">
            <w:pPr>
              <w:jc w:val="left"/>
              <w:rPr>
                <w:rFonts w:hint="eastAsia" w:ascii="Times New Roman" w:hAnsi="Times New Roman" w:eastAsia="仿宋_GB2312" w:cs="仿宋_GB2312"/>
                <w:sz w:val="18"/>
                <w:szCs w:val="18"/>
                <w:highlight w:val="none"/>
                <w:vertAlign w:val="baseline"/>
                <w:lang w:val="en-US" w:eastAsia="zh-CN"/>
              </w:rPr>
            </w:pPr>
          </w:p>
        </w:tc>
      </w:tr>
      <w:tr w14:paraId="5EB0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408013B2">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2AF5FCAC">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EF96C2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预算执行率</w:t>
            </w:r>
          </w:p>
        </w:tc>
        <w:tc>
          <w:tcPr>
            <w:tcW w:w="1090" w:type="dxa"/>
            <w:vAlign w:val="center"/>
          </w:tcPr>
          <w:p w14:paraId="0F7CB53E">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Align w:val="center"/>
          </w:tcPr>
          <w:p w14:paraId="76DDAE1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考察项目实际支出资金与项目预算（或实际到位资金的比率）是否按照计划执行，用以反映和考核项目资金的利用效率。</w:t>
            </w:r>
          </w:p>
        </w:tc>
        <w:tc>
          <w:tcPr>
            <w:tcW w:w="1090" w:type="dxa"/>
            <w:vAlign w:val="center"/>
          </w:tcPr>
          <w:p w14:paraId="1523BB5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45D465C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预算执行率=实际支出金额/预算批复金额×100%。</w:t>
            </w:r>
          </w:p>
        </w:tc>
        <w:tc>
          <w:tcPr>
            <w:tcW w:w="1090" w:type="dxa"/>
            <w:vAlign w:val="center"/>
          </w:tcPr>
          <w:p w14:paraId="3C3A63A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预算执行率*权重分</w:t>
            </w:r>
          </w:p>
        </w:tc>
        <w:tc>
          <w:tcPr>
            <w:tcW w:w="1090" w:type="dxa"/>
            <w:vAlign w:val="center"/>
          </w:tcPr>
          <w:p w14:paraId="253F4CB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本项目实际到位资金为20万元，实际支出金额为20万元，预算执行率=（实际支出资金/实际到位资金）×100%=（20万元/20万元）×100%=100%，依据《关于印发自治区项目支出绩效目标设置指引》的通知（新财预〔2022〕42号）及关于印发《中央部门项目支出核心绩效目标和指标设置及取值指引（试行）》的通知</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财预〔2021〕101号</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，该项目已完成，且执行数控制在年度预算规模之内的，根据评分标准，该指标不扣分，得2分。</w:t>
            </w:r>
          </w:p>
        </w:tc>
        <w:tc>
          <w:tcPr>
            <w:tcW w:w="1091" w:type="dxa"/>
            <w:vAlign w:val="center"/>
          </w:tcPr>
          <w:p w14:paraId="26A30B3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7527F97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223AAF2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30B96A4">
            <w:pPr>
              <w:jc w:val="left"/>
              <w:rPr>
                <w:rFonts w:hint="eastAsia" w:ascii="Times New Roman" w:hAnsi="Times New Roman" w:eastAsia="仿宋_GB2312" w:cs="仿宋_GB2312"/>
                <w:sz w:val="18"/>
                <w:szCs w:val="18"/>
                <w:highlight w:val="none"/>
                <w:vertAlign w:val="baseline"/>
                <w:lang w:val="en-US" w:eastAsia="zh-CN"/>
              </w:rPr>
            </w:pPr>
          </w:p>
        </w:tc>
      </w:tr>
      <w:tr w14:paraId="0DFB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48250F72">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55587886">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421ED61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资金使用合规性</w:t>
            </w:r>
          </w:p>
        </w:tc>
        <w:tc>
          <w:tcPr>
            <w:tcW w:w="1090" w:type="dxa"/>
            <w:vAlign w:val="center"/>
          </w:tcPr>
          <w:p w14:paraId="7C66CC3F">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Align w:val="center"/>
          </w:tcPr>
          <w:p w14:paraId="5C9D5D8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考察政府采购和承接主体项目资金使用是否符合相关的财务管理制度规定。</w:t>
            </w:r>
          </w:p>
        </w:tc>
        <w:tc>
          <w:tcPr>
            <w:tcW w:w="1090" w:type="dxa"/>
            <w:vAlign w:val="center"/>
          </w:tcPr>
          <w:p w14:paraId="00EED47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合规</w:t>
            </w:r>
          </w:p>
        </w:tc>
        <w:tc>
          <w:tcPr>
            <w:tcW w:w="1090" w:type="dxa"/>
            <w:vAlign w:val="center"/>
          </w:tcPr>
          <w:p w14:paraId="06411A1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项目资金管理办法、单位财务管理制度、项目支出财务明细账、凭证及资金执行情况统计表</w:t>
            </w:r>
          </w:p>
        </w:tc>
        <w:tc>
          <w:tcPr>
            <w:tcW w:w="1090" w:type="dxa"/>
            <w:vAlign w:val="center"/>
          </w:tcPr>
          <w:p w14:paraId="4C3622E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资金使用符合国家财经法规和财务管理制度以及有关专项资金管理办法规定。</w:t>
            </w:r>
          </w:p>
        </w:tc>
        <w:tc>
          <w:tcPr>
            <w:tcW w:w="1090" w:type="dxa"/>
            <w:vAlign w:val="center"/>
          </w:tcPr>
          <w:p w14:paraId="7F41DA4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本项目资金使用符合《关于提前下达2025年自治区彩票公益金支持残疾人福利项目补助资金预算的通知》（喀地财社〔2024〕84号）文件的相关规定，符合国家、自治区等相关政策、规划和法律法规；经检查，资金的拨付有完整的审批程序和手续，使用规范，符合项目预算批复或合同规定的用途；通过查看2025年度明细账、凭证及其附件，不存在截留、挤占、挪用、虚列支出等情况，根据评分标准，该指标不扣分，得2分。</w:t>
            </w:r>
          </w:p>
        </w:tc>
        <w:tc>
          <w:tcPr>
            <w:tcW w:w="1091" w:type="dxa"/>
            <w:vAlign w:val="center"/>
          </w:tcPr>
          <w:p w14:paraId="372D6E7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0992DA1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43C504C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51636B77">
            <w:pPr>
              <w:jc w:val="left"/>
              <w:rPr>
                <w:rFonts w:hint="eastAsia" w:ascii="Times New Roman" w:hAnsi="Times New Roman" w:eastAsia="仿宋_GB2312" w:cs="仿宋_GB2312"/>
                <w:sz w:val="18"/>
                <w:szCs w:val="18"/>
                <w:highlight w:val="none"/>
                <w:vertAlign w:val="baseline"/>
                <w:lang w:val="en-US" w:eastAsia="zh-CN"/>
              </w:rPr>
            </w:pPr>
          </w:p>
        </w:tc>
      </w:tr>
      <w:tr w14:paraId="0F35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363EED7C">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39D7ED37">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58BBBDC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资金支付规范性</w:t>
            </w:r>
          </w:p>
        </w:tc>
        <w:tc>
          <w:tcPr>
            <w:tcW w:w="1090" w:type="dxa"/>
            <w:vAlign w:val="center"/>
          </w:tcPr>
          <w:p w14:paraId="5466FDD2">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Align w:val="center"/>
          </w:tcPr>
          <w:p w14:paraId="27769A5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考察采购主体项目资金支付情况。</w:t>
            </w:r>
          </w:p>
        </w:tc>
        <w:tc>
          <w:tcPr>
            <w:tcW w:w="1090" w:type="dxa"/>
            <w:vAlign w:val="center"/>
          </w:tcPr>
          <w:p w14:paraId="3B81865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1090" w:type="dxa"/>
            <w:vAlign w:val="center"/>
          </w:tcPr>
          <w:p w14:paraId="7E6799B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支付凭证</w:t>
            </w:r>
          </w:p>
        </w:tc>
        <w:tc>
          <w:tcPr>
            <w:tcW w:w="1090" w:type="dxa"/>
            <w:vAlign w:val="center"/>
          </w:tcPr>
          <w:p w14:paraId="1CDFA53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符合合同约定资金付款的方式、时间、条件和比例，明确无故逾期支付资金的违约责任等 ，得满分，否则扣全分。</w:t>
            </w:r>
          </w:p>
        </w:tc>
        <w:tc>
          <w:tcPr>
            <w:tcW w:w="1090" w:type="dxa"/>
            <w:vAlign w:val="center"/>
          </w:tcPr>
          <w:p w14:paraId="6743C84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本项目在资金支付规范性方面经现场检查《喀什市民政局2025年喀什市精康融合行动项目合同》《2025年喀什市精康融合行动项目服务方案》《喀什市民政局2025年喀什市精康融合行动项目末期评估报告》《2025年喀什市精康融合行动项目中期评估报告》、“电子发票（普通发票）”及“国库集中支付凭证”，该单位资金支付按合同约定的资金付款的方式、时间、条件和比例执行。根据评分标准，该指标不扣分，得2分。</w:t>
            </w:r>
          </w:p>
        </w:tc>
        <w:tc>
          <w:tcPr>
            <w:tcW w:w="1091" w:type="dxa"/>
            <w:vAlign w:val="center"/>
          </w:tcPr>
          <w:p w14:paraId="2CCC66C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418575C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7733887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7709B1B4">
            <w:pPr>
              <w:jc w:val="left"/>
              <w:rPr>
                <w:rFonts w:hint="eastAsia" w:ascii="Times New Roman" w:hAnsi="Times New Roman" w:eastAsia="仿宋_GB2312" w:cs="仿宋_GB2312"/>
                <w:sz w:val="18"/>
                <w:szCs w:val="18"/>
                <w:highlight w:val="none"/>
                <w:vertAlign w:val="baseline"/>
                <w:lang w:val="en-US" w:eastAsia="zh-CN"/>
              </w:rPr>
            </w:pPr>
          </w:p>
        </w:tc>
      </w:tr>
      <w:tr w14:paraId="238B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06978ED0">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restart"/>
            <w:vAlign w:val="center"/>
          </w:tcPr>
          <w:p w14:paraId="113C5D0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组织实施</w:t>
            </w:r>
          </w:p>
        </w:tc>
        <w:tc>
          <w:tcPr>
            <w:tcW w:w="1090" w:type="dxa"/>
            <w:vAlign w:val="center"/>
          </w:tcPr>
          <w:p w14:paraId="0623F7D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管理制度健全性</w:t>
            </w:r>
          </w:p>
        </w:tc>
        <w:tc>
          <w:tcPr>
            <w:tcW w:w="1090" w:type="dxa"/>
            <w:vAlign w:val="center"/>
          </w:tcPr>
          <w:p w14:paraId="2CB361D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Align w:val="center"/>
          </w:tcPr>
          <w:p w14:paraId="070D692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考察①是否建立健全政府采购内部控制制度及采购管理制度；②采购内部管理制度是否包含编制政府采购预算和实施计划的全过程控制，如采购需求、招标流程等；③采购文件中是否有倾向性、歧视性条款。</w:t>
            </w:r>
          </w:p>
        </w:tc>
        <w:tc>
          <w:tcPr>
            <w:tcW w:w="1090" w:type="dxa"/>
            <w:vAlign w:val="center"/>
          </w:tcPr>
          <w:p w14:paraId="639BD25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健全</w:t>
            </w:r>
          </w:p>
        </w:tc>
        <w:tc>
          <w:tcPr>
            <w:tcW w:w="1090" w:type="dxa"/>
            <w:vAlign w:val="center"/>
          </w:tcPr>
          <w:p w14:paraId="5E678D7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部门佐证列式</w:t>
            </w:r>
          </w:p>
        </w:tc>
        <w:tc>
          <w:tcPr>
            <w:tcW w:w="1090" w:type="dxa"/>
            <w:vAlign w:val="center"/>
          </w:tcPr>
          <w:p w14:paraId="51E5FD4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①制定或具有相应的财务和业务管理制度；②财务和业务管理制度合法、合规、完整。③采购文件合规合法。全部符合的满分。</w:t>
            </w:r>
          </w:p>
        </w:tc>
        <w:tc>
          <w:tcPr>
            <w:tcW w:w="1090" w:type="dxa"/>
            <w:vAlign w:val="center"/>
          </w:tcPr>
          <w:p w14:paraId="43E0E48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依据《喀什市民政局财务管理制度的规定》《喀什市民政局合同业务管理办法》《喀什市民政局绩效评价管理制度》《喀什市民政局专项资金管理制度》等，对财政专项资金进行严格管理，做到了专款专用，具有相应的财务和业务管理制度，财务和业务管理制度合法、合规、完整。根据评分标准，该指标不扣分，得2分。</w:t>
            </w:r>
          </w:p>
        </w:tc>
        <w:tc>
          <w:tcPr>
            <w:tcW w:w="1091" w:type="dxa"/>
            <w:vAlign w:val="center"/>
          </w:tcPr>
          <w:p w14:paraId="16ADC35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3A15C25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4DF57BD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00A6C1AF">
            <w:pPr>
              <w:jc w:val="left"/>
              <w:rPr>
                <w:rFonts w:hint="eastAsia" w:ascii="Times New Roman" w:hAnsi="Times New Roman" w:eastAsia="仿宋_GB2312" w:cs="仿宋_GB2312"/>
                <w:sz w:val="18"/>
                <w:szCs w:val="18"/>
                <w:highlight w:val="none"/>
                <w:vertAlign w:val="baseline"/>
                <w:lang w:val="en-US" w:eastAsia="zh-CN"/>
              </w:rPr>
            </w:pPr>
          </w:p>
        </w:tc>
      </w:tr>
      <w:tr w14:paraId="345C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92B87D3">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3AA4EA71">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916D75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制度执行有效性</w:t>
            </w:r>
          </w:p>
        </w:tc>
        <w:tc>
          <w:tcPr>
            <w:tcW w:w="1090" w:type="dxa"/>
            <w:vAlign w:val="center"/>
          </w:tcPr>
          <w:p w14:paraId="084C8CC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3408485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项目实施是否符合相关管理规定，用以反映和考核相关管理制度的有效执行情况。</w:t>
            </w:r>
          </w:p>
        </w:tc>
        <w:tc>
          <w:tcPr>
            <w:tcW w:w="1090" w:type="dxa"/>
            <w:vAlign w:val="center"/>
          </w:tcPr>
          <w:p w14:paraId="3B878A6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有效</w:t>
            </w:r>
          </w:p>
        </w:tc>
        <w:tc>
          <w:tcPr>
            <w:tcW w:w="1090" w:type="dxa"/>
            <w:vAlign w:val="center"/>
          </w:tcPr>
          <w:p w14:paraId="045D357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政府采购平台公布信息</w:t>
            </w:r>
          </w:p>
        </w:tc>
        <w:tc>
          <w:tcPr>
            <w:tcW w:w="1090" w:type="dxa"/>
            <w:vAlign w:val="center"/>
          </w:tcPr>
          <w:p w14:paraId="44D32FF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遵守相关法律法规和相关管理规定（0.5分）否则，不得分；②项目调整及支出调整手续完备（0.5分）否则，不得分；③项目合同书、验收报告、技术鉴定等资料齐全并及时归档（1分）否则，不得分；④项目实施的人员条件、场地设备、信息支撑等落实到位（1分）否则，不得分。</w:t>
            </w:r>
          </w:p>
        </w:tc>
        <w:tc>
          <w:tcPr>
            <w:tcW w:w="1090" w:type="dxa"/>
            <w:vAlign w:val="center"/>
          </w:tcPr>
          <w:p w14:paraId="5F4B569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依据《关于提前下达2025年自治区彩票公益金支持残疾人福利项目补助资金预算的通知》（喀地财社〔2024〕84号）《2025年喀什市精康融合行动项目实施方案》《喀什市民政局财务支出管理制度》的规定，遵守相关法律法规和相关管理规定，项目不涉及绩效目标调整，项目合同书、评估报告等资料齐全并及时归档。根据评分标准，该指标不扣分，得3分。</w:t>
            </w:r>
          </w:p>
        </w:tc>
        <w:tc>
          <w:tcPr>
            <w:tcW w:w="1091" w:type="dxa"/>
            <w:vAlign w:val="center"/>
          </w:tcPr>
          <w:p w14:paraId="74B935A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12223B6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4924723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72298CCB">
            <w:pPr>
              <w:jc w:val="left"/>
              <w:rPr>
                <w:rFonts w:hint="eastAsia" w:ascii="Times New Roman" w:hAnsi="Times New Roman" w:eastAsia="仿宋_GB2312" w:cs="仿宋_GB2312"/>
                <w:sz w:val="18"/>
                <w:szCs w:val="18"/>
                <w:highlight w:val="none"/>
                <w:vertAlign w:val="baseline"/>
                <w:lang w:val="en-US" w:eastAsia="zh-CN"/>
              </w:rPr>
            </w:pPr>
          </w:p>
        </w:tc>
      </w:tr>
      <w:tr w14:paraId="5D99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2057C6E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509191B5">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144095B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采购程序规范性</w:t>
            </w:r>
          </w:p>
        </w:tc>
        <w:tc>
          <w:tcPr>
            <w:tcW w:w="1090" w:type="dxa"/>
            <w:vAlign w:val="center"/>
          </w:tcPr>
          <w:p w14:paraId="609471EF">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0" w:type="dxa"/>
            <w:vAlign w:val="center"/>
          </w:tcPr>
          <w:p w14:paraId="6E044A9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①招标公告：内容是否完整、真实、准确；②变更公告：内容是否完整、真实、准确，是否书面通知获得招标文件的供应商；③中标公告：内容是否完整、真实、准确；④询问、质疑：在被供应商提出有效询问、质疑后，是否按照政府采购法律及有关制度的规 定接收、受理、处理和做出答复⑤考察政府在《财政部关于促进政府采购公平竞争优化营商环境的通知》中明确的政府采购领域妨碍公平竞争的规定和做法。⑥是否存在其他不符合《中华人民共和国政府采购法》规定的做法。</w:t>
            </w:r>
          </w:p>
        </w:tc>
        <w:tc>
          <w:tcPr>
            <w:tcW w:w="1090" w:type="dxa"/>
            <w:vAlign w:val="center"/>
          </w:tcPr>
          <w:p w14:paraId="5A216B2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1090" w:type="dxa"/>
            <w:vAlign w:val="center"/>
          </w:tcPr>
          <w:p w14:paraId="6F65057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部门佐证列式</w:t>
            </w:r>
          </w:p>
        </w:tc>
        <w:tc>
          <w:tcPr>
            <w:tcW w:w="1090" w:type="dxa"/>
            <w:vAlign w:val="center"/>
          </w:tcPr>
          <w:p w14:paraId="731D671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采购程序符合政府采购法规制度要求，得满分，每发现1处不符合情况扣1分，扣完为止。</w:t>
            </w:r>
          </w:p>
        </w:tc>
        <w:tc>
          <w:tcPr>
            <w:tcW w:w="1090" w:type="dxa"/>
            <w:vAlign w:val="center"/>
          </w:tcPr>
          <w:p w14:paraId="438D066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依据《关于申请办理喀什市民政局“精康融合”服务项目采购手续的报告》《成交通知书》喀什市民政局按照要求公开购买服务信息，按照政府采购法等有关规定，通过公平公正择优确认承接主体为喀什市臻善社会工作站。根据评分标准，该指标不扣分，得5分。</w:t>
            </w:r>
          </w:p>
        </w:tc>
        <w:tc>
          <w:tcPr>
            <w:tcW w:w="1091" w:type="dxa"/>
            <w:vAlign w:val="center"/>
          </w:tcPr>
          <w:p w14:paraId="53D382F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4C29E42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1" w:type="dxa"/>
            <w:vAlign w:val="center"/>
          </w:tcPr>
          <w:p w14:paraId="3A44313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5992DA73">
            <w:pPr>
              <w:jc w:val="left"/>
              <w:rPr>
                <w:rFonts w:hint="eastAsia" w:ascii="Times New Roman" w:hAnsi="Times New Roman" w:eastAsia="仿宋_GB2312" w:cs="仿宋_GB2312"/>
                <w:sz w:val="18"/>
                <w:szCs w:val="18"/>
                <w:highlight w:val="none"/>
                <w:vertAlign w:val="baseline"/>
                <w:lang w:val="en-US" w:eastAsia="zh-CN"/>
              </w:rPr>
            </w:pPr>
          </w:p>
        </w:tc>
      </w:tr>
      <w:tr w14:paraId="2AF1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1AB507D7">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58C8675F">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73EF2FE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采购方式合规性</w:t>
            </w:r>
          </w:p>
        </w:tc>
        <w:tc>
          <w:tcPr>
            <w:tcW w:w="1090" w:type="dxa"/>
            <w:vAlign w:val="center"/>
          </w:tcPr>
          <w:p w14:paraId="7092ED03">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Align w:val="center"/>
          </w:tcPr>
          <w:p w14:paraId="339F7CE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考察采购方式（采购方式变更）的是否符合《中华人民共和国政府采购法》的相关规定；</w:t>
            </w:r>
          </w:p>
        </w:tc>
        <w:tc>
          <w:tcPr>
            <w:tcW w:w="1090" w:type="dxa"/>
            <w:vAlign w:val="center"/>
          </w:tcPr>
          <w:p w14:paraId="077F742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合规</w:t>
            </w:r>
          </w:p>
        </w:tc>
        <w:tc>
          <w:tcPr>
            <w:tcW w:w="1090" w:type="dxa"/>
            <w:vAlign w:val="center"/>
          </w:tcPr>
          <w:p w14:paraId="132D353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部门佐证列式</w:t>
            </w:r>
          </w:p>
        </w:tc>
        <w:tc>
          <w:tcPr>
            <w:tcW w:w="1090" w:type="dxa"/>
            <w:vAlign w:val="center"/>
          </w:tcPr>
          <w:p w14:paraId="6A62D87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采购方式（采购方式变更）符合政府采购法规制度要求得满分，不符合扣除全部分值。</w:t>
            </w:r>
          </w:p>
        </w:tc>
        <w:tc>
          <w:tcPr>
            <w:tcW w:w="1090" w:type="dxa"/>
            <w:vAlign w:val="center"/>
          </w:tcPr>
          <w:p w14:paraId="3FCAA61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本项目预算资金20万元，依据《中华人民共和国政府采购法》得相关规定，可以不采用公开招标，依据《关于申请办理喀什市民政局“精康融合”服务项目采购手续的报告》《成交通知书》，本项目采购合规，根据批评分标准，该指标不扣分，得4分。</w:t>
            </w:r>
          </w:p>
        </w:tc>
        <w:tc>
          <w:tcPr>
            <w:tcW w:w="1091" w:type="dxa"/>
            <w:vAlign w:val="center"/>
          </w:tcPr>
          <w:p w14:paraId="0FE189F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51AEBDE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51400CF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49B0E2E">
            <w:pPr>
              <w:jc w:val="left"/>
              <w:rPr>
                <w:rFonts w:hint="eastAsia" w:ascii="Times New Roman" w:hAnsi="Times New Roman" w:eastAsia="仿宋_GB2312" w:cs="仿宋_GB2312"/>
                <w:sz w:val="18"/>
                <w:szCs w:val="18"/>
                <w:highlight w:val="none"/>
                <w:vertAlign w:val="baseline"/>
                <w:lang w:val="en-US" w:eastAsia="zh-CN"/>
              </w:rPr>
            </w:pPr>
          </w:p>
        </w:tc>
      </w:tr>
      <w:tr w14:paraId="2048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3B2F7883">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60E7512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116BA8B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合同管理规范性</w:t>
            </w:r>
          </w:p>
        </w:tc>
        <w:tc>
          <w:tcPr>
            <w:tcW w:w="1090" w:type="dxa"/>
            <w:vAlign w:val="center"/>
          </w:tcPr>
          <w:p w14:paraId="57158132">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Align w:val="center"/>
          </w:tcPr>
          <w:p w14:paraId="6015911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①是否与采购主体签订书面合同，合同内容是否完整②是否符合《中华人民共和国政府采购法实施条例》指导性目录等有关规定，政府采购合同是否依法予以公告，用以反映和考核采购主体实施项目采购及签订合同的规范执行情况。</w:t>
            </w:r>
          </w:p>
        </w:tc>
        <w:tc>
          <w:tcPr>
            <w:tcW w:w="1090" w:type="dxa"/>
            <w:vAlign w:val="center"/>
          </w:tcPr>
          <w:p w14:paraId="0D7793B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1090" w:type="dxa"/>
            <w:vAlign w:val="center"/>
          </w:tcPr>
          <w:p w14:paraId="5510F44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部门佐证列式</w:t>
            </w:r>
          </w:p>
        </w:tc>
        <w:tc>
          <w:tcPr>
            <w:tcW w:w="1090" w:type="dxa"/>
            <w:vAlign w:val="center"/>
          </w:tcPr>
          <w:p w14:paraId="4279E46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是否与承接主体签订书面合同，合同内容是否完整②是否符合《中华人民共和国政府采购法实施条例》指导性目录等有关规定，政府采购合同是否依法予以公告，用以反映和考核采购主体实施项目采购及签订合同的规范执行情况。每符合一项得 2分。</w:t>
            </w:r>
          </w:p>
        </w:tc>
        <w:tc>
          <w:tcPr>
            <w:tcW w:w="1090" w:type="dxa"/>
            <w:vAlign w:val="center"/>
          </w:tcPr>
          <w:p w14:paraId="2A5AAE1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查看项目采购相关资料，本项目喀什市民政局与喀什市臻善社会工作站已签订书面合同，合同内容完整，符合《中华人民共和国政府采购法实施条例》指导性目录等有关规定，政府采购合同依法予以公告，合同管理规范，根据评分标准，该指标不扣分，得4分。</w:t>
            </w:r>
          </w:p>
        </w:tc>
        <w:tc>
          <w:tcPr>
            <w:tcW w:w="1091" w:type="dxa"/>
            <w:vAlign w:val="center"/>
          </w:tcPr>
          <w:p w14:paraId="07C62F1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3E4EB0E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43BB444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218FB6BE">
            <w:pPr>
              <w:jc w:val="left"/>
              <w:rPr>
                <w:rFonts w:hint="eastAsia" w:ascii="Times New Roman" w:hAnsi="Times New Roman" w:eastAsia="仿宋_GB2312" w:cs="仿宋_GB2312"/>
                <w:sz w:val="18"/>
                <w:szCs w:val="18"/>
                <w:highlight w:val="none"/>
                <w:vertAlign w:val="baseline"/>
                <w:lang w:val="en-US" w:eastAsia="zh-CN"/>
              </w:rPr>
            </w:pPr>
          </w:p>
        </w:tc>
      </w:tr>
      <w:tr w14:paraId="4F35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22D5EA1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4DFA1AF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64C916D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项目履约验收规范性</w:t>
            </w:r>
          </w:p>
        </w:tc>
        <w:tc>
          <w:tcPr>
            <w:tcW w:w="1090" w:type="dxa"/>
            <w:vAlign w:val="center"/>
          </w:tcPr>
          <w:p w14:paraId="31A6EA4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Align w:val="center"/>
          </w:tcPr>
          <w:p w14:paraId="3DAA123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考察①是否组织了考核验收工作；②考核验收是否邀请采购人员参与并出具意见；③履约考核验收的结果是否公开。</w:t>
            </w:r>
          </w:p>
        </w:tc>
        <w:tc>
          <w:tcPr>
            <w:tcW w:w="1090" w:type="dxa"/>
            <w:vAlign w:val="center"/>
          </w:tcPr>
          <w:p w14:paraId="01E048A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090" w:type="dxa"/>
            <w:vAlign w:val="center"/>
          </w:tcPr>
          <w:p w14:paraId="7D60582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验收报告</w:t>
            </w:r>
          </w:p>
        </w:tc>
        <w:tc>
          <w:tcPr>
            <w:tcW w:w="1090" w:type="dxa"/>
            <w:vAlign w:val="center"/>
          </w:tcPr>
          <w:p w14:paraId="1B685E3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①按照《中华人民共和国政府采购法实施条例》组织验收。②验收时应当邀请采购人员参与并出具意见。③验收结果应当向社会公告。符合以上要求得满分，否则不得分。</w:t>
            </w:r>
          </w:p>
        </w:tc>
        <w:tc>
          <w:tcPr>
            <w:tcW w:w="1090" w:type="dxa"/>
            <w:vAlign w:val="center"/>
          </w:tcPr>
          <w:p w14:paraId="67B27C9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查看项目采购及验收相关资料，喀什市民政局已按照《中华人民共和国政府采购法实施条例》组织验收，喀什市民政局按照相关要求聘请第三方对喀什市臻善社会工作站的精康融合行动服务进行期中和期末评估，期末评估报告中对合同的具体工作指标未做出评估，根据评分标准，该指标扣0.5分，得3.5分。</w:t>
            </w:r>
          </w:p>
        </w:tc>
        <w:tc>
          <w:tcPr>
            <w:tcW w:w="1091" w:type="dxa"/>
            <w:vAlign w:val="center"/>
          </w:tcPr>
          <w:p w14:paraId="30559A5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0.5</w:t>
            </w:r>
          </w:p>
        </w:tc>
        <w:tc>
          <w:tcPr>
            <w:tcW w:w="1091" w:type="dxa"/>
            <w:vAlign w:val="center"/>
          </w:tcPr>
          <w:p w14:paraId="5C40B54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3.5</w:t>
            </w:r>
          </w:p>
        </w:tc>
        <w:tc>
          <w:tcPr>
            <w:tcW w:w="1091" w:type="dxa"/>
            <w:vAlign w:val="center"/>
          </w:tcPr>
          <w:p w14:paraId="4637408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87.50%</w:t>
            </w:r>
          </w:p>
        </w:tc>
        <w:tc>
          <w:tcPr>
            <w:tcW w:w="1091" w:type="dxa"/>
            <w:vAlign w:val="center"/>
          </w:tcPr>
          <w:p w14:paraId="2AF051A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期末评估报告中对合同的具体工作指标未做出评估</w:t>
            </w:r>
          </w:p>
        </w:tc>
      </w:tr>
      <w:tr w14:paraId="7784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restart"/>
            <w:vAlign w:val="center"/>
          </w:tcPr>
          <w:p w14:paraId="293D97D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产出（35）</w:t>
            </w:r>
          </w:p>
        </w:tc>
        <w:tc>
          <w:tcPr>
            <w:tcW w:w="1090" w:type="dxa"/>
            <w:vMerge w:val="restart"/>
            <w:vAlign w:val="center"/>
          </w:tcPr>
          <w:p w14:paraId="6EC901FB">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产出数量</w:t>
            </w:r>
          </w:p>
        </w:tc>
        <w:tc>
          <w:tcPr>
            <w:tcW w:w="1090" w:type="dxa"/>
            <w:vAlign w:val="center"/>
          </w:tcPr>
          <w:p w14:paraId="20DD385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走访精康患者数量</w:t>
            </w:r>
          </w:p>
        </w:tc>
        <w:tc>
          <w:tcPr>
            <w:tcW w:w="1090" w:type="dxa"/>
            <w:vAlign w:val="center"/>
          </w:tcPr>
          <w:p w14:paraId="11F647F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Merge w:val="restart"/>
            <w:vAlign w:val="center"/>
          </w:tcPr>
          <w:p w14:paraId="257D6E2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项目实施的实际产出数与计划产出数的比率，用以反映和考核项目产出数量目标的实现程度</w:t>
            </w:r>
          </w:p>
        </w:tc>
        <w:tc>
          <w:tcPr>
            <w:tcW w:w="1090" w:type="dxa"/>
            <w:vAlign w:val="center"/>
          </w:tcPr>
          <w:p w14:paraId="34869ED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≥290人</w:t>
            </w:r>
          </w:p>
        </w:tc>
        <w:tc>
          <w:tcPr>
            <w:tcW w:w="1090" w:type="dxa"/>
            <w:vAlign w:val="center"/>
          </w:tcPr>
          <w:p w14:paraId="50A07D6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项目实施的汇总表</w:t>
            </w:r>
          </w:p>
        </w:tc>
        <w:tc>
          <w:tcPr>
            <w:tcW w:w="1090" w:type="dxa"/>
            <w:vMerge w:val="restart"/>
            <w:vAlign w:val="center"/>
          </w:tcPr>
          <w:p w14:paraId="3CFF56D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1.完成率=100%，得权重分值；若60%≤完成率＜100%，得分=（实际完成率-60%）/（1%～60%）×权重分值；若完成率＜60%，得分=0分，2、完成率&gt;200%，得0分；100%≤完成率＜200%，得分=[1-（实际完成率-100%）]*权重分值。</w:t>
            </w:r>
          </w:p>
        </w:tc>
        <w:tc>
          <w:tcPr>
            <w:tcW w:w="1090" w:type="dxa"/>
            <w:vAlign w:val="center"/>
          </w:tcPr>
          <w:p w14:paraId="02F9045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查看“喀什市民政局2025年喀什市精康融合行动项目指标完成情况汇总表”以及线下查看装订成册的档案目录表、活动方案、签到表、资料反馈表、活动总结、通讯稿、活动照片，本项目通过专业评估，为精神障碍患者定制个性化康复服务，涵盖生活、社交和职业技能训练，助力患者提升自理能力、融入社会，为家属开展护理知识培训和心理支持活动，减轻其照顾负担，本项目共走访290为精康患者，完成率100%。根据评分标准，该指标不扣分，得4分。</w:t>
            </w:r>
          </w:p>
        </w:tc>
        <w:tc>
          <w:tcPr>
            <w:tcW w:w="1091" w:type="dxa"/>
            <w:vAlign w:val="center"/>
          </w:tcPr>
          <w:p w14:paraId="69ECE32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55E07EF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412FF2A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3828E90">
            <w:pPr>
              <w:jc w:val="left"/>
              <w:rPr>
                <w:rFonts w:hint="eastAsia" w:ascii="Times New Roman" w:hAnsi="Times New Roman" w:eastAsia="仿宋_GB2312" w:cs="仿宋_GB2312"/>
                <w:sz w:val="18"/>
                <w:szCs w:val="18"/>
                <w:highlight w:val="none"/>
                <w:vertAlign w:val="baseline"/>
                <w:lang w:val="en-US" w:eastAsia="zh-CN"/>
              </w:rPr>
            </w:pPr>
          </w:p>
        </w:tc>
      </w:tr>
      <w:tr w14:paraId="0135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4948D7B2">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3C3F978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498D88E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cs="仿宋_GB2312"/>
                <w:i w:val="0"/>
                <w:iCs w:val="0"/>
                <w:color w:val="000000"/>
                <w:kern w:val="0"/>
                <w:sz w:val="18"/>
                <w:szCs w:val="18"/>
                <w:u w:val="none"/>
                <w:lang w:val="en-US" w:eastAsia="zh-CN" w:bidi="ar"/>
              </w:rPr>
              <w:t>服务精神障碍患者人数</w:t>
            </w:r>
          </w:p>
        </w:tc>
        <w:tc>
          <w:tcPr>
            <w:tcW w:w="1090" w:type="dxa"/>
            <w:vAlign w:val="center"/>
          </w:tcPr>
          <w:p w14:paraId="6C41F81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6F8CAEE6">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74BE1BD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≥100人</w:t>
            </w:r>
          </w:p>
        </w:tc>
        <w:tc>
          <w:tcPr>
            <w:tcW w:w="1090" w:type="dxa"/>
            <w:vAlign w:val="center"/>
          </w:tcPr>
          <w:p w14:paraId="6AF472D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实际产出数与合同约定产出数的比率</w:t>
            </w:r>
          </w:p>
        </w:tc>
        <w:tc>
          <w:tcPr>
            <w:tcW w:w="1090" w:type="dxa"/>
            <w:vMerge w:val="continue"/>
            <w:vAlign w:val="center"/>
          </w:tcPr>
          <w:p w14:paraId="6FC0E329">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7DF19B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根据单位提供的《</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2025精康融合）服务对象信息汇总表》以及线下查看装订成册的档案目录表、活动方案、签到表、资料反馈表、活动总结、通讯稿、活动照片，显示，服务精神障碍患者342人，完成率342%，根据评分标准，该指标扣3分，得0分。</w:t>
            </w:r>
          </w:p>
        </w:tc>
        <w:tc>
          <w:tcPr>
            <w:tcW w:w="1091" w:type="dxa"/>
            <w:vAlign w:val="center"/>
          </w:tcPr>
          <w:p w14:paraId="4F37C80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7440362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45982A8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0.00%</w:t>
            </w:r>
          </w:p>
        </w:tc>
        <w:tc>
          <w:tcPr>
            <w:tcW w:w="1091" w:type="dxa"/>
            <w:vAlign w:val="center"/>
          </w:tcPr>
          <w:p w14:paraId="43CE5A8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年末实际完成值严重大于年初目标值</w:t>
            </w:r>
          </w:p>
        </w:tc>
      </w:tr>
      <w:tr w14:paraId="7C92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7C18B67F">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42D58E06">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25C9363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精康患者评估人次</w:t>
            </w:r>
          </w:p>
        </w:tc>
        <w:tc>
          <w:tcPr>
            <w:tcW w:w="1090" w:type="dxa"/>
            <w:vAlign w:val="center"/>
          </w:tcPr>
          <w:p w14:paraId="3E2D8E1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29B2546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BB8045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≥300人次</w:t>
            </w:r>
          </w:p>
        </w:tc>
        <w:tc>
          <w:tcPr>
            <w:tcW w:w="1090" w:type="dxa"/>
            <w:vAlign w:val="center"/>
          </w:tcPr>
          <w:p w14:paraId="069B401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项目实施的汇总表</w:t>
            </w:r>
          </w:p>
        </w:tc>
        <w:tc>
          <w:tcPr>
            <w:tcW w:w="1090" w:type="dxa"/>
            <w:vMerge w:val="continue"/>
            <w:vAlign w:val="center"/>
          </w:tcPr>
          <w:p w14:paraId="4E69B9F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1318829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查看“喀什市民政局2025年喀什市精康融合行动项目指标完成情况汇总表”以及线下查看装订成册的档案目录表、活动方案、签到表、资料反馈表、活动总结、通讯稿、活动照片，本项目通过专业评估，为精神障碍患者定制个性化康复服务，涵盖生活、社交和职业技能训练，助力患者提升自理能力、融入社会，为家属开展护理知识培训和心理支持活动，减轻其照顾负担，本项目共为327人次精康患者评估，完成率达109%。根据评分标准，该指标不扣分，得3分。</w:t>
            </w:r>
          </w:p>
        </w:tc>
        <w:tc>
          <w:tcPr>
            <w:tcW w:w="1091" w:type="dxa"/>
            <w:vAlign w:val="center"/>
          </w:tcPr>
          <w:p w14:paraId="192EF9F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6E7C968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1C09B9D2">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87F5534">
            <w:pPr>
              <w:jc w:val="left"/>
              <w:rPr>
                <w:rFonts w:hint="eastAsia" w:ascii="Times New Roman" w:hAnsi="Times New Roman" w:eastAsia="仿宋_GB2312" w:cs="仿宋_GB2312"/>
                <w:sz w:val="18"/>
                <w:szCs w:val="18"/>
                <w:highlight w:val="none"/>
                <w:vertAlign w:val="baseline"/>
                <w:lang w:val="en-US" w:eastAsia="zh-CN"/>
              </w:rPr>
            </w:pPr>
          </w:p>
        </w:tc>
      </w:tr>
      <w:tr w14:paraId="6FE9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07795B91">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5150A81D">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6516F93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个案咨询服务人次</w:t>
            </w:r>
          </w:p>
        </w:tc>
        <w:tc>
          <w:tcPr>
            <w:tcW w:w="1090" w:type="dxa"/>
            <w:vAlign w:val="center"/>
          </w:tcPr>
          <w:p w14:paraId="3B8FB7B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0" w:type="dxa"/>
            <w:vMerge w:val="continue"/>
            <w:vAlign w:val="center"/>
          </w:tcPr>
          <w:p w14:paraId="04FB9150">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EF342F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≥20人次</w:t>
            </w:r>
          </w:p>
        </w:tc>
        <w:tc>
          <w:tcPr>
            <w:tcW w:w="1090" w:type="dxa"/>
            <w:vAlign w:val="center"/>
          </w:tcPr>
          <w:p w14:paraId="277ACBF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项目实施的汇总表</w:t>
            </w:r>
          </w:p>
        </w:tc>
        <w:tc>
          <w:tcPr>
            <w:tcW w:w="1090" w:type="dxa"/>
            <w:vMerge w:val="continue"/>
            <w:vAlign w:val="center"/>
          </w:tcPr>
          <w:p w14:paraId="2B6691B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65B4B62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查看“喀什市民政局2025年喀什市精康融合行动项目指标完成情况汇总表”，本项目通过专业评估，为精神障碍患者定制个性化康复服务，涵盖生活、社交和职业技能训练，助力患者提升自理能力、融入社会，为家属开展护理知识培训和心理支持活动，减轻其照顾负担，本项目共完成个案咨询服务20人次。根据评分标准，该指标不扣分，得2分。</w:t>
            </w:r>
          </w:p>
        </w:tc>
        <w:tc>
          <w:tcPr>
            <w:tcW w:w="1091" w:type="dxa"/>
            <w:vAlign w:val="center"/>
          </w:tcPr>
          <w:p w14:paraId="6F970E0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2A37645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1091" w:type="dxa"/>
            <w:vAlign w:val="center"/>
          </w:tcPr>
          <w:p w14:paraId="3CC6C6E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29C58E12">
            <w:pPr>
              <w:jc w:val="left"/>
              <w:rPr>
                <w:rFonts w:hint="eastAsia" w:ascii="Times New Roman" w:hAnsi="Times New Roman" w:eastAsia="仿宋_GB2312" w:cs="仿宋_GB2312"/>
                <w:sz w:val="18"/>
                <w:szCs w:val="18"/>
                <w:highlight w:val="none"/>
                <w:vertAlign w:val="baseline"/>
                <w:lang w:val="en-US" w:eastAsia="zh-CN"/>
              </w:rPr>
            </w:pPr>
          </w:p>
        </w:tc>
      </w:tr>
      <w:tr w14:paraId="4493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0" w:type="dxa"/>
            <w:vMerge w:val="continue"/>
            <w:vAlign w:val="center"/>
          </w:tcPr>
          <w:p w14:paraId="14D7794A">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55717D1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AD062E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开展宣传、培训、训练等活动数量</w:t>
            </w:r>
          </w:p>
        </w:tc>
        <w:tc>
          <w:tcPr>
            <w:tcW w:w="1090" w:type="dxa"/>
            <w:vAlign w:val="center"/>
          </w:tcPr>
          <w:p w14:paraId="652EC063">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0A4C004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BC2297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≥54场</w:t>
            </w:r>
          </w:p>
        </w:tc>
        <w:tc>
          <w:tcPr>
            <w:tcW w:w="1090" w:type="dxa"/>
            <w:vAlign w:val="center"/>
          </w:tcPr>
          <w:p w14:paraId="447779C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项目实施的汇总表</w:t>
            </w:r>
          </w:p>
        </w:tc>
        <w:tc>
          <w:tcPr>
            <w:tcW w:w="1090" w:type="dxa"/>
            <w:vMerge w:val="continue"/>
            <w:vAlign w:val="center"/>
          </w:tcPr>
          <w:p w14:paraId="6AEDD24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4EF1B3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查看“喀什市民政局2025年喀什市精康融合行动项目指标完成情况汇总表”以及线下查看装订成册的档案目录表、活动方案、签到表、资料反馈表、活动总结、通讯稿、活动照片，本项目通过专业评估，为精神障碍患者定制个性化康复服务，涵盖生活、社交和职业技能训练，助力患者提升自理能力、融入社会，2025年共开展60场次活动，其中：开展4场宣传活动(利用全国</w:t>
            </w:r>
            <w:r>
              <w:rPr>
                <w:rFonts w:hint="eastAsia" w:ascii="Times New Roman" w:hAnsi="Times New Roman" w:cs="仿宋_GB2312"/>
                <w:i w:val="0"/>
                <w:iCs w:val="0"/>
                <w:color w:val="000000"/>
                <w:kern w:val="0"/>
                <w:sz w:val="18"/>
                <w:szCs w:val="18"/>
                <w:u w:val="none"/>
                <w:lang w:val="en-US" w:eastAsia="zh-CN" w:bidi="ar"/>
              </w:rPr>
              <w:t>助残日、</w:t>
            </w:r>
            <w:r>
              <w:rPr>
                <w:rFonts w:hint="eastAsia" w:ascii="Times New Roman" w:hAnsi="Times New Roman" w:eastAsia="仿宋_GB2312" w:cs="仿宋_GB2312"/>
                <w:i w:val="0"/>
                <w:iCs w:val="0"/>
                <w:color w:val="000000"/>
                <w:kern w:val="0"/>
                <w:sz w:val="18"/>
                <w:szCs w:val="18"/>
                <w:u w:val="none"/>
                <w:lang w:val="en-US" w:eastAsia="zh-CN" w:bidi="ar"/>
              </w:rPr>
              <w:t>精神卫生日开展精神健康服务宣传，志愿者活动</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；35场次</w:t>
            </w:r>
            <w:r>
              <w:rPr>
                <w:rFonts w:hint="eastAsia" w:ascii="Times New Roman" w:hAnsi="Times New Roman" w:cs="仿宋_GB2312"/>
                <w:i w:val="0"/>
                <w:iCs w:val="0"/>
                <w:color w:val="000000"/>
                <w:kern w:val="0"/>
                <w:sz w:val="18"/>
                <w:szCs w:val="18"/>
                <w:u w:val="none"/>
                <w:lang w:val="en-US" w:eastAsia="zh-CN" w:bidi="ar"/>
              </w:rPr>
              <w:t>（精康患者）</w:t>
            </w:r>
            <w:r>
              <w:rPr>
                <w:rFonts w:hint="eastAsia" w:ascii="Times New Roman" w:hAnsi="Times New Roman" w:eastAsia="仿宋_GB2312" w:cs="仿宋_GB2312"/>
                <w:i w:val="0"/>
                <w:iCs w:val="0"/>
                <w:color w:val="000000"/>
                <w:kern w:val="0"/>
                <w:sz w:val="18"/>
                <w:szCs w:val="18"/>
                <w:u w:val="none"/>
                <w:lang w:val="en-US" w:eastAsia="zh-CN" w:bidi="ar"/>
              </w:rPr>
              <w:t>生活自理技能训练、认知技能训练、情绪管理技能训练、就业技能相关训练或培训、社交技能训练、娱乐服务等活动；21场次</w:t>
            </w:r>
            <w:r>
              <w:rPr>
                <w:rFonts w:hint="eastAsia" w:ascii="Times New Roman" w:hAnsi="Times New Roman" w:cs="仿宋_GB2312"/>
                <w:i w:val="0"/>
                <w:iCs w:val="0"/>
                <w:color w:val="000000"/>
                <w:kern w:val="0"/>
                <w:sz w:val="18"/>
                <w:szCs w:val="18"/>
                <w:u w:val="none"/>
                <w:lang w:val="en-US" w:eastAsia="zh-CN" w:bidi="ar"/>
              </w:rPr>
              <w:t>（家属）</w:t>
            </w:r>
            <w:r>
              <w:rPr>
                <w:rFonts w:hint="eastAsia" w:ascii="Times New Roman" w:hAnsi="Times New Roman" w:eastAsia="仿宋_GB2312" w:cs="仿宋_GB2312"/>
                <w:i w:val="0"/>
                <w:iCs w:val="0"/>
                <w:color w:val="000000"/>
                <w:kern w:val="0"/>
                <w:sz w:val="18"/>
                <w:szCs w:val="18"/>
                <w:u w:val="none"/>
                <w:lang w:val="en-US" w:eastAsia="zh-CN" w:bidi="ar"/>
              </w:rPr>
              <w:t>护理技能培训、心理团辅、减压服务等活动。根据评分标准，该指标不扣分，得3分。</w:t>
            </w:r>
          </w:p>
        </w:tc>
        <w:tc>
          <w:tcPr>
            <w:tcW w:w="1091" w:type="dxa"/>
            <w:vAlign w:val="center"/>
          </w:tcPr>
          <w:p w14:paraId="2BE4567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7DDC031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4DAFFD5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81305CA">
            <w:pPr>
              <w:jc w:val="left"/>
              <w:rPr>
                <w:rFonts w:hint="eastAsia" w:ascii="Times New Roman" w:hAnsi="Times New Roman" w:eastAsia="仿宋_GB2312" w:cs="仿宋_GB2312"/>
                <w:sz w:val="18"/>
                <w:szCs w:val="18"/>
                <w:highlight w:val="none"/>
                <w:vertAlign w:val="baseline"/>
                <w:lang w:val="en-US" w:eastAsia="zh-CN"/>
              </w:rPr>
            </w:pPr>
          </w:p>
        </w:tc>
      </w:tr>
      <w:tr w14:paraId="51C6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D0DE90A">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restart"/>
            <w:vAlign w:val="center"/>
          </w:tcPr>
          <w:p w14:paraId="4649BE4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产出质量</w:t>
            </w:r>
          </w:p>
        </w:tc>
        <w:tc>
          <w:tcPr>
            <w:tcW w:w="1090" w:type="dxa"/>
            <w:vAlign w:val="center"/>
          </w:tcPr>
          <w:p w14:paraId="66EFBA9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成果验收合格率</w:t>
            </w:r>
          </w:p>
        </w:tc>
        <w:tc>
          <w:tcPr>
            <w:tcW w:w="1090" w:type="dxa"/>
            <w:vAlign w:val="center"/>
          </w:tcPr>
          <w:p w14:paraId="557B2EA7">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restart"/>
            <w:vAlign w:val="center"/>
          </w:tcPr>
          <w:p w14:paraId="4553808D">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项目完成的质量达标产出数与实际产出数的比率，用以反映和考核项目产出质量目标的实现程度。</w:t>
            </w:r>
          </w:p>
        </w:tc>
        <w:tc>
          <w:tcPr>
            <w:tcW w:w="1090" w:type="dxa"/>
            <w:vAlign w:val="center"/>
          </w:tcPr>
          <w:p w14:paraId="4075A01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6D5C8EA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项目实施的验收成果</w:t>
            </w:r>
          </w:p>
        </w:tc>
        <w:tc>
          <w:tcPr>
            <w:tcW w:w="1090" w:type="dxa"/>
            <w:vAlign w:val="center"/>
          </w:tcPr>
          <w:p w14:paraId="4597950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实际完成率=100%，得权重分值，否则，扣除全部分值。</w:t>
            </w:r>
          </w:p>
        </w:tc>
        <w:tc>
          <w:tcPr>
            <w:tcW w:w="1090" w:type="dxa"/>
            <w:vAlign w:val="center"/>
          </w:tcPr>
          <w:p w14:paraId="79BE819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经查看项目《2025年喀什市精康融合行动项目中期评估报告</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2025年喀什市精康融合行动项目末期评估报告》，验收合格率达100%，根据评分标准，该指标不扣分，得3分。</w:t>
            </w:r>
          </w:p>
        </w:tc>
        <w:tc>
          <w:tcPr>
            <w:tcW w:w="1091" w:type="dxa"/>
            <w:vAlign w:val="center"/>
          </w:tcPr>
          <w:p w14:paraId="4A71FA9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36419A8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6664BB5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7F88547C">
            <w:pPr>
              <w:jc w:val="left"/>
              <w:rPr>
                <w:rFonts w:hint="eastAsia" w:ascii="Times New Roman" w:hAnsi="Times New Roman" w:eastAsia="仿宋_GB2312" w:cs="仿宋_GB2312"/>
                <w:sz w:val="18"/>
                <w:szCs w:val="18"/>
                <w:highlight w:val="none"/>
                <w:vertAlign w:val="baseline"/>
                <w:lang w:val="en-US" w:eastAsia="zh-CN"/>
              </w:rPr>
            </w:pPr>
          </w:p>
        </w:tc>
      </w:tr>
      <w:tr w14:paraId="4F62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FBE3CD0">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1BA68382">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F4F747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政府采购率</w:t>
            </w:r>
          </w:p>
        </w:tc>
        <w:tc>
          <w:tcPr>
            <w:tcW w:w="1090" w:type="dxa"/>
            <w:vAlign w:val="center"/>
          </w:tcPr>
          <w:p w14:paraId="0FE38094">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23D1F760">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6FF50773">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6B1B8B6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指标完成率=（实际完成值/计划目标值）×100%</w:t>
            </w:r>
          </w:p>
        </w:tc>
        <w:tc>
          <w:tcPr>
            <w:tcW w:w="1090" w:type="dxa"/>
            <w:vMerge w:val="restart"/>
            <w:vAlign w:val="center"/>
          </w:tcPr>
          <w:p w14:paraId="67F06115">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1.完成率=100%，得权重分值；若60%≤完成率＜100%，得分=（实际完成率-60%）/（1%～60%）×权重分值；若完成率＜60%，得分=0分，2、完成率&gt;200%，得0分；100%≤完成率＜200%，得分=[1-（实际完成率-100%）]*权重分值。</w:t>
            </w:r>
          </w:p>
        </w:tc>
        <w:tc>
          <w:tcPr>
            <w:tcW w:w="1090" w:type="dxa"/>
            <w:vAlign w:val="center"/>
          </w:tcPr>
          <w:p w14:paraId="2E708E3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经查看《喀什市民政局2025年喀什市精康融合行动项目合同</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喀什市民政局2025年喀什市精康融合行动项目成交通知书》，政府采购100%，根据评分规则，该指标不扣分，得3分。</w:t>
            </w:r>
          </w:p>
        </w:tc>
        <w:tc>
          <w:tcPr>
            <w:tcW w:w="1091" w:type="dxa"/>
            <w:vAlign w:val="center"/>
          </w:tcPr>
          <w:p w14:paraId="4DD3C84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64C9EC5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13AB9C5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649875F4">
            <w:pPr>
              <w:jc w:val="left"/>
              <w:rPr>
                <w:rFonts w:hint="eastAsia" w:ascii="Times New Roman" w:hAnsi="Times New Roman" w:eastAsia="仿宋_GB2312" w:cs="仿宋_GB2312"/>
                <w:sz w:val="18"/>
                <w:szCs w:val="18"/>
                <w:highlight w:val="none"/>
                <w:vertAlign w:val="baseline"/>
                <w:lang w:val="en-US" w:eastAsia="zh-CN"/>
              </w:rPr>
            </w:pPr>
          </w:p>
        </w:tc>
      </w:tr>
      <w:tr w14:paraId="3BF8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3A117119">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2842056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683B3F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委托任务完成率</w:t>
            </w:r>
          </w:p>
        </w:tc>
        <w:tc>
          <w:tcPr>
            <w:tcW w:w="1090" w:type="dxa"/>
            <w:vAlign w:val="center"/>
          </w:tcPr>
          <w:p w14:paraId="66DE998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Merge w:val="continue"/>
            <w:vAlign w:val="center"/>
          </w:tcPr>
          <w:p w14:paraId="7C08036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5151A54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121032B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指标完成率=（实际完成值/计划目标值）×100%</w:t>
            </w:r>
          </w:p>
        </w:tc>
        <w:tc>
          <w:tcPr>
            <w:tcW w:w="1090" w:type="dxa"/>
            <w:vMerge w:val="continue"/>
            <w:vAlign w:val="center"/>
          </w:tcPr>
          <w:p w14:paraId="407DA88C">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53E3AC0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看“喀什市民政局2025年喀什市精康融合行动项目指标完成情况汇总表”以及线下查看装订成册的档案目录表、活动方案、签到表、资料反馈表、活动总结、通讯稿、活动照片，合同约定各项具体工作指标均已完成，委托任务完成率达100%，根据评分规则，该指标扣0分，得4分。</w:t>
            </w:r>
          </w:p>
        </w:tc>
        <w:tc>
          <w:tcPr>
            <w:tcW w:w="1091" w:type="dxa"/>
            <w:vAlign w:val="center"/>
          </w:tcPr>
          <w:p w14:paraId="4F403E5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0630144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6FC0C87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076E73A0">
            <w:pPr>
              <w:jc w:val="left"/>
              <w:rPr>
                <w:rFonts w:hint="eastAsia" w:ascii="Times New Roman" w:hAnsi="Times New Roman" w:eastAsia="仿宋_GB2312" w:cs="仿宋_GB2312"/>
                <w:sz w:val="18"/>
                <w:szCs w:val="18"/>
                <w:highlight w:val="none"/>
                <w:vertAlign w:val="baseline"/>
                <w:lang w:val="en-US" w:eastAsia="zh-CN"/>
              </w:rPr>
            </w:pPr>
          </w:p>
        </w:tc>
      </w:tr>
      <w:tr w14:paraId="754F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2BE749FE">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64E5D50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产出时效</w:t>
            </w:r>
          </w:p>
        </w:tc>
        <w:tc>
          <w:tcPr>
            <w:tcW w:w="1090" w:type="dxa"/>
            <w:vAlign w:val="center"/>
          </w:tcPr>
          <w:p w14:paraId="4BCC9D1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补助发放及时性</w:t>
            </w:r>
          </w:p>
        </w:tc>
        <w:tc>
          <w:tcPr>
            <w:tcW w:w="1090" w:type="dxa"/>
            <w:vAlign w:val="center"/>
          </w:tcPr>
          <w:p w14:paraId="06F9A65E">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Align w:val="center"/>
          </w:tcPr>
          <w:p w14:paraId="5FF3550D">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项目实际完成时间与计划完成时间的比较，用以反映和考核项目产出时效目标的实现程度。</w:t>
            </w:r>
          </w:p>
        </w:tc>
        <w:tc>
          <w:tcPr>
            <w:tcW w:w="1090" w:type="dxa"/>
            <w:vAlign w:val="center"/>
          </w:tcPr>
          <w:p w14:paraId="0DC635C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1090" w:type="dxa"/>
            <w:vAlign w:val="center"/>
          </w:tcPr>
          <w:p w14:paraId="50F20F0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项目支出国库支付凭证</w:t>
            </w:r>
          </w:p>
        </w:tc>
        <w:tc>
          <w:tcPr>
            <w:tcW w:w="1090" w:type="dxa"/>
            <w:vAlign w:val="center"/>
          </w:tcPr>
          <w:p w14:paraId="2895147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实际完成率=100%，得权重分值，否则，扣除全部分值。</w:t>
            </w:r>
          </w:p>
        </w:tc>
        <w:tc>
          <w:tcPr>
            <w:tcW w:w="1090" w:type="dxa"/>
            <w:vAlign w:val="center"/>
          </w:tcPr>
          <w:p w14:paraId="24238E9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经查看《关于提前下达2025年自治区彩票公益金支持残疾人福利项目补助资金预算的通知》（喀地财社〔2024〕84号）、《成交通知书》，补助发放及时，根据评分标准，该指标不扣分，得3分。</w:t>
            </w:r>
          </w:p>
        </w:tc>
        <w:tc>
          <w:tcPr>
            <w:tcW w:w="1091" w:type="dxa"/>
            <w:vAlign w:val="center"/>
          </w:tcPr>
          <w:p w14:paraId="3A9792B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069A415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3978134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5C90C258">
            <w:pPr>
              <w:jc w:val="left"/>
              <w:rPr>
                <w:rFonts w:hint="eastAsia" w:ascii="Times New Roman" w:hAnsi="Times New Roman" w:eastAsia="仿宋_GB2312" w:cs="仿宋_GB2312"/>
                <w:sz w:val="18"/>
                <w:szCs w:val="18"/>
                <w:highlight w:val="none"/>
                <w:vertAlign w:val="baseline"/>
                <w:lang w:val="en-US" w:eastAsia="zh-CN"/>
              </w:rPr>
            </w:pPr>
          </w:p>
        </w:tc>
      </w:tr>
      <w:tr w14:paraId="31ED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2902CA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restart"/>
            <w:vAlign w:val="center"/>
          </w:tcPr>
          <w:p w14:paraId="585E3F36">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产出成本</w:t>
            </w:r>
          </w:p>
        </w:tc>
        <w:tc>
          <w:tcPr>
            <w:tcW w:w="1090" w:type="dxa"/>
            <w:vAlign w:val="center"/>
          </w:tcPr>
          <w:p w14:paraId="0577671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项目购买服务资金标准</w:t>
            </w:r>
          </w:p>
        </w:tc>
        <w:tc>
          <w:tcPr>
            <w:tcW w:w="1090" w:type="dxa"/>
            <w:vAlign w:val="center"/>
          </w:tcPr>
          <w:p w14:paraId="162469C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0" w:type="dxa"/>
            <w:vMerge w:val="restart"/>
            <w:vAlign w:val="center"/>
          </w:tcPr>
          <w:p w14:paraId="38AD267B">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完成项目计划工作目标的实际节约成本与计划成本的比率，用以反映和考核项目的成本节约程度。</w:t>
            </w:r>
          </w:p>
        </w:tc>
        <w:tc>
          <w:tcPr>
            <w:tcW w:w="1090" w:type="dxa"/>
            <w:vAlign w:val="center"/>
          </w:tcPr>
          <w:p w14:paraId="7676566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≤20万元/个</w:t>
            </w:r>
          </w:p>
        </w:tc>
        <w:tc>
          <w:tcPr>
            <w:tcW w:w="1090" w:type="dxa"/>
            <w:vMerge w:val="restart"/>
            <w:vAlign w:val="center"/>
          </w:tcPr>
          <w:p w14:paraId="6A98C45E">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项目支出国库支付凭证</w:t>
            </w:r>
          </w:p>
        </w:tc>
        <w:tc>
          <w:tcPr>
            <w:tcW w:w="1090" w:type="dxa"/>
            <w:vMerge w:val="restart"/>
            <w:vAlign w:val="center"/>
          </w:tcPr>
          <w:p w14:paraId="135D415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1.完成率=100%，得权重分值；若60%≤完成率＜100%，得分=（实际完成率-60%）/（1%～60%）×权重分值；若完成率＜60%，得分=0分，2、完成率&gt;200%，得0分；100%≤完成率＜200%，得分=[1-（实际完成率-100%）]*权重分值。</w:t>
            </w:r>
          </w:p>
        </w:tc>
        <w:tc>
          <w:tcPr>
            <w:tcW w:w="1090" w:type="dxa"/>
            <w:vAlign w:val="center"/>
          </w:tcPr>
          <w:p w14:paraId="748B768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精康融合服务项目截至2025年12月31日分3期支出资金20万元，其中，2025年5月28日支付资金10万元，2025年10月28日支付资金8万元，2025年12月25日支付资金2万元。已全部支付完毕，指标完成率为100%，根据评分标准，该指标不扣分，得4分。</w:t>
            </w:r>
          </w:p>
        </w:tc>
        <w:tc>
          <w:tcPr>
            <w:tcW w:w="1091" w:type="dxa"/>
            <w:vAlign w:val="center"/>
          </w:tcPr>
          <w:p w14:paraId="6DACD9B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7809434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1091" w:type="dxa"/>
            <w:vAlign w:val="center"/>
          </w:tcPr>
          <w:p w14:paraId="30DE624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1E2BBE13">
            <w:pPr>
              <w:jc w:val="left"/>
              <w:rPr>
                <w:rFonts w:hint="eastAsia" w:ascii="Times New Roman" w:hAnsi="Times New Roman" w:eastAsia="仿宋_GB2312" w:cs="仿宋_GB2312"/>
                <w:sz w:val="18"/>
                <w:szCs w:val="18"/>
                <w:highlight w:val="none"/>
                <w:vertAlign w:val="baseline"/>
                <w:lang w:val="en-US" w:eastAsia="zh-CN"/>
              </w:rPr>
            </w:pPr>
          </w:p>
        </w:tc>
      </w:tr>
      <w:tr w14:paraId="38D6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2257E83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2622B3C7">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14F5A9A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政府采购节约率</w:t>
            </w:r>
          </w:p>
        </w:tc>
        <w:tc>
          <w:tcPr>
            <w:tcW w:w="1090" w:type="dxa"/>
            <w:vAlign w:val="center"/>
          </w:tcPr>
          <w:p w14:paraId="17EED5B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14A5F62D">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1A23BAB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0" w:type="dxa"/>
            <w:vMerge w:val="continue"/>
            <w:vAlign w:val="center"/>
          </w:tcPr>
          <w:p w14:paraId="2F8594E1">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1F59E558">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769CEA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经查阅《关于提前下达2025年自治区彩票公益金支持残疾人福利项目补助资金预算的通知》（喀地财社〔2024〕84号）、《2025年喀什市精康融合行动项目合同》，项目资金控制在20万元以内，根据评分标准，该指标扣0分，得3分。</w:t>
            </w:r>
          </w:p>
        </w:tc>
        <w:tc>
          <w:tcPr>
            <w:tcW w:w="1091" w:type="dxa"/>
            <w:vAlign w:val="center"/>
          </w:tcPr>
          <w:p w14:paraId="2F82C3A9">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421E263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1091" w:type="dxa"/>
            <w:vAlign w:val="center"/>
          </w:tcPr>
          <w:p w14:paraId="4F6DCB0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38676163">
            <w:pPr>
              <w:jc w:val="left"/>
              <w:rPr>
                <w:rFonts w:hint="eastAsia" w:ascii="Times New Roman" w:hAnsi="Times New Roman" w:eastAsia="仿宋_GB2312" w:cs="仿宋_GB2312"/>
                <w:sz w:val="18"/>
                <w:szCs w:val="18"/>
                <w:highlight w:val="none"/>
                <w:vertAlign w:val="baseline"/>
                <w:lang w:val="en-US" w:eastAsia="zh-CN"/>
              </w:rPr>
            </w:pPr>
          </w:p>
        </w:tc>
      </w:tr>
      <w:tr w14:paraId="3F6F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restart"/>
            <w:vAlign w:val="center"/>
          </w:tcPr>
          <w:p w14:paraId="262F0A7F">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效益（15）</w:t>
            </w:r>
          </w:p>
        </w:tc>
        <w:tc>
          <w:tcPr>
            <w:tcW w:w="1090" w:type="dxa"/>
            <w:vMerge w:val="restart"/>
            <w:vAlign w:val="center"/>
          </w:tcPr>
          <w:p w14:paraId="6215AA8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社会效益</w:t>
            </w:r>
          </w:p>
        </w:tc>
        <w:tc>
          <w:tcPr>
            <w:tcW w:w="1090" w:type="dxa"/>
            <w:vAlign w:val="center"/>
          </w:tcPr>
          <w:p w14:paraId="73342E9F">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项目直接受益人员</w:t>
            </w:r>
          </w:p>
        </w:tc>
        <w:tc>
          <w:tcPr>
            <w:tcW w:w="1090" w:type="dxa"/>
            <w:vAlign w:val="center"/>
          </w:tcPr>
          <w:p w14:paraId="3EE96FE2">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0" w:type="dxa"/>
            <w:vMerge w:val="restart"/>
            <w:vAlign w:val="center"/>
          </w:tcPr>
          <w:p w14:paraId="75DEACE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项目实施所产生的社会效益</w:t>
            </w:r>
          </w:p>
        </w:tc>
        <w:tc>
          <w:tcPr>
            <w:tcW w:w="1090" w:type="dxa"/>
            <w:vAlign w:val="center"/>
          </w:tcPr>
          <w:p w14:paraId="3980348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≥2155人</w:t>
            </w:r>
          </w:p>
        </w:tc>
        <w:tc>
          <w:tcPr>
            <w:tcW w:w="1090" w:type="dxa"/>
            <w:vMerge w:val="restart"/>
            <w:vAlign w:val="center"/>
          </w:tcPr>
          <w:p w14:paraId="2F7546DD">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根据项目绩效目标设置的完成情况进行评价</w:t>
            </w:r>
          </w:p>
        </w:tc>
        <w:tc>
          <w:tcPr>
            <w:tcW w:w="1090" w:type="dxa"/>
            <w:vMerge w:val="restart"/>
            <w:vAlign w:val="center"/>
          </w:tcPr>
          <w:p w14:paraId="350A9364">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实际完成率=（实际完成值/标杆值）×100%。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①实际完成率≥100%，且偏离程度＜20%，得满分；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②实际完成率≥100%，偏离程度≥20%；或实际完成率＜60%，得 0 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③实际完成率＜100%，得分= 实际完成率×指标分值。</w:t>
            </w:r>
          </w:p>
        </w:tc>
        <w:tc>
          <w:tcPr>
            <w:tcW w:w="1090" w:type="dxa"/>
            <w:vAlign w:val="center"/>
          </w:tcPr>
          <w:p w14:paraId="7452E4FA">
            <w:pPr>
              <w:keepNext w:val="0"/>
              <w:keepLines w:val="0"/>
              <w:widowControl/>
              <w:suppressLineNumbers w:val="0"/>
              <w:jc w:val="left"/>
              <w:textAlignment w:val="center"/>
              <w:rPr>
                <w:rFonts w:hint="eastAsia" w:ascii="Times New Roman" w:hAnsi="Times New Roman" w:eastAsia="仿宋_GB2312" w:cs="仿宋_GB2312"/>
                <w:i w:val="0"/>
                <w:iCs w:val="0"/>
                <w:color w:val="000000"/>
                <w:kern w:val="0"/>
                <w:sz w:val="18"/>
                <w:szCs w:val="18"/>
                <w:u w:val="none"/>
                <w:lang w:val="en-US" w:eastAsia="zh-CN" w:bidi="ar"/>
              </w:rPr>
            </w:pPr>
            <w:r>
              <w:rPr>
                <w:rFonts w:hint="eastAsia" w:ascii="Times New Roman" w:hAnsi="Times New Roman" w:eastAsia="仿宋_GB2312" w:cs="仿宋_GB2312"/>
                <w:i w:val="0"/>
                <w:iCs w:val="0"/>
                <w:color w:val="000000"/>
                <w:kern w:val="0"/>
                <w:sz w:val="18"/>
                <w:szCs w:val="18"/>
                <w:u w:val="none"/>
                <w:lang w:val="en-US" w:eastAsia="zh-CN" w:bidi="ar"/>
              </w:rPr>
              <w:t>通过查看“喀什市民政局2025年喀什市精康融合行动项目指标完成情况汇总表”，本项目通过专业评估，为精神障碍患者定制个性化康复服务，涵盖生活、社交和职业技能训练，助力患者提升自理能力、融入社会，为家属开展护理知识培训和心理支持活动，减轻其照顾负担，本项目直接受益人员达2155人。根据评分标准，该指标不扣分，得5分。</w:t>
            </w:r>
          </w:p>
        </w:tc>
        <w:tc>
          <w:tcPr>
            <w:tcW w:w="1091" w:type="dxa"/>
            <w:vAlign w:val="center"/>
          </w:tcPr>
          <w:p w14:paraId="2A0E231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0FD0A88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1" w:type="dxa"/>
            <w:vAlign w:val="center"/>
          </w:tcPr>
          <w:p w14:paraId="3BF76935">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5576509A">
            <w:pPr>
              <w:jc w:val="left"/>
              <w:rPr>
                <w:rFonts w:hint="eastAsia" w:ascii="Times New Roman" w:hAnsi="Times New Roman" w:eastAsia="仿宋_GB2312" w:cs="仿宋_GB2312"/>
                <w:sz w:val="18"/>
                <w:szCs w:val="18"/>
                <w:highlight w:val="none"/>
                <w:vertAlign w:val="baseline"/>
                <w:lang w:val="en-US" w:eastAsia="zh-CN"/>
              </w:rPr>
            </w:pPr>
          </w:p>
        </w:tc>
      </w:tr>
      <w:tr w14:paraId="5D68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3A02282B">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6C0B6C62">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2C37F06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引导社区康复机构的规范化运作</w:t>
            </w:r>
          </w:p>
        </w:tc>
        <w:tc>
          <w:tcPr>
            <w:tcW w:w="1090" w:type="dxa"/>
            <w:vAlign w:val="center"/>
          </w:tcPr>
          <w:p w14:paraId="0455826C">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0" w:type="dxa"/>
            <w:vMerge w:val="continue"/>
            <w:vAlign w:val="center"/>
          </w:tcPr>
          <w:p w14:paraId="6341C98A">
            <w:pP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06A05E4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有效引导</w:t>
            </w:r>
          </w:p>
        </w:tc>
        <w:tc>
          <w:tcPr>
            <w:tcW w:w="1090" w:type="dxa"/>
            <w:vMerge w:val="continue"/>
            <w:vAlign w:val="center"/>
          </w:tcPr>
          <w:p w14:paraId="6C60246A">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2E9EBC63">
            <w:pPr>
              <w:jc w:val="left"/>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37005D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通过查看“2025年喀什市民政局工作总结”，通过与社区合作，为社区精康患者提供服务，有助于引导社区康复机构的规范化运作。根据评分标准，该指标不扣分，得5分。</w:t>
            </w:r>
          </w:p>
        </w:tc>
        <w:tc>
          <w:tcPr>
            <w:tcW w:w="1091" w:type="dxa"/>
            <w:vAlign w:val="center"/>
          </w:tcPr>
          <w:p w14:paraId="1DECC24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10CFB8FB">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1" w:type="dxa"/>
            <w:vAlign w:val="center"/>
          </w:tcPr>
          <w:p w14:paraId="3FA8E49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0269D0F7">
            <w:pPr>
              <w:jc w:val="left"/>
              <w:rPr>
                <w:rFonts w:hint="eastAsia" w:ascii="Times New Roman" w:hAnsi="Times New Roman" w:eastAsia="仿宋_GB2312" w:cs="仿宋_GB2312"/>
                <w:sz w:val="18"/>
                <w:szCs w:val="18"/>
                <w:highlight w:val="none"/>
                <w:vertAlign w:val="baseline"/>
                <w:lang w:val="en-US" w:eastAsia="zh-CN"/>
              </w:rPr>
            </w:pPr>
          </w:p>
        </w:tc>
      </w:tr>
      <w:tr w14:paraId="759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0" w:type="dxa"/>
            <w:vMerge w:val="continue"/>
            <w:vAlign w:val="center"/>
          </w:tcPr>
          <w:p w14:paraId="5FAA4B94">
            <w:pPr>
              <w:jc w:val="center"/>
              <w:rPr>
                <w:rFonts w:hint="eastAsia" w:ascii="Times New Roman" w:hAnsi="Times New Roman" w:eastAsia="仿宋_GB2312" w:cs="仿宋_GB2312"/>
                <w:sz w:val="18"/>
                <w:szCs w:val="18"/>
                <w:highlight w:val="none"/>
                <w:vertAlign w:val="baseline"/>
                <w:lang w:val="en-US" w:eastAsia="zh-CN"/>
              </w:rPr>
            </w:pPr>
          </w:p>
        </w:tc>
        <w:tc>
          <w:tcPr>
            <w:tcW w:w="1090" w:type="dxa"/>
            <w:vAlign w:val="center"/>
          </w:tcPr>
          <w:p w14:paraId="3777434E">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满意度</w:t>
            </w:r>
          </w:p>
        </w:tc>
        <w:tc>
          <w:tcPr>
            <w:tcW w:w="1090" w:type="dxa"/>
            <w:vAlign w:val="center"/>
          </w:tcPr>
          <w:p w14:paraId="690A356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受益患者满意度</w:t>
            </w:r>
          </w:p>
        </w:tc>
        <w:tc>
          <w:tcPr>
            <w:tcW w:w="1090" w:type="dxa"/>
            <w:vAlign w:val="center"/>
          </w:tcPr>
          <w:p w14:paraId="2B79457E">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0" w:type="dxa"/>
            <w:vAlign w:val="center"/>
          </w:tcPr>
          <w:p w14:paraId="7BD52A76">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社会公众或服务对象对项目实施效果的满意程度。</w:t>
            </w:r>
          </w:p>
        </w:tc>
        <w:tc>
          <w:tcPr>
            <w:tcW w:w="1090" w:type="dxa"/>
            <w:vAlign w:val="center"/>
          </w:tcPr>
          <w:p w14:paraId="7A49159C">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≥95%</w:t>
            </w:r>
          </w:p>
        </w:tc>
        <w:tc>
          <w:tcPr>
            <w:tcW w:w="1090" w:type="dxa"/>
            <w:vAlign w:val="center"/>
          </w:tcPr>
          <w:p w14:paraId="056F2DC8">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受益患者的满意度测评</w:t>
            </w:r>
          </w:p>
        </w:tc>
        <w:tc>
          <w:tcPr>
            <w:tcW w:w="1090" w:type="dxa"/>
            <w:vAlign w:val="center"/>
          </w:tcPr>
          <w:p w14:paraId="630D38B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对产品受益群体/使用主体进行满意度调查，综合满意度达95%以上得5分，否则按照实际调查综合满意度÷90%*指标权重计分。</w:t>
            </w:r>
          </w:p>
        </w:tc>
        <w:tc>
          <w:tcPr>
            <w:tcW w:w="1090" w:type="dxa"/>
            <w:vAlign w:val="center"/>
          </w:tcPr>
          <w:p w14:paraId="69C8CB90">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通过对精康患者进行满意度调查，收回有效问卷80份，将其结果进行汇总分析，详见附件2，得出结论调查满意度为98.75%，精康患者对于2025年喀什市精康融合行动项目非常满意。根据评分标准，该指标不扣分，得5分。</w:t>
            </w:r>
          </w:p>
        </w:tc>
        <w:tc>
          <w:tcPr>
            <w:tcW w:w="1091" w:type="dxa"/>
            <w:vAlign w:val="center"/>
          </w:tcPr>
          <w:p w14:paraId="58D72F1A">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1091" w:type="dxa"/>
            <w:vAlign w:val="center"/>
          </w:tcPr>
          <w:p w14:paraId="0C928F17">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1091" w:type="dxa"/>
            <w:vAlign w:val="center"/>
          </w:tcPr>
          <w:p w14:paraId="6EEBD951">
            <w:pPr>
              <w:keepNext w:val="0"/>
              <w:keepLines w:val="0"/>
              <w:widowControl/>
              <w:suppressLineNumbers w:val="0"/>
              <w:jc w:val="left"/>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100.00%</w:t>
            </w:r>
          </w:p>
        </w:tc>
        <w:tc>
          <w:tcPr>
            <w:tcW w:w="1091" w:type="dxa"/>
            <w:vAlign w:val="center"/>
          </w:tcPr>
          <w:p w14:paraId="072A8C4F">
            <w:pPr>
              <w:jc w:val="left"/>
              <w:rPr>
                <w:rFonts w:hint="eastAsia" w:ascii="Times New Roman" w:hAnsi="Times New Roman" w:eastAsia="仿宋_GB2312" w:cs="仿宋_GB2312"/>
                <w:sz w:val="18"/>
                <w:szCs w:val="18"/>
                <w:highlight w:val="none"/>
                <w:vertAlign w:val="baseline"/>
                <w:lang w:val="en-US" w:eastAsia="zh-CN"/>
              </w:rPr>
            </w:pPr>
          </w:p>
        </w:tc>
      </w:tr>
      <w:tr w14:paraId="43D6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gridSpan w:val="3"/>
            <w:vMerge w:val="restart"/>
            <w:vAlign w:val="center"/>
          </w:tcPr>
          <w:p w14:paraId="754C2AD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合计</w:t>
            </w:r>
          </w:p>
        </w:tc>
        <w:tc>
          <w:tcPr>
            <w:tcW w:w="1090" w:type="dxa"/>
            <w:vMerge w:val="restart"/>
            <w:vAlign w:val="center"/>
          </w:tcPr>
          <w:p w14:paraId="3FB2702D">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100</w:t>
            </w:r>
          </w:p>
        </w:tc>
        <w:tc>
          <w:tcPr>
            <w:tcW w:w="4360" w:type="dxa"/>
            <w:gridSpan w:val="4"/>
            <w:vAlign w:val="center"/>
          </w:tcPr>
          <w:p w14:paraId="1DC0ABF4">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合计：</w:t>
            </w:r>
          </w:p>
        </w:tc>
        <w:tc>
          <w:tcPr>
            <w:tcW w:w="1090" w:type="dxa"/>
            <w:vMerge w:val="restart"/>
            <w:vAlign w:val="center"/>
          </w:tcPr>
          <w:p w14:paraId="2EB802A7">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优</w:t>
            </w:r>
          </w:p>
        </w:tc>
        <w:tc>
          <w:tcPr>
            <w:tcW w:w="1091" w:type="dxa"/>
            <w:vMerge w:val="restart"/>
            <w:vAlign w:val="center"/>
          </w:tcPr>
          <w:p w14:paraId="4B8210E3">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5.5</w:t>
            </w:r>
          </w:p>
        </w:tc>
        <w:tc>
          <w:tcPr>
            <w:tcW w:w="1091" w:type="dxa"/>
            <w:vMerge w:val="restart"/>
            <w:vAlign w:val="center"/>
          </w:tcPr>
          <w:p w14:paraId="0D007701">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94.5</w:t>
            </w:r>
          </w:p>
        </w:tc>
        <w:tc>
          <w:tcPr>
            <w:tcW w:w="1091" w:type="dxa"/>
            <w:vMerge w:val="restart"/>
            <w:vAlign w:val="center"/>
          </w:tcPr>
          <w:p w14:paraId="2C33CE6B">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i w:val="0"/>
                <w:iCs w:val="0"/>
                <w:color w:val="000000"/>
                <w:kern w:val="0"/>
                <w:sz w:val="18"/>
                <w:szCs w:val="18"/>
                <w:u w:val="none"/>
                <w:lang w:val="en-US" w:eastAsia="zh-CN" w:bidi="ar"/>
              </w:rPr>
              <w:t>94.50%</w:t>
            </w:r>
          </w:p>
        </w:tc>
        <w:tc>
          <w:tcPr>
            <w:tcW w:w="1091" w:type="dxa"/>
            <w:vMerge w:val="restart"/>
            <w:vAlign w:val="center"/>
          </w:tcPr>
          <w:p w14:paraId="2244A0B1">
            <w:pPr>
              <w:jc w:val="center"/>
              <w:rPr>
                <w:rFonts w:hint="eastAsia" w:ascii="Times New Roman" w:hAnsi="Times New Roman" w:eastAsia="仿宋_GB2312" w:cs="仿宋_GB2312"/>
                <w:sz w:val="18"/>
                <w:szCs w:val="18"/>
                <w:highlight w:val="none"/>
                <w:vertAlign w:val="baseline"/>
                <w:lang w:val="en-US" w:eastAsia="zh-CN"/>
              </w:rPr>
            </w:pPr>
          </w:p>
        </w:tc>
      </w:tr>
      <w:tr w14:paraId="2FB0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gridSpan w:val="3"/>
            <w:vMerge w:val="continue"/>
            <w:vAlign w:val="center"/>
          </w:tcPr>
          <w:p w14:paraId="17A97010">
            <w:pPr>
              <w:jc w:val="center"/>
              <w:rPr>
                <w:rFonts w:hint="eastAsia" w:ascii="Times New Roman" w:hAnsi="Times New Roman" w:eastAsia="仿宋_GB2312" w:cs="仿宋_GB2312"/>
                <w:sz w:val="18"/>
                <w:szCs w:val="18"/>
                <w:highlight w:val="none"/>
                <w:vertAlign w:val="baseline"/>
                <w:lang w:val="en-US" w:eastAsia="zh-CN"/>
              </w:rPr>
            </w:pPr>
          </w:p>
        </w:tc>
        <w:tc>
          <w:tcPr>
            <w:tcW w:w="1090" w:type="dxa"/>
            <w:vMerge w:val="continue"/>
            <w:vAlign w:val="center"/>
          </w:tcPr>
          <w:p w14:paraId="00E74324">
            <w:pPr>
              <w:jc w:val="center"/>
              <w:rPr>
                <w:rFonts w:hint="eastAsia" w:ascii="Times New Roman" w:hAnsi="Times New Roman" w:eastAsia="仿宋_GB2312" w:cs="仿宋_GB2312"/>
                <w:sz w:val="18"/>
                <w:szCs w:val="18"/>
                <w:highlight w:val="none"/>
                <w:vertAlign w:val="baseline"/>
                <w:lang w:val="en-US" w:eastAsia="zh-CN"/>
              </w:rPr>
            </w:pPr>
          </w:p>
        </w:tc>
        <w:tc>
          <w:tcPr>
            <w:tcW w:w="4360" w:type="dxa"/>
            <w:gridSpan w:val="4"/>
            <w:vAlign w:val="center"/>
          </w:tcPr>
          <w:p w14:paraId="32148680">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评价等级</w:t>
            </w:r>
          </w:p>
        </w:tc>
        <w:tc>
          <w:tcPr>
            <w:tcW w:w="1090" w:type="dxa"/>
            <w:vMerge w:val="continue"/>
            <w:vAlign w:val="center"/>
          </w:tcPr>
          <w:p w14:paraId="4B1716E8">
            <w:pPr>
              <w:jc w:val="center"/>
              <w:rPr>
                <w:rFonts w:hint="eastAsia" w:ascii="Times New Roman" w:hAnsi="Times New Roman" w:eastAsia="仿宋_GB2312" w:cs="仿宋_GB2312"/>
                <w:sz w:val="18"/>
                <w:szCs w:val="18"/>
                <w:highlight w:val="none"/>
                <w:vertAlign w:val="baseline"/>
                <w:lang w:val="en-US" w:eastAsia="zh-CN"/>
              </w:rPr>
            </w:pPr>
          </w:p>
        </w:tc>
        <w:tc>
          <w:tcPr>
            <w:tcW w:w="1091" w:type="dxa"/>
            <w:vMerge w:val="continue"/>
            <w:vAlign w:val="center"/>
          </w:tcPr>
          <w:p w14:paraId="030C33F9">
            <w:pPr>
              <w:jc w:val="center"/>
              <w:rPr>
                <w:rFonts w:hint="eastAsia" w:ascii="Times New Roman" w:hAnsi="Times New Roman" w:eastAsia="仿宋_GB2312" w:cs="仿宋_GB2312"/>
                <w:sz w:val="18"/>
                <w:szCs w:val="18"/>
                <w:highlight w:val="none"/>
                <w:vertAlign w:val="baseline"/>
                <w:lang w:val="en-US" w:eastAsia="zh-CN"/>
              </w:rPr>
            </w:pPr>
          </w:p>
        </w:tc>
        <w:tc>
          <w:tcPr>
            <w:tcW w:w="1091" w:type="dxa"/>
            <w:vMerge w:val="continue"/>
            <w:vAlign w:val="center"/>
          </w:tcPr>
          <w:p w14:paraId="50970892">
            <w:pPr>
              <w:jc w:val="center"/>
              <w:rPr>
                <w:rFonts w:hint="eastAsia" w:ascii="Times New Roman" w:hAnsi="Times New Roman" w:eastAsia="仿宋_GB2312" w:cs="仿宋_GB2312"/>
                <w:sz w:val="18"/>
                <w:szCs w:val="18"/>
                <w:highlight w:val="none"/>
                <w:vertAlign w:val="baseline"/>
                <w:lang w:val="en-US" w:eastAsia="zh-CN"/>
              </w:rPr>
            </w:pPr>
          </w:p>
        </w:tc>
        <w:tc>
          <w:tcPr>
            <w:tcW w:w="1091" w:type="dxa"/>
            <w:vMerge w:val="continue"/>
            <w:vAlign w:val="center"/>
          </w:tcPr>
          <w:p w14:paraId="565FC3C1">
            <w:pPr>
              <w:jc w:val="center"/>
              <w:rPr>
                <w:rFonts w:hint="eastAsia" w:ascii="Times New Roman" w:hAnsi="Times New Roman" w:eastAsia="仿宋_GB2312" w:cs="仿宋_GB2312"/>
                <w:sz w:val="18"/>
                <w:szCs w:val="18"/>
                <w:highlight w:val="none"/>
                <w:vertAlign w:val="baseline"/>
                <w:lang w:val="en-US" w:eastAsia="zh-CN"/>
              </w:rPr>
            </w:pPr>
          </w:p>
        </w:tc>
        <w:tc>
          <w:tcPr>
            <w:tcW w:w="1091" w:type="dxa"/>
            <w:vMerge w:val="continue"/>
            <w:vAlign w:val="center"/>
          </w:tcPr>
          <w:p w14:paraId="08B9F899">
            <w:pPr>
              <w:jc w:val="center"/>
              <w:rPr>
                <w:rFonts w:hint="eastAsia" w:ascii="Times New Roman" w:hAnsi="Times New Roman" w:eastAsia="仿宋_GB2312" w:cs="仿宋_GB2312"/>
                <w:sz w:val="18"/>
                <w:szCs w:val="18"/>
                <w:highlight w:val="none"/>
                <w:vertAlign w:val="baseline"/>
                <w:lang w:val="en-US" w:eastAsia="zh-CN"/>
              </w:rPr>
            </w:pPr>
          </w:p>
        </w:tc>
      </w:tr>
      <w:tr w14:paraId="1F63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gridSpan w:val="4"/>
            <w:vAlign w:val="center"/>
          </w:tcPr>
          <w:p w14:paraId="78A259A8">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备注说明</w:t>
            </w:r>
          </w:p>
        </w:tc>
        <w:tc>
          <w:tcPr>
            <w:tcW w:w="8723" w:type="dxa"/>
            <w:gridSpan w:val="8"/>
            <w:vAlign w:val="center"/>
          </w:tcPr>
          <w:p w14:paraId="36F0A6FF">
            <w:pPr>
              <w:keepNext w:val="0"/>
              <w:keepLines w:val="0"/>
              <w:widowControl/>
              <w:suppressLineNumbers w:val="0"/>
              <w:jc w:val="center"/>
              <w:textAlignment w:val="center"/>
              <w:rPr>
                <w:rFonts w:hint="eastAsia" w:ascii="Times New Roman" w:hAnsi="Times New Roman" w:eastAsia="仿宋_GB2312" w:cs="仿宋_GB2312"/>
                <w:sz w:val="18"/>
                <w:szCs w:val="18"/>
                <w:highlight w:val="none"/>
                <w:vertAlign w:val="baseline"/>
                <w:lang w:val="en-US" w:eastAsia="zh-CN"/>
              </w:rPr>
            </w:pPr>
            <w:r>
              <w:rPr>
                <w:rFonts w:hint="eastAsia" w:ascii="Times New Roman" w:hAnsi="Times New Roman" w:eastAsia="仿宋_GB2312" w:cs="仿宋_GB2312"/>
                <w:b/>
                <w:bCs/>
                <w:i w:val="0"/>
                <w:iCs w:val="0"/>
                <w:color w:val="000000"/>
                <w:kern w:val="0"/>
                <w:sz w:val="18"/>
                <w:szCs w:val="18"/>
                <w:u w:val="none"/>
                <w:lang w:val="en-US" w:eastAsia="zh-CN" w:bidi="ar"/>
              </w:rPr>
              <w:t>评价分四个等级，分别为：优（得分≥90），良（90＞得分≥80），中（80＞得分≥70），差（得分＜70）</w:t>
            </w:r>
          </w:p>
        </w:tc>
        <w:tc>
          <w:tcPr>
            <w:tcW w:w="1091" w:type="dxa"/>
            <w:vAlign w:val="center"/>
          </w:tcPr>
          <w:p w14:paraId="5BAA3E6D">
            <w:pPr>
              <w:jc w:val="both"/>
              <w:rPr>
                <w:rFonts w:hint="eastAsia" w:ascii="Times New Roman" w:hAnsi="Times New Roman" w:eastAsia="仿宋_GB2312" w:cs="仿宋_GB2312"/>
                <w:sz w:val="18"/>
                <w:szCs w:val="18"/>
                <w:highlight w:val="none"/>
                <w:vertAlign w:val="baseline"/>
                <w:lang w:val="en-US" w:eastAsia="zh-CN"/>
              </w:rPr>
            </w:pPr>
          </w:p>
        </w:tc>
      </w:tr>
    </w:tbl>
    <w:p w14:paraId="1BB5B641">
      <w:pPr>
        <w:pageBreakBefore w:val="0"/>
        <w:widowControl w:val="0"/>
        <w:kinsoku/>
        <w:wordWrap/>
        <w:overflowPunct/>
        <w:topLinePunct w:val="0"/>
        <w:bidi w:val="0"/>
        <w:adjustRightInd/>
        <w:snapToGrid/>
        <w:ind w:left="0" w:leftChars="0"/>
        <w:rPr>
          <w:rFonts w:hint="default" w:ascii="Times New Roman" w:hAnsi="Times New Roman" w:cs="仿宋_GB2312"/>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788C69BD">
      <w:pPr>
        <w:pStyle w:val="26"/>
        <w:spacing w:line="360" w:lineRule="auto"/>
        <w:ind w:firstLine="0" w:firstLineChars="0"/>
        <w:jc w:val="left"/>
        <w:outlineLvl w:val="0"/>
        <w:rPr>
          <w:rFonts w:hint="default" w:ascii="Times New Roman" w:hAnsi="Times New Roman" w:eastAsia="方正仿宋_GBK" w:cs="仿宋_GB2312"/>
          <w:sz w:val="32"/>
          <w:szCs w:val="32"/>
          <w:highlight w:val="none"/>
          <w:lang w:val="en-US" w:eastAsia="zh-CN"/>
        </w:rPr>
      </w:pPr>
      <w:bookmarkStart w:id="365" w:name="_Toc9807"/>
      <w:r>
        <w:rPr>
          <w:rFonts w:hint="default" w:ascii="Times New Roman" w:hAnsi="Times New Roman" w:eastAsia="方正仿宋_GBK" w:cs="仿宋_GB2312"/>
          <w:sz w:val="32"/>
          <w:szCs w:val="32"/>
          <w:highlight w:val="none"/>
        </w:rPr>
        <w:t>附件</w:t>
      </w:r>
      <w:r>
        <w:rPr>
          <w:rFonts w:hint="default" w:ascii="Times New Roman" w:hAnsi="Times New Roman" w:eastAsia="方正仿宋_GBK" w:cs="仿宋_GB2312"/>
          <w:sz w:val="32"/>
          <w:szCs w:val="32"/>
          <w:highlight w:val="none"/>
          <w:lang w:val="en-US" w:eastAsia="zh-CN"/>
        </w:rPr>
        <w:t>2</w:t>
      </w:r>
      <w:r>
        <w:rPr>
          <w:rFonts w:hint="default" w:ascii="Times New Roman" w:hAnsi="Times New Roman" w:eastAsia="方正仿宋_GBK" w:cs="仿宋_GB2312"/>
          <w:sz w:val="32"/>
          <w:szCs w:val="32"/>
          <w:highlight w:val="none"/>
        </w:rPr>
        <w:t>：</w:t>
      </w:r>
      <w:r>
        <w:rPr>
          <w:rFonts w:hint="default" w:ascii="Times New Roman" w:hAnsi="Times New Roman" w:eastAsia="方正仿宋_GBK" w:cs="仿宋_GB2312"/>
          <w:sz w:val="32"/>
          <w:szCs w:val="32"/>
          <w:highlight w:val="none"/>
          <w:lang w:val="en-US" w:eastAsia="zh-CN"/>
        </w:rPr>
        <w:t>满意度调查问卷汇总表</w:t>
      </w:r>
      <w:bookmarkEnd w:id="365"/>
    </w:p>
    <w:p w14:paraId="1999406E">
      <w:pPr>
        <w:keepNext w:val="0"/>
        <w:keepLines w:val="0"/>
        <w:widowControl/>
        <w:suppressLineNumbers w:val="0"/>
        <w:jc w:val="center"/>
        <w:textAlignment w:val="center"/>
        <w:rPr>
          <w:rFonts w:hint="default" w:ascii="Times New Roman" w:hAnsi="Times New Roman" w:cs="仿宋_GB2312"/>
          <w:sz w:val="21"/>
          <w:szCs w:val="21"/>
          <w:highlight w:val="none"/>
          <w:lang w:val="en-US" w:eastAsia="zh-CN"/>
        </w:rPr>
        <w:sectPr>
          <w:pgSz w:w="11906" w:h="16838"/>
          <w:pgMar w:top="1440" w:right="1800" w:bottom="1440" w:left="1800" w:header="851" w:footer="992" w:gutter="0"/>
          <w:pgNumType w:fmt="decimal"/>
          <w:cols w:space="425" w:num="1"/>
          <w:docGrid w:type="lines" w:linePitch="312" w:charSpace="0"/>
        </w:sectPr>
      </w:pPr>
      <w:bookmarkStart w:id="366" w:name="_Toc9325"/>
      <w:bookmarkStart w:id="367" w:name="_Toc6309"/>
      <w:r>
        <w:rPr>
          <w:rFonts w:hint="default" w:ascii="Times New Roman" w:hAnsi="Times New Roman" w:cs="仿宋_GB2312"/>
          <w:sz w:val="21"/>
          <w:szCs w:val="21"/>
          <w:highlight w:val="none"/>
          <w:lang w:val="en-US" w:eastAsia="zh-CN"/>
        </w:rPr>
        <w:drawing>
          <wp:inline distT="0" distB="0" distL="114300" distR="114300">
            <wp:extent cx="5238750" cy="3703955"/>
            <wp:effectExtent l="0" t="0" r="3810" b="14605"/>
            <wp:docPr id="1" name="图片 1" descr="附件2：精康融合满意度调查汇总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2：精康融合满意度调查汇总表_01"/>
                    <pic:cNvPicPr>
                      <a:picLocks noChangeAspect="1"/>
                    </pic:cNvPicPr>
                  </pic:nvPicPr>
                  <pic:blipFill>
                    <a:blip r:embed="rId7"/>
                    <a:stretch>
                      <a:fillRect/>
                    </a:stretch>
                  </pic:blipFill>
                  <pic:spPr>
                    <a:xfrm>
                      <a:off x="0" y="0"/>
                      <a:ext cx="5238750" cy="3703955"/>
                    </a:xfrm>
                    <a:prstGeom prst="rect">
                      <a:avLst/>
                    </a:prstGeom>
                  </pic:spPr>
                </pic:pic>
              </a:graphicData>
            </a:graphic>
          </wp:inline>
        </w:drawing>
      </w:r>
      <w:bookmarkEnd w:id="366"/>
      <w:bookmarkEnd w:id="367"/>
    </w:p>
    <w:p w14:paraId="668D3B95">
      <w:pPr>
        <w:pStyle w:val="26"/>
        <w:spacing w:line="360" w:lineRule="auto"/>
        <w:ind w:firstLine="0" w:firstLineChars="0"/>
        <w:jc w:val="left"/>
        <w:outlineLvl w:val="0"/>
        <w:rPr>
          <w:rFonts w:hint="default" w:ascii="Times New Roman" w:hAnsi="Times New Roman" w:eastAsia="方正仿宋_GBK" w:cs="仿宋_GB2312"/>
          <w:sz w:val="32"/>
          <w:szCs w:val="32"/>
          <w:highlight w:val="none"/>
          <w:lang w:val="en-US" w:eastAsia="zh-CN"/>
        </w:rPr>
      </w:pPr>
      <w:bookmarkStart w:id="368" w:name="_Toc5080"/>
      <w:r>
        <w:rPr>
          <w:rFonts w:hint="default" w:ascii="Times New Roman" w:hAnsi="Times New Roman" w:eastAsia="方正仿宋_GBK" w:cs="仿宋_GB2312"/>
          <w:sz w:val="32"/>
          <w:szCs w:val="32"/>
          <w:highlight w:val="none"/>
        </w:rPr>
        <w:t>附件</w:t>
      </w:r>
      <w:r>
        <w:rPr>
          <w:rFonts w:hint="default" w:ascii="Times New Roman" w:hAnsi="Times New Roman" w:eastAsia="方正仿宋_GBK" w:cs="仿宋_GB2312"/>
          <w:sz w:val="32"/>
          <w:szCs w:val="32"/>
          <w:highlight w:val="none"/>
          <w:lang w:val="en-US" w:eastAsia="zh-CN"/>
        </w:rPr>
        <w:t>3</w:t>
      </w:r>
      <w:r>
        <w:rPr>
          <w:rFonts w:hint="default" w:ascii="Times New Roman" w:hAnsi="Times New Roman" w:eastAsia="方正仿宋_GBK" w:cs="仿宋_GB2312"/>
          <w:sz w:val="32"/>
          <w:szCs w:val="32"/>
          <w:highlight w:val="none"/>
        </w:rPr>
        <w:t>：</w:t>
      </w:r>
      <w:r>
        <w:rPr>
          <w:rFonts w:hint="default" w:ascii="Times New Roman" w:hAnsi="Times New Roman" w:eastAsia="方正仿宋_GBK" w:cs="仿宋_GB2312"/>
          <w:sz w:val="32"/>
          <w:szCs w:val="32"/>
          <w:highlight w:val="none"/>
          <w:lang w:val="en-US" w:eastAsia="zh-CN"/>
        </w:rPr>
        <w:t>基础信息</w:t>
      </w:r>
      <w:r>
        <w:rPr>
          <w:rFonts w:hint="eastAsia" w:ascii="Times New Roman" w:hAnsi="Times New Roman" w:eastAsia="方正仿宋_GBK" w:cs="仿宋_GB2312"/>
          <w:sz w:val="32"/>
          <w:szCs w:val="32"/>
          <w:highlight w:val="none"/>
          <w:lang w:val="en-US" w:eastAsia="zh-CN"/>
        </w:rPr>
        <w:t>采集</w:t>
      </w:r>
      <w:r>
        <w:rPr>
          <w:rFonts w:hint="default" w:ascii="Times New Roman" w:hAnsi="Times New Roman" w:eastAsia="方正仿宋_GBK" w:cs="仿宋_GB2312"/>
          <w:sz w:val="32"/>
          <w:szCs w:val="32"/>
          <w:highlight w:val="none"/>
          <w:lang w:val="en-US" w:eastAsia="zh-CN"/>
        </w:rPr>
        <w:t>表</w:t>
      </w:r>
      <w:bookmarkEnd w:id="368"/>
    </w:p>
    <w:p w14:paraId="638D62CD">
      <w:pPr>
        <w:pStyle w:val="26"/>
        <w:spacing w:line="360" w:lineRule="auto"/>
        <w:ind w:firstLine="0" w:firstLineChars="0"/>
        <w:jc w:val="left"/>
        <w:outlineLvl w:val="0"/>
        <w:rPr>
          <w:rFonts w:hint="default" w:ascii="Times New Roman" w:hAnsi="Times New Roman" w:eastAsia="方正仿宋_GBK" w:cs="仿宋_GB2312"/>
          <w:sz w:val="32"/>
          <w:szCs w:val="32"/>
          <w:highlight w:val="none"/>
        </w:rPr>
      </w:pPr>
      <w:bookmarkStart w:id="369" w:name="_Toc21602"/>
      <w:r>
        <w:rPr>
          <w:rFonts w:hint="default" w:ascii="Times New Roman" w:hAnsi="Times New Roman" w:eastAsia="方正仿宋_GBK" w:cs="仿宋_GB2312"/>
          <w:sz w:val="32"/>
          <w:szCs w:val="32"/>
          <w:highlight w:val="none"/>
        </w:rPr>
        <w:drawing>
          <wp:inline distT="0" distB="0" distL="114300" distR="114300">
            <wp:extent cx="5252085" cy="7431405"/>
            <wp:effectExtent l="0" t="0" r="5715" b="5715"/>
            <wp:docPr id="15" name="图片 15" descr="b96e056e7873e60682953fceb3c6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b96e056e7873e60682953fceb3c69239"/>
                    <pic:cNvPicPr>
                      <a:picLocks noChangeAspect="1"/>
                    </pic:cNvPicPr>
                  </pic:nvPicPr>
                  <pic:blipFill>
                    <a:blip r:embed="rId8"/>
                    <a:stretch>
                      <a:fillRect/>
                    </a:stretch>
                  </pic:blipFill>
                  <pic:spPr>
                    <a:xfrm>
                      <a:off x="0" y="0"/>
                      <a:ext cx="5252085" cy="7431405"/>
                    </a:xfrm>
                    <a:prstGeom prst="rect">
                      <a:avLst/>
                    </a:prstGeom>
                  </pic:spPr>
                </pic:pic>
              </a:graphicData>
            </a:graphic>
          </wp:inline>
        </w:drawing>
      </w:r>
      <w:r>
        <w:rPr>
          <w:rFonts w:hint="default" w:ascii="Times New Roman" w:hAnsi="Times New Roman" w:eastAsia="方正仿宋_GBK" w:cs="仿宋_GB2312"/>
          <w:sz w:val="32"/>
          <w:szCs w:val="32"/>
          <w:highlight w:val="none"/>
        </w:rPr>
        <w:drawing>
          <wp:inline distT="0" distB="0" distL="114300" distR="114300">
            <wp:extent cx="5252085" cy="7431405"/>
            <wp:effectExtent l="0" t="0" r="5715" b="5715"/>
            <wp:docPr id="14" name="图片 14" descr="be15a8dc9ed67d34fc80c0fc0488c9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e15a8dc9ed67d34fc80c0fc0488c9ec"/>
                    <pic:cNvPicPr>
                      <a:picLocks noChangeAspect="1"/>
                    </pic:cNvPicPr>
                  </pic:nvPicPr>
                  <pic:blipFill>
                    <a:blip r:embed="rId9"/>
                    <a:stretch>
                      <a:fillRect/>
                    </a:stretch>
                  </pic:blipFill>
                  <pic:spPr>
                    <a:xfrm>
                      <a:off x="0" y="0"/>
                      <a:ext cx="5252085" cy="7431405"/>
                    </a:xfrm>
                    <a:prstGeom prst="rect">
                      <a:avLst/>
                    </a:prstGeom>
                  </pic:spPr>
                </pic:pic>
              </a:graphicData>
            </a:graphic>
          </wp:inline>
        </w:drawing>
      </w:r>
      <w:bookmarkEnd w:id="369"/>
    </w:p>
    <w:p w14:paraId="6545F176">
      <w:pPr>
        <w:rPr>
          <w:rFonts w:hint="default" w:ascii="Times New Roman" w:hAnsi="Times New Roman" w:eastAsia="方正仿宋_GBK" w:cs="仿宋_GB2312"/>
          <w:sz w:val="32"/>
          <w:szCs w:val="32"/>
          <w:highlight w:val="none"/>
        </w:rPr>
      </w:pPr>
      <w:r>
        <w:rPr>
          <w:rFonts w:hint="default" w:ascii="Times New Roman" w:hAnsi="Times New Roman" w:eastAsia="方正仿宋_GBK" w:cs="仿宋_GB2312"/>
          <w:sz w:val="32"/>
          <w:szCs w:val="32"/>
          <w:highlight w:val="none"/>
        </w:rPr>
        <w:br w:type="page"/>
      </w:r>
    </w:p>
    <w:p w14:paraId="649C119E">
      <w:pPr>
        <w:pStyle w:val="26"/>
        <w:spacing w:line="360" w:lineRule="auto"/>
        <w:ind w:firstLine="0" w:firstLineChars="0"/>
        <w:jc w:val="left"/>
        <w:outlineLvl w:val="0"/>
        <w:rPr>
          <w:rFonts w:hint="default" w:ascii="Times New Roman" w:hAnsi="Times New Roman" w:eastAsia="方正仿宋_GBK" w:cs="仿宋_GB2312"/>
          <w:sz w:val="32"/>
          <w:szCs w:val="32"/>
          <w:highlight w:val="none"/>
          <w:lang w:val="en-US" w:eastAsia="zh-CN"/>
        </w:rPr>
      </w:pPr>
      <w:bookmarkStart w:id="370" w:name="_Toc3264"/>
      <w:r>
        <w:rPr>
          <w:rFonts w:hint="default" w:ascii="Times New Roman" w:hAnsi="Times New Roman" w:eastAsia="方正仿宋_GBK" w:cs="仿宋_GB2312"/>
          <w:sz w:val="32"/>
          <w:szCs w:val="32"/>
          <w:highlight w:val="none"/>
        </w:rPr>
        <w:t>附件</w:t>
      </w:r>
      <w:r>
        <w:rPr>
          <w:rFonts w:hint="default" w:ascii="Times New Roman" w:hAnsi="Times New Roman" w:eastAsia="方正仿宋_GBK" w:cs="仿宋_GB2312"/>
          <w:sz w:val="32"/>
          <w:szCs w:val="32"/>
          <w:highlight w:val="none"/>
          <w:lang w:val="en-US" w:eastAsia="zh-CN"/>
        </w:rPr>
        <w:t>4</w:t>
      </w:r>
      <w:r>
        <w:rPr>
          <w:rFonts w:hint="default" w:ascii="Times New Roman" w:hAnsi="Times New Roman" w:eastAsia="方正仿宋_GBK" w:cs="仿宋_GB2312"/>
          <w:sz w:val="32"/>
          <w:szCs w:val="32"/>
          <w:highlight w:val="none"/>
        </w:rPr>
        <w:t>：</w:t>
      </w:r>
      <w:r>
        <w:rPr>
          <w:rFonts w:hint="default" w:ascii="Times New Roman" w:hAnsi="Times New Roman" w:eastAsia="方正仿宋_GBK" w:cs="仿宋_GB2312"/>
          <w:sz w:val="32"/>
          <w:szCs w:val="32"/>
          <w:highlight w:val="none"/>
          <w:lang w:val="en-US" w:eastAsia="zh-CN"/>
        </w:rPr>
        <w:t>访谈记录</w:t>
      </w:r>
      <w:bookmarkEnd w:id="370"/>
    </w:p>
    <w:p w14:paraId="000B84AD">
      <w:pPr>
        <w:pageBreakBefore w:val="0"/>
        <w:widowControl w:val="0"/>
        <w:kinsoku/>
        <w:wordWrap/>
        <w:overflowPunct/>
        <w:topLinePunct w:val="0"/>
        <w:bidi w:val="0"/>
        <w:adjustRightInd/>
        <w:snapToGrid/>
        <w:ind w:left="0" w:leftChars="0"/>
        <w:rPr>
          <w:rFonts w:hint="default" w:ascii="Times New Roman" w:hAnsi="Times New Roman" w:cs="仿宋_GB2312"/>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仿宋_GB2312"/>
          <w:lang w:val="en-US" w:eastAsia="zh-CN"/>
        </w:rPr>
        <w:drawing>
          <wp:inline distT="0" distB="0" distL="114300" distR="114300">
            <wp:extent cx="5253355" cy="7431405"/>
            <wp:effectExtent l="0" t="0" r="4445" b="5715"/>
            <wp:docPr id="9" name="图片 9" descr="民政局精康融合附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民政局精康融合附件_03"/>
                    <pic:cNvPicPr>
                      <a:picLocks noChangeAspect="1"/>
                    </pic:cNvPicPr>
                  </pic:nvPicPr>
                  <pic:blipFill>
                    <a:blip r:embed="rId10"/>
                    <a:stretch>
                      <a:fillRect/>
                    </a:stretch>
                  </pic:blipFill>
                  <pic:spPr>
                    <a:xfrm>
                      <a:off x="0" y="0"/>
                      <a:ext cx="5253355" cy="7431405"/>
                    </a:xfrm>
                    <a:prstGeom prst="rect">
                      <a:avLst/>
                    </a:prstGeom>
                  </pic:spPr>
                </pic:pic>
              </a:graphicData>
            </a:graphic>
          </wp:inline>
        </w:drawing>
      </w:r>
      <w:r>
        <w:rPr>
          <w:rFonts w:hint="default" w:ascii="Times New Roman" w:hAnsi="Times New Roman" w:cs="仿宋_GB2312"/>
          <w:lang w:val="en-US" w:eastAsia="zh-CN"/>
        </w:rPr>
        <w:drawing>
          <wp:inline distT="0" distB="0" distL="114300" distR="114300">
            <wp:extent cx="5253355" cy="7431405"/>
            <wp:effectExtent l="0" t="0" r="4445" b="5715"/>
            <wp:docPr id="8" name="图片 8" descr="民政局精康融合附件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民政局精康融合附件_04"/>
                    <pic:cNvPicPr>
                      <a:picLocks noChangeAspect="1"/>
                    </pic:cNvPicPr>
                  </pic:nvPicPr>
                  <pic:blipFill>
                    <a:blip r:embed="rId11"/>
                    <a:stretch>
                      <a:fillRect/>
                    </a:stretch>
                  </pic:blipFill>
                  <pic:spPr>
                    <a:xfrm>
                      <a:off x="0" y="0"/>
                      <a:ext cx="5253355" cy="7431405"/>
                    </a:xfrm>
                    <a:prstGeom prst="rect">
                      <a:avLst/>
                    </a:prstGeom>
                  </pic:spPr>
                </pic:pic>
              </a:graphicData>
            </a:graphic>
          </wp:inline>
        </w:drawing>
      </w:r>
      <w:r>
        <w:rPr>
          <w:rFonts w:hint="default" w:ascii="Times New Roman" w:hAnsi="Times New Roman" w:cs="仿宋_GB2312"/>
          <w:lang w:val="en-US" w:eastAsia="zh-CN"/>
        </w:rPr>
        <w:drawing>
          <wp:inline distT="0" distB="0" distL="114300" distR="114300">
            <wp:extent cx="5253355" cy="7431405"/>
            <wp:effectExtent l="0" t="0" r="4445" b="5715"/>
            <wp:docPr id="7" name="图片 7" descr="民政局精康融合附件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民政局精康融合附件_05"/>
                    <pic:cNvPicPr>
                      <a:picLocks noChangeAspect="1"/>
                    </pic:cNvPicPr>
                  </pic:nvPicPr>
                  <pic:blipFill>
                    <a:blip r:embed="rId12"/>
                    <a:stretch>
                      <a:fillRect/>
                    </a:stretch>
                  </pic:blipFill>
                  <pic:spPr>
                    <a:xfrm>
                      <a:off x="0" y="0"/>
                      <a:ext cx="5253355" cy="7431405"/>
                    </a:xfrm>
                    <a:prstGeom prst="rect">
                      <a:avLst/>
                    </a:prstGeom>
                  </pic:spPr>
                </pic:pic>
              </a:graphicData>
            </a:graphic>
          </wp:inline>
        </w:drawing>
      </w:r>
    </w:p>
    <w:p w14:paraId="2C8CF63D">
      <w:pPr>
        <w:pStyle w:val="26"/>
        <w:spacing w:line="360" w:lineRule="auto"/>
        <w:ind w:firstLine="0" w:firstLineChars="0"/>
        <w:jc w:val="left"/>
        <w:outlineLvl w:val="0"/>
        <w:rPr>
          <w:rFonts w:hint="default" w:ascii="Times New Roman" w:hAnsi="Times New Roman" w:eastAsia="方正仿宋_GBK" w:cs="仿宋_GB2312"/>
          <w:sz w:val="32"/>
          <w:szCs w:val="32"/>
          <w:highlight w:val="none"/>
          <w:lang w:val="en-US" w:eastAsia="zh-CN"/>
        </w:rPr>
      </w:pPr>
      <w:bookmarkStart w:id="371" w:name="_Toc30050"/>
      <w:r>
        <w:rPr>
          <w:rFonts w:hint="default" w:ascii="Times New Roman" w:hAnsi="Times New Roman" w:eastAsia="方正仿宋_GBK" w:cs="仿宋_GB2312"/>
          <w:sz w:val="32"/>
          <w:szCs w:val="32"/>
          <w:highlight w:val="none"/>
        </w:rPr>
        <w:t>附件</w:t>
      </w:r>
      <w:r>
        <w:rPr>
          <w:rFonts w:hint="default" w:ascii="Times New Roman" w:hAnsi="Times New Roman" w:eastAsia="方正仿宋_GBK" w:cs="仿宋_GB2312"/>
          <w:sz w:val="32"/>
          <w:szCs w:val="32"/>
          <w:highlight w:val="none"/>
          <w:lang w:val="en-US" w:eastAsia="zh-CN"/>
        </w:rPr>
        <w:t>5</w:t>
      </w:r>
      <w:r>
        <w:rPr>
          <w:rFonts w:hint="default" w:ascii="Times New Roman" w:hAnsi="Times New Roman" w:eastAsia="方正仿宋_GBK" w:cs="仿宋_GB2312"/>
          <w:sz w:val="32"/>
          <w:szCs w:val="32"/>
          <w:highlight w:val="none"/>
        </w:rPr>
        <w:t>：</w:t>
      </w:r>
      <w:r>
        <w:rPr>
          <w:rFonts w:hint="default" w:ascii="Times New Roman" w:hAnsi="Times New Roman" w:eastAsia="方正仿宋_GBK" w:cs="仿宋_GB2312"/>
          <w:sz w:val="32"/>
          <w:szCs w:val="32"/>
          <w:highlight w:val="none"/>
          <w:lang w:val="en-US" w:eastAsia="zh-CN"/>
        </w:rPr>
        <w:t>实地勘察记录</w:t>
      </w:r>
      <w:bookmarkEnd w:id="371"/>
    </w:p>
    <w:p w14:paraId="444BD0F6">
      <w:pPr>
        <w:pageBreakBefore w:val="0"/>
        <w:widowControl w:val="0"/>
        <w:kinsoku/>
        <w:wordWrap/>
        <w:overflowPunct/>
        <w:topLinePunct w:val="0"/>
        <w:bidi w:val="0"/>
        <w:adjustRightInd/>
        <w:snapToGrid/>
        <w:ind w:left="0" w:leftChars="0"/>
        <w:rPr>
          <w:rFonts w:hint="default" w:ascii="Times New Roman" w:hAnsi="Times New Roman" w:cs="仿宋_GB2312"/>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仿宋_GB2312"/>
          <w:lang w:val="en-US" w:eastAsia="zh-CN"/>
        </w:rPr>
        <w:drawing>
          <wp:inline distT="0" distB="0" distL="114300" distR="114300">
            <wp:extent cx="5253355" cy="7431405"/>
            <wp:effectExtent l="0" t="0" r="4445" b="5715"/>
            <wp:docPr id="6" name="图片 6" descr="民政局精康融合附件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民政局精康融合附件_06"/>
                    <pic:cNvPicPr>
                      <a:picLocks noChangeAspect="1"/>
                    </pic:cNvPicPr>
                  </pic:nvPicPr>
                  <pic:blipFill>
                    <a:blip r:embed="rId13"/>
                    <a:stretch>
                      <a:fillRect/>
                    </a:stretch>
                  </pic:blipFill>
                  <pic:spPr>
                    <a:xfrm>
                      <a:off x="0" y="0"/>
                      <a:ext cx="5253355" cy="7431405"/>
                    </a:xfrm>
                    <a:prstGeom prst="rect">
                      <a:avLst/>
                    </a:prstGeom>
                  </pic:spPr>
                </pic:pic>
              </a:graphicData>
            </a:graphic>
          </wp:inline>
        </w:drawing>
      </w:r>
    </w:p>
    <w:p w14:paraId="75F06676">
      <w:pPr>
        <w:pStyle w:val="26"/>
        <w:spacing w:line="360" w:lineRule="auto"/>
        <w:ind w:firstLine="0" w:firstLineChars="0"/>
        <w:jc w:val="left"/>
        <w:outlineLvl w:val="0"/>
        <w:rPr>
          <w:rFonts w:hint="eastAsia" w:ascii="Times New Roman" w:hAnsi="Times New Roman" w:cs="仿宋_GB2312"/>
          <w:bCs/>
          <w:kern w:val="0"/>
          <w:sz w:val="32"/>
          <w:szCs w:val="32"/>
          <w:lang w:val="en-US" w:eastAsia="zh-CN" w:bidi="ar"/>
        </w:rPr>
      </w:pPr>
      <w:bookmarkStart w:id="372" w:name="_Toc18234"/>
      <w:r>
        <w:rPr>
          <w:rFonts w:hint="eastAsia" w:ascii="Times New Roman" w:hAnsi="Times New Roman" w:eastAsia="方正仿宋_GBK" w:cs="仿宋_GB2312"/>
          <w:sz w:val="32"/>
          <w:szCs w:val="32"/>
          <w:highlight w:val="none"/>
          <w:lang w:val="en-US" w:eastAsia="zh-CN"/>
        </w:rPr>
        <w:t>附件6：绩效评价报告单位反馈意见单</w:t>
      </w:r>
      <w:bookmarkEnd w:id="372"/>
    </w:p>
    <w:p w14:paraId="407BD1F1">
      <w:pPr>
        <w:pageBreakBefore w:val="0"/>
        <w:widowControl w:val="0"/>
        <w:kinsoku/>
        <w:wordWrap/>
        <w:overflowPunct/>
        <w:topLinePunct w:val="0"/>
        <w:bidi w:val="0"/>
        <w:adjustRightInd/>
        <w:snapToGrid/>
        <w:ind w:left="0" w:leftChars="0"/>
        <w:rPr>
          <w:rFonts w:hint="eastAsia" w:ascii="Times New Roman" w:hAnsi="Times New Roman" w:cs="仿宋_GB2312"/>
          <w:bCs/>
          <w:kern w:val="0"/>
          <w:sz w:val="32"/>
          <w:szCs w:val="32"/>
          <w:lang w:val="en-US" w:eastAsia="zh-CN" w:bidi="ar"/>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仿宋_GB2312"/>
          <w:bCs/>
          <w:kern w:val="0"/>
          <w:sz w:val="32"/>
          <w:szCs w:val="32"/>
          <w:lang w:val="en-US" w:eastAsia="zh-CN" w:bidi="ar"/>
        </w:rPr>
        <w:drawing>
          <wp:inline distT="0" distB="0" distL="114300" distR="114300">
            <wp:extent cx="5252085" cy="7431405"/>
            <wp:effectExtent l="0" t="0" r="5715" b="5715"/>
            <wp:docPr id="12" name="图片 12" descr="图片转pdf_20260828_16173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转pdf_20260828_161739_01"/>
                    <pic:cNvPicPr>
                      <a:picLocks noChangeAspect="1"/>
                    </pic:cNvPicPr>
                  </pic:nvPicPr>
                  <pic:blipFill>
                    <a:blip r:embed="rId14"/>
                    <a:stretch>
                      <a:fillRect/>
                    </a:stretch>
                  </pic:blipFill>
                  <pic:spPr>
                    <a:xfrm>
                      <a:off x="0" y="0"/>
                      <a:ext cx="5252085" cy="7431405"/>
                    </a:xfrm>
                    <a:prstGeom prst="rect">
                      <a:avLst/>
                    </a:prstGeom>
                  </pic:spPr>
                </pic:pic>
              </a:graphicData>
            </a:graphic>
          </wp:inline>
        </w:drawing>
      </w:r>
    </w:p>
    <w:p w14:paraId="3E313E4A">
      <w:pPr>
        <w:pStyle w:val="26"/>
        <w:spacing w:line="360" w:lineRule="auto"/>
        <w:ind w:firstLine="0" w:firstLineChars="0"/>
        <w:jc w:val="left"/>
        <w:outlineLvl w:val="0"/>
        <w:rPr>
          <w:rFonts w:hint="default" w:ascii="Times New Roman" w:hAnsi="Times New Roman" w:eastAsia="方正仿宋_GBK" w:cs="仿宋_GB2312"/>
          <w:sz w:val="32"/>
          <w:szCs w:val="32"/>
          <w:highlight w:val="none"/>
          <w:lang w:val="en-US" w:eastAsia="zh-CN"/>
        </w:rPr>
      </w:pPr>
      <w:bookmarkStart w:id="373" w:name="_Toc11177"/>
      <w:r>
        <w:rPr>
          <w:rFonts w:hint="eastAsia" w:ascii="Times New Roman" w:hAnsi="Times New Roman" w:eastAsia="方正仿宋_GBK" w:cs="仿宋_GB2312"/>
          <w:sz w:val="32"/>
          <w:szCs w:val="32"/>
          <w:highlight w:val="none"/>
          <w:lang w:val="en-US" w:eastAsia="zh-CN"/>
        </w:rPr>
        <w:t>附件7：绩效评价报告财政部门</w:t>
      </w:r>
      <w:bookmarkEnd w:id="373"/>
      <w:r>
        <w:rPr>
          <w:rFonts w:hint="eastAsia" w:ascii="Times New Roman" w:hAnsi="Times New Roman" w:eastAsia="方正仿宋_GBK" w:cs="仿宋_GB2312"/>
          <w:sz w:val="32"/>
          <w:szCs w:val="32"/>
          <w:highlight w:val="none"/>
          <w:lang w:val="en-US" w:eastAsia="zh-CN"/>
        </w:rPr>
        <w:t>意见反馈表</w:t>
      </w:r>
    </w:p>
    <w:p w14:paraId="7C70B799">
      <w:pPr>
        <w:pageBreakBefore w:val="0"/>
        <w:widowControl w:val="0"/>
        <w:kinsoku/>
        <w:wordWrap/>
        <w:overflowPunct/>
        <w:topLinePunct w:val="0"/>
        <w:bidi w:val="0"/>
        <w:adjustRightInd/>
        <w:snapToGrid/>
        <w:ind w:left="0" w:leftChars="0"/>
        <w:rPr>
          <w:rFonts w:hint="default" w:ascii="Times New Roman" w:hAnsi="Times New Roman" w:eastAsia="方正仿宋_GBK" w:cs="仿宋_GB2312"/>
          <w:sz w:val="32"/>
          <w:szCs w:val="32"/>
          <w:highlight w:val="none"/>
          <w:lang w:val="en-US" w:eastAsia="zh-CN"/>
        </w:rPr>
      </w:pPr>
      <w:r>
        <w:rPr>
          <w:rFonts w:hint="default" w:ascii="Times New Roman" w:hAnsi="Times New Roman" w:eastAsia="方正仿宋_GBK" w:cs="仿宋_GB2312"/>
          <w:sz w:val="32"/>
          <w:szCs w:val="32"/>
          <w:highlight w:val="none"/>
          <w:lang w:val="en-US" w:eastAsia="zh-CN"/>
        </w:rPr>
        <w:drawing>
          <wp:inline distT="0" distB="0" distL="114300" distR="114300">
            <wp:extent cx="5272405" cy="7626350"/>
            <wp:effectExtent l="0" t="0" r="635" b="8890"/>
            <wp:docPr id="11" name="图片 11" descr="绩效科-绩效评价报告反馈意见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绩效科-绩效评价报告反馈意见单"/>
                    <pic:cNvPicPr>
                      <a:picLocks noChangeAspect="1"/>
                    </pic:cNvPicPr>
                  </pic:nvPicPr>
                  <pic:blipFill>
                    <a:blip r:embed="rId15"/>
                    <a:stretch>
                      <a:fillRect/>
                    </a:stretch>
                  </pic:blipFill>
                  <pic:spPr>
                    <a:xfrm>
                      <a:off x="0" y="0"/>
                      <a:ext cx="5272405" cy="7626350"/>
                    </a:xfrm>
                    <a:prstGeom prst="rect">
                      <a:avLst/>
                    </a:prstGeom>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8923A9-12A4-412D-9811-C86D83D6D3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E5582E1-5734-4157-828D-5BC18AE61B2E}"/>
  </w:font>
  <w:font w:name="方正黑体_GBK">
    <w:panose1 w:val="03000509000000000000"/>
    <w:charset w:val="86"/>
    <w:family w:val="script"/>
    <w:pitch w:val="default"/>
    <w:sig w:usb0="00000001" w:usb1="080E0000" w:usb2="00000000" w:usb3="00000000" w:csb0="00040000" w:csb1="00000000"/>
    <w:embedRegular r:id="rId3" w:fontKey="{F93C5EDC-ECE5-4297-8D9B-11A18664E17E}"/>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embedRegular r:id="rId4" w:fontKey="{0F1BD9DC-4D51-4C08-A9B9-8FB038997108}"/>
  </w:font>
  <w:font w:name="方正仿宋_GBK">
    <w:panose1 w:val="03000509000000000000"/>
    <w:charset w:val="86"/>
    <w:family w:val="script"/>
    <w:pitch w:val="default"/>
    <w:sig w:usb0="00000001" w:usb1="080E0000" w:usb2="00000000" w:usb3="00000000" w:csb0="00040000" w:csb1="00000000"/>
    <w:embedRegular r:id="rId5" w:fontKey="{98CA9C44-98E5-4E5E-B835-3E072A736E65}"/>
  </w:font>
  <w:font w:name="方正小标宋_GBK">
    <w:panose1 w:val="03000509000000000000"/>
    <w:charset w:val="86"/>
    <w:family w:val="script"/>
    <w:pitch w:val="default"/>
    <w:sig w:usb0="00000001" w:usb1="080E0000" w:usb2="00000000" w:usb3="00000000" w:csb0="00040000" w:csb1="00000000"/>
    <w:embedRegular r:id="rId6" w:fontKey="{5D25FD1B-05FA-4315-BB59-CFA107F04197}"/>
  </w:font>
  <w:font w:name="方正楷体_GBK">
    <w:panose1 w:val="03000509000000000000"/>
    <w:charset w:val="86"/>
    <w:family w:val="auto"/>
    <w:pitch w:val="default"/>
    <w:sig w:usb0="00000001" w:usb1="080E0000" w:usb2="00000000" w:usb3="00000000" w:csb0="00040000" w:csb1="00000000"/>
    <w:embedRegular r:id="rId7" w:fontKey="{00065A16-9406-433F-B1FC-D8C06F5645B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D12E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0AFD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82C88">
                          <w:pPr>
                            <w:pStyle w:val="7"/>
                          </w:pPr>
                          <w:r>
                            <w:t xml:space="preserve">— </w:t>
                          </w:r>
                          <w:r>
                            <w:rPr>
                              <w:sz w:val="20"/>
                              <w:szCs w:val="28"/>
                            </w:rPr>
                            <w:fldChar w:fldCharType="begin"/>
                          </w:r>
                          <w:r>
                            <w:rPr>
                              <w:sz w:val="20"/>
                              <w:szCs w:val="28"/>
                            </w:rPr>
                            <w:instrText xml:space="preserve"> PAGE  \* MERGEFORMAT </w:instrText>
                          </w:r>
                          <w:r>
                            <w:rPr>
                              <w:sz w:val="20"/>
                              <w:szCs w:val="28"/>
                            </w:rPr>
                            <w:fldChar w:fldCharType="separate"/>
                          </w:r>
                          <w:r>
                            <w:rPr>
                              <w:sz w:val="20"/>
                              <w:szCs w:val="28"/>
                            </w:rPr>
                            <w:t>1</w:t>
                          </w:r>
                          <w:r>
                            <w:rPr>
                              <w:sz w:val="20"/>
                              <w:szCs w:val="28"/>
                            </w:rPr>
                            <w:fldChar w:fldCharType="end"/>
                          </w:r>
                          <w:r>
                            <w:rPr>
                              <w:sz w:val="20"/>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082C88">
                    <w:pPr>
                      <w:pStyle w:val="7"/>
                    </w:pPr>
                    <w:r>
                      <w:t xml:space="preserve">— </w:t>
                    </w:r>
                    <w:r>
                      <w:rPr>
                        <w:sz w:val="20"/>
                        <w:szCs w:val="28"/>
                      </w:rPr>
                      <w:fldChar w:fldCharType="begin"/>
                    </w:r>
                    <w:r>
                      <w:rPr>
                        <w:sz w:val="20"/>
                        <w:szCs w:val="28"/>
                      </w:rPr>
                      <w:instrText xml:space="preserve"> PAGE  \* MERGEFORMAT </w:instrText>
                    </w:r>
                    <w:r>
                      <w:rPr>
                        <w:sz w:val="20"/>
                        <w:szCs w:val="28"/>
                      </w:rPr>
                      <w:fldChar w:fldCharType="separate"/>
                    </w:r>
                    <w:r>
                      <w:rPr>
                        <w:sz w:val="20"/>
                        <w:szCs w:val="28"/>
                      </w:rPr>
                      <w:t>1</w:t>
                    </w:r>
                    <w:r>
                      <w:rPr>
                        <w:sz w:val="20"/>
                        <w:szCs w:val="28"/>
                      </w:rPr>
                      <w:fldChar w:fldCharType="end"/>
                    </w:r>
                    <w:r>
                      <w:rPr>
                        <w:sz w:val="20"/>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D214">
    <w:pPr>
      <w:pStyle w:val="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5" name="图片 5"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8085ACD">
    <w:pPr>
      <w:pStyle w:val="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2987CAA9">
    <w:pPr>
      <w:pStyle w:val="8"/>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70B069FF">
    <w:pPr>
      <w:pStyle w:val="8"/>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0C6A"/>
    <w:rsid w:val="00243E3E"/>
    <w:rsid w:val="00441793"/>
    <w:rsid w:val="00920750"/>
    <w:rsid w:val="00B701B7"/>
    <w:rsid w:val="00DE0D4A"/>
    <w:rsid w:val="00DE5743"/>
    <w:rsid w:val="00EA233A"/>
    <w:rsid w:val="011B0745"/>
    <w:rsid w:val="01341807"/>
    <w:rsid w:val="014F4893"/>
    <w:rsid w:val="01657C13"/>
    <w:rsid w:val="01702902"/>
    <w:rsid w:val="0192652E"/>
    <w:rsid w:val="02290C40"/>
    <w:rsid w:val="022D6740"/>
    <w:rsid w:val="023B6716"/>
    <w:rsid w:val="02590C8E"/>
    <w:rsid w:val="026E17C0"/>
    <w:rsid w:val="02906F11"/>
    <w:rsid w:val="02AC47F6"/>
    <w:rsid w:val="03073792"/>
    <w:rsid w:val="036B7036"/>
    <w:rsid w:val="0370464D"/>
    <w:rsid w:val="037E6D6A"/>
    <w:rsid w:val="041476CE"/>
    <w:rsid w:val="041D2A27"/>
    <w:rsid w:val="04567CE7"/>
    <w:rsid w:val="04643B62"/>
    <w:rsid w:val="04695C6C"/>
    <w:rsid w:val="046C0B9A"/>
    <w:rsid w:val="04754611"/>
    <w:rsid w:val="04987335"/>
    <w:rsid w:val="054E7822"/>
    <w:rsid w:val="05761E3A"/>
    <w:rsid w:val="05A2714F"/>
    <w:rsid w:val="05A420D6"/>
    <w:rsid w:val="05A827C4"/>
    <w:rsid w:val="05B828E7"/>
    <w:rsid w:val="062F07EF"/>
    <w:rsid w:val="0661309E"/>
    <w:rsid w:val="06913258"/>
    <w:rsid w:val="069A06D8"/>
    <w:rsid w:val="06A2612A"/>
    <w:rsid w:val="06CB0518"/>
    <w:rsid w:val="06DD024B"/>
    <w:rsid w:val="070535DC"/>
    <w:rsid w:val="073F2CB4"/>
    <w:rsid w:val="07634BF4"/>
    <w:rsid w:val="076B1CFB"/>
    <w:rsid w:val="07735BAF"/>
    <w:rsid w:val="077A3CEC"/>
    <w:rsid w:val="078A2181"/>
    <w:rsid w:val="07B75576"/>
    <w:rsid w:val="07CE2E09"/>
    <w:rsid w:val="07F70F7A"/>
    <w:rsid w:val="0802440D"/>
    <w:rsid w:val="08071A24"/>
    <w:rsid w:val="08A70B11"/>
    <w:rsid w:val="08C10951"/>
    <w:rsid w:val="08DC4C5E"/>
    <w:rsid w:val="0911242E"/>
    <w:rsid w:val="093A0467"/>
    <w:rsid w:val="09540834"/>
    <w:rsid w:val="097320E9"/>
    <w:rsid w:val="09862E1C"/>
    <w:rsid w:val="09865495"/>
    <w:rsid w:val="09AF4121"/>
    <w:rsid w:val="09C35E1E"/>
    <w:rsid w:val="09CB4CD3"/>
    <w:rsid w:val="09F14739"/>
    <w:rsid w:val="0A1B7A08"/>
    <w:rsid w:val="0A200374"/>
    <w:rsid w:val="0A2F5262"/>
    <w:rsid w:val="0A344626"/>
    <w:rsid w:val="0A56459C"/>
    <w:rsid w:val="0A6539E9"/>
    <w:rsid w:val="0A742C74"/>
    <w:rsid w:val="0A851326"/>
    <w:rsid w:val="0AC73F32"/>
    <w:rsid w:val="0AC94A31"/>
    <w:rsid w:val="0AD96704"/>
    <w:rsid w:val="0AE914C4"/>
    <w:rsid w:val="0B212E38"/>
    <w:rsid w:val="0B316247"/>
    <w:rsid w:val="0B6727D9"/>
    <w:rsid w:val="0B792C38"/>
    <w:rsid w:val="0B922335"/>
    <w:rsid w:val="0BA115AE"/>
    <w:rsid w:val="0C2B5418"/>
    <w:rsid w:val="0C2E4461"/>
    <w:rsid w:val="0C66524E"/>
    <w:rsid w:val="0C9413AC"/>
    <w:rsid w:val="0C9927BA"/>
    <w:rsid w:val="0CA151CE"/>
    <w:rsid w:val="0CA74DEF"/>
    <w:rsid w:val="0CE16D25"/>
    <w:rsid w:val="0CF1018F"/>
    <w:rsid w:val="0CF602B9"/>
    <w:rsid w:val="0D07521B"/>
    <w:rsid w:val="0D181FDD"/>
    <w:rsid w:val="0D1D3133"/>
    <w:rsid w:val="0D1D61F7"/>
    <w:rsid w:val="0D754FA5"/>
    <w:rsid w:val="0DB61B71"/>
    <w:rsid w:val="0DCD4CA3"/>
    <w:rsid w:val="0DD26630"/>
    <w:rsid w:val="0DED346A"/>
    <w:rsid w:val="0DEE4240"/>
    <w:rsid w:val="0DF90060"/>
    <w:rsid w:val="0E494FAC"/>
    <w:rsid w:val="0E5704C1"/>
    <w:rsid w:val="0E8D69A2"/>
    <w:rsid w:val="0E8F312C"/>
    <w:rsid w:val="0E9F1448"/>
    <w:rsid w:val="0F5372FC"/>
    <w:rsid w:val="0F7977F4"/>
    <w:rsid w:val="0F7C190B"/>
    <w:rsid w:val="0FA43FFC"/>
    <w:rsid w:val="0FC4341E"/>
    <w:rsid w:val="0FF43573"/>
    <w:rsid w:val="102D2AB4"/>
    <w:rsid w:val="10390BE8"/>
    <w:rsid w:val="103A670E"/>
    <w:rsid w:val="103B6D46"/>
    <w:rsid w:val="105B1981"/>
    <w:rsid w:val="10A203F7"/>
    <w:rsid w:val="10AF34A1"/>
    <w:rsid w:val="10B447E2"/>
    <w:rsid w:val="10BD35C7"/>
    <w:rsid w:val="10DE52EC"/>
    <w:rsid w:val="10FE773C"/>
    <w:rsid w:val="1110038B"/>
    <w:rsid w:val="11140BF4"/>
    <w:rsid w:val="1118625B"/>
    <w:rsid w:val="11496C09"/>
    <w:rsid w:val="117B706D"/>
    <w:rsid w:val="121035F0"/>
    <w:rsid w:val="122A25C8"/>
    <w:rsid w:val="122A5477"/>
    <w:rsid w:val="122B27B2"/>
    <w:rsid w:val="126874AB"/>
    <w:rsid w:val="126D202A"/>
    <w:rsid w:val="126D2DCB"/>
    <w:rsid w:val="12855AA9"/>
    <w:rsid w:val="12A367ED"/>
    <w:rsid w:val="12C15B53"/>
    <w:rsid w:val="12EB5377"/>
    <w:rsid w:val="12F86CEC"/>
    <w:rsid w:val="12FB03D7"/>
    <w:rsid w:val="136F4921"/>
    <w:rsid w:val="13961EAE"/>
    <w:rsid w:val="13C83311"/>
    <w:rsid w:val="13D1738A"/>
    <w:rsid w:val="13EC7D20"/>
    <w:rsid w:val="13F13588"/>
    <w:rsid w:val="13FD1F2D"/>
    <w:rsid w:val="140C420A"/>
    <w:rsid w:val="145F6743"/>
    <w:rsid w:val="1475227B"/>
    <w:rsid w:val="14A174E0"/>
    <w:rsid w:val="14A76C7B"/>
    <w:rsid w:val="14B06F9F"/>
    <w:rsid w:val="14CD5353"/>
    <w:rsid w:val="14ED3A11"/>
    <w:rsid w:val="15836462"/>
    <w:rsid w:val="15963387"/>
    <w:rsid w:val="15991506"/>
    <w:rsid w:val="15C80049"/>
    <w:rsid w:val="15D54F0F"/>
    <w:rsid w:val="15E93B9A"/>
    <w:rsid w:val="15F06A37"/>
    <w:rsid w:val="16133C89"/>
    <w:rsid w:val="161D2A4D"/>
    <w:rsid w:val="16240199"/>
    <w:rsid w:val="16414301"/>
    <w:rsid w:val="164B51D1"/>
    <w:rsid w:val="165C73DE"/>
    <w:rsid w:val="166565F0"/>
    <w:rsid w:val="16810BF3"/>
    <w:rsid w:val="169923E1"/>
    <w:rsid w:val="169E79F7"/>
    <w:rsid w:val="16A40F1A"/>
    <w:rsid w:val="16A62408"/>
    <w:rsid w:val="16A668AC"/>
    <w:rsid w:val="16BE3BF5"/>
    <w:rsid w:val="16C32FBA"/>
    <w:rsid w:val="16E201CB"/>
    <w:rsid w:val="16E64EFA"/>
    <w:rsid w:val="16EF13F4"/>
    <w:rsid w:val="16F14A1B"/>
    <w:rsid w:val="17334BFA"/>
    <w:rsid w:val="17630885"/>
    <w:rsid w:val="177928F2"/>
    <w:rsid w:val="178C784F"/>
    <w:rsid w:val="179A64BF"/>
    <w:rsid w:val="17D062BD"/>
    <w:rsid w:val="17E40657"/>
    <w:rsid w:val="17E72FBC"/>
    <w:rsid w:val="17E94CA2"/>
    <w:rsid w:val="17ED094D"/>
    <w:rsid w:val="18041ADC"/>
    <w:rsid w:val="18094D46"/>
    <w:rsid w:val="183813D4"/>
    <w:rsid w:val="1840063A"/>
    <w:rsid w:val="185F4F64"/>
    <w:rsid w:val="189D783A"/>
    <w:rsid w:val="18CE6D4A"/>
    <w:rsid w:val="18E25759"/>
    <w:rsid w:val="18F64D38"/>
    <w:rsid w:val="19081158"/>
    <w:rsid w:val="190A1374"/>
    <w:rsid w:val="19212219"/>
    <w:rsid w:val="19287A4C"/>
    <w:rsid w:val="193A4CAA"/>
    <w:rsid w:val="198F76AB"/>
    <w:rsid w:val="19C332D1"/>
    <w:rsid w:val="19CA6D19"/>
    <w:rsid w:val="19D11E91"/>
    <w:rsid w:val="19E215E1"/>
    <w:rsid w:val="19FB7EB6"/>
    <w:rsid w:val="1A530AF8"/>
    <w:rsid w:val="1AC70D42"/>
    <w:rsid w:val="1ACE4623"/>
    <w:rsid w:val="1AD74433"/>
    <w:rsid w:val="1B155DAE"/>
    <w:rsid w:val="1B18764C"/>
    <w:rsid w:val="1B1F6C2C"/>
    <w:rsid w:val="1B477640"/>
    <w:rsid w:val="1B724FAE"/>
    <w:rsid w:val="1BCA4DEA"/>
    <w:rsid w:val="1BD37110"/>
    <w:rsid w:val="1BF14125"/>
    <w:rsid w:val="1BFC2ACA"/>
    <w:rsid w:val="1C00080C"/>
    <w:rsid w:val="1C11425A"/>
    <w:rsid w:val="1C424981"/>
    <w:rsid w:val="1C454471"/>
    <w:rsid w:val="1C93646E"/>
    <w:rsid w:val="1C96783A"/>
    <w:rsid w:val="1CD155D1"/>
    <w:rsid w:val="1CD51C99"/>
    <w:rsid w:val="1CF33ECD"/>
    <w:rsid w:val="1D352737"/>
    <w:rsid w:val="1D594678"/>
    <w:rsid w:val="1D5C6F65"/>
    <w:rsid w:val="1D871584"/>
    <w:rsid w:val="1D8D2B21"/>
    <w:rsid w:val="1D994A74"/>
    <w:rsid w:val="1DE2759A"/>
    <w:rsid w:val="1DED6B6E"/>
    <w:rsid w:val="1E360515"/>
    <w:rsid w:val="1E74393D"/>
    <w:rsid w:val="1E7554E1"/>
    <w:rsid w:val="1EC27FFB"/>
    <w:rsid w:val="1ED0096A"/>
    <w:rsid w:val="1EE00133"/>
    <w:rsid w:val="1F9C4CF0"/>
    <w:rsid w:val="20126D60"/>
    <w:rsid w:val="20232D1B"/>
    <w:rsid w:val="20474C5B"/>
    <w:rsid w:val="20B61DE1"/>
    <w:rsid w:val="20BE10B2"/>
    <w:rsid w:val="20F36B91"/>
    <w:rsid w:val="20F4571D"/>
    <w:rsid w:val="210C7C53"/>
    <w:rsid w:val="21324BBB"/>
    <w:rsid w:val="214E67BA"/>
    <w:rsid w:val="21617F9F"/>
    <w:rsid w:val="217A21C5"/>
    <w:rsid w:val="219F2875"/>
    <w:rsid w:val="21A659B2"/>
    <w:rsid w:val="21CF315A"/>
    <w:rsid w:val="21DF0EC4"/>
    <w:rsid w:val="21EE1107"/>
    <w:rsid w:val="22145011"/>
    <w:rsid w:val="22422435"/>
    <w:rsid w:val="22A5210D"/>
    <w:rsid w:val="22B32241"/>
    <w:rsid w:val="22B61C24"/>
    <w:rsid w:val="22CF2CE6"/>
    <w:rsid w:val="22FE5379"/>
    <w:rsid w:val="23027767"/>
    <w:rsid w:val="231B417D"/>
    <w:rsid w:val="231D59F7"/>
    <w:rsid w:val="233012E3"/>
    <w:rsid w:val="233E03A9"/>
    <w:rsid w:val="2354768D"/>
    <w:rsid w:val="23560607"/>
    <w:rsid w:val="239857CE"/>
    <w:rsid w:val="23AB3BDD"/>
    <w:rsid w:val="23D42CAA"/>
    <w:rsid w:val="23FF5C75"/>
    <w:rsid w:val="241661CD"/>
    <w:rsid w:val="24416C92"/>
    <w:rsid w:val="24771887"/>
    <w:rsid w:val="24A106B2"/>
    <w:rsid w:val="24B46637"/>
    <w:rsid w:val="24CB3E93"/>
    <w:rsid w:val="24D473B1"/>
    <w:rsid w:val="250664AE"/>
    <w:rsid w:val="25072171"/>
    <w:rsid w:val="251A293E"/>
    <w:rsid w:val="251E1A05"/>
    <w:rsid w:val="2528169C"/>
    <w:rsid w:val="25406339"/>
    <w:rsid w:val="25624527"/>
    <w:rsid w:val="2564005E"/>
    <w:rsid w:val="256F255E"/>
    <w:rsid w:val="257D2ECD"/>
    <w:rsid w:val="259326F1"/>
    <w:rsid w:val="259D531E"/>
    <w:rsid w:val="26395046"/>
    <w:rsid w:val="26406706"/>
    <w:rsid w:val="26413EFB"/>
    <w:rsid w:val="26775B6F"/>
    <w:rsid w:val="2685203A"/>
    <w:rsid w:val="26C31621"/>
    <w:rsid w:val="26DA6539"/>
    <w:rsid w:val="270000BE"/>
    <w:rsid w:val="270537D9"/>
    <w:rsid w:val="27127645"/>
    <w:rsid w:val="27710810"/>
    <w:rsid w:val="2775209E"/>
    <w:rsid w:val="277F2F2D"/>
    <w:rsid w:val="27CB3DEA"/>
    <w:rsid w:val="27D17500"/>
    <w:rsid w:val="27E14253"/>
    <w:rsid w:val="27E74C55"/>
    <w:rsid w:val="27FF34BF"/>
    <w:rsid w:val="280478D6"/>
    <w:rsid w:val="280F723F"/>
    <w:rsid w:val="284958A7"/>
    <w:rsid w:val="2859377E"/>
    <w:rsid w:val="286E4D4F"/>
    <w:rsid w:val="28E76FDC"/>
    <w:rsid w:val="28ED036A"/>
    <w:rsid w:val="28F712E6"/>
    <w:rsid w:val="28F9286B"/>
    <w:rsid w:val="28F96D0F"/>
    <w:rsid w:val="290870F3"/>
    <w:rsid w:val="291E49C7"/>
    <w:rsid w:val="2974365F"/>
    <w:rsid w:val="29852351"/>
    <w:rsid w:val="2A1D266C"/>
    <w:rsid w:val="2A663F30"/>
    <w:rsid w:val="2A7C5075"/>
    <w:rsid w:val="2B7E52A9"/>
    <w:rsid w:val="2B895FC1"/>
    <w:rsid w:val="2B8F423A"/>
    <w:rsid w:val="2BF043F9"/>
    <w:rsid w:val="2C1F083A"/>
    <w:rsid w:val="2C263956"/>
    <w:rsid w:val="2C574478"/>
    <w:rsid w:val="2C6A365C"/>
    <w:rsid w:val="2C7D517D"/>
    <w:rsid w:val="2C8C0643"/>
    <w:rsid w:val="2C923128"/>
    <w:rsid w:val="2CA376BD"/>
    <w:rsid w:val="2D0A14EA"/>
    <w:rsid w:val="2D1063D5"/>
    <w:rsid w:val="2D410C84"/>
    <w:rsid w:val="2D46629B"/>
    <w:rsid w:val="2D602C1C"/>
    <w:rsid w:val="2D8D6B5E"/>
    <w:rsid w:val="2DDB674C"/>
    <w:rsid w:val="2DDD60B8"/>
    <w:rsid w:val="2DEE0B8D"/>
    <w:rsid w:val="2DF4595A"/>
    <w:rsid w:val="2E1B3283"/>
    <w:rsid w:val="2E505623"/>
    <w:rsid w:val="2E5D3721"/>
    <w:rsid w:val="2E8E4922"/>
    <w:rsid w:val="2E913546"/>
    <w:rsid w:val="2E97542F"/>
    <w:rsid w:val="2ECA516F"/>
    <w:rsid w:val="2ED03E1A"/>
    <w:rsid w:val="2EF04710"/>
    <w:rsid w:val="2EF9322A"/>
    <w:rsid w:val="2F01691D"/>
    <w:rsid w:val="2F177EEF"/>
    <w:rsid w:val="2F434BA1"/>
    <w:rsid w:val="2F7D2448"/>
    <w:rsid w:val="2FC35981"/>
    <w:rsid w:val="2FD776B7"/>
    <w:rsid w:val="2FD933F6"/>
    <w:rsid w:val="2FDD2EE6"/>
    <w:rsid w:val="2FFF3B51"/>
    <w:rsid w:val="302D79A3"/>
    <w:rsid w:val="3034687E"/>
    <w:rsid w:val="30C43C3A"/>
    <w:rsid w:val="30C9346B"/>
    <w:rsid w:val="30EE4C7F"/>
    <w:rsid w:val="31266EC3"/>
    <w:rsid w:val="31273F18"/>
    <w:rsid w:val="319677F1"/>
    <w:rsid w:val="31D16A7B"/>
    <w:rsid w:val="31D976DD"/>
    <w:rsid w:val="31E05F2C"/>
    <w:rsid w:val="321366D4"/>
    <w:rsid w:val="32186CC0"/>
    <w:rsid w:val="321A0DEC"/>
    <w:rsid w:val="322328A2"/>
    <w:rsid w:val="32317519"/>
    <w:rsid w:val="323701D4"/>
    <w:rsid w:val="32432DA9"/>
    <w:rsid w:val="32572665"/>
    <w:rsid w:val="326276D3"/>
    <w:rsid w:val="32803FFD"/>
    <w:rsid w:val="32A94C5F"/>
    <w:rsid w:val="32F01183"/>
    <w:rsid w:val="32F3136D"/>
    <w:rsid w:val="33053EEB"/>
    <w:rsid w:val="33AF70F4"/>
    <w:rsid w:val="33D60378"/>
    <w:rsid w:val="343926B5"/>
    <w:rsid w:val="343E592B"/>
    <w:rsid w:val="34621E9E"/>
    <w:rsid w:val="34790D04"/>
    <w:rsid w:val="349B3370"/>
    <w:rsid w:val="349C4BC0"/>
    <w:rsid w:val="34B87A7E"/>
    <w:rsid w:val="34D10B40"/>
    <w:rsid w:val="34D92ABF"/>
    <w:rsid w:val="34E8118D"/>
    <w:rsid w:val="34ED01F9"/>
    <w:rsid w:val="350A521A"/>
    <w:rsid w:val="350C5C16"/>
    <w:rsid w:val="352A3AB6"/>
    <w:rsid w:val="355C7FE2"/>
    <w:rsid w:val="355F614C"/>
    <w:rsid w:val="3583008C"/>
    <w:rsid w:val="359009FB"/>
    <w:rsid w:val="35933343"/>
    <w:rsid w:val="35E6089B"/>
    <w:rsid w:val="35F12D83"/>
    <w:rsid w:val="36226CDD"/>
    <w:rsid w:val="36294313"/>
    <w:rsid w:val="36450713"/>
    <w:rsid w:val="3656097F"/>
    <w:rsid w:val="36940077"/>
    <w:rsid w:val="36A709CE"/>
    <w:rsid w:val="36EE72F6"/>
    <w:rsid w:val="37024FE0"/>
    <w:rsid w:val="37695060"/>
    <w:rsid w:val="37A03513"/>
    <w:rsid w:val="37B179ED"/>
    <w:rsid w:val="37B432C0"/>
    <w:rsid w:val="37BF7375"/>
    <w:rsid w:val="37CB7AC8"/>
    <w:rsid w:val="37F16710"/>
    <w:rsid w:val="380B3F3F"/>
    <w:rsid w:val="38340C1D"/>
    <w:rsid w:val="38352061"/>
    <w:rsid w:val="385911B8"/>
    <w:rsid w:val="385A322E"/>
    <w:rsid w:val="38787C50"/>
    <w:rsid w:val="387D32FE"/>
    <w:rsid w:val="38D86367"/>
    <w:rsid w:val="38FA1D7C"/>
    <w:rsid w:val="3925145A"/>
    <w:rsid w:val="3927191F"/>
    <w:rsid w:val="399860D0"/>
    <w:rsid w:val="399F2FBB"/>
    <w:rsid w:val="39C1487F"/>
    <w:rsid w:val="3A00614F"/>
    <w:rsid w:val="3A1744C4"/>
    <w:rsid w:val="3A443B62"/>
    <w:rsid w:val="3A476BFD"/>
    <w:rsid w:val="3A5D280D"/>
    <w:rsid w:val="3A8A00E5"/>
    <w:rsid w:val="3A9B19D4"/>
    <w:rsid w:val="3AA50AA5"/>
    <w:rsid w:val="3AA765CB"/>
    <w:rsid w:val="3AE8273F"/>
    <w:rsid w:val="3AF56769"/>
    <w:rsid w:val="3B131EB2"/>
    <w:rsid w:val="3B173949"/>
    <w:rsid w:val="3B1A3241"/>
    <w:rsid w:val="3B345984"/>
    <w:rsid w:val="3B3E6FA5"/>
    <w:rsid w:val="3B5F3F38"/>
    <w:rsid w:val="3B7641EF"/>
    <w:rsid w:val="3B7930D8"/>
    <w:rsid w:val="3B8F2EFD"/>
    <w:rsid w:val="3BBE32F5"/>
    <w:rsid w:val="3BCC6E16"/>
    <w:rsid w:val="3BEE5CD8"/>
    <w:rsid w:val="3BFA6BCE"/>
    <w:rsid w:val="3C08753D"/>
    <w:rsid w:val="3C0D06AF"/>
    <w:rsid w:val="3C431DE1"/>
    <w:rsid w:val="3CD25455"/>
    <w:rsid w:val="3CE77152"/>
    <w:rsid w:val="3D1837B0"/>
    <w:rsid w:val="3D4C3459"/>
    <w:rsid w:val="3D625462"/>
    <w:rsid w:val="3D884009"/>
    <w:rsid w:val="3D9D1F07"/>
    <w:rsid w:val="3DA23079"/>
    <w:rsid w:val="3DBC0E7E"/>
    <w:rsid w:val="3E001634"/>
    <w:rsid w:val="3E112B03"/>
    <w:rsid w:val="3E207415"/>
    <w:rsid w:val="3E815385"/>
    <w:rsid w:val="3E966253"/>
    <w:rsid w:val="3E9E7CE5"/>
    <w:rsid w:val="3EA01CAF"/>
    <w:rsid w:val="3EAA4061"/>
    <w:rsid w:val="3EB76FF8"/>
    <w:rsid w:val="3ECA19EE"/>
    <w:rsid w:val="3F604F9A"/>
    <w:rsid w:val="3F6C1B91"/>
    <w:rsid w:val="3F91239A"/>
    <w:rsid w:val="3F9569DC"/>
    <w:rsid w:val="3FB35CA6"/>
    <w:rsid w:val="3FB672B0"/>
    <w:rsid w:val="3FB86B84"/>
    <w:rsid w:val="3FC714BD"/>
    <w:rsid w:val="3FDD483D"/>
    <w:rsid w:val="3FE07E89"/>
    <w:rsid w:val="402D59C2"/>
    <w:rsid w:val="406341DE"/>
    <w:rsid w:val="4084115C"/>
    <w:rsid w:val="408E3D89"/>
    <w:rsid w:val="40CB0B39"/>
    <w:rsid w:val="40E72E11"/>
    <w:rsid w:val="4114428E"/>
    <w:rsid w:val="41411362"/>
    <w:rsid w:val="416C231C"/>
    <w:rsid w:val="417E5BAB"/>
    <w:rsid w:val="419D0727"/>
    <w:rsid w:val="419F3BDC"/>
    <w:rsid w:val="41A970CC"/>
    <w:rsid w:val="41C07F20"/>
    <w:rsid w:val="41FD0500"/>
    <w:rsid w:val="42134E91"/>
    <w:rsid w:val="421A1D78"/>
    <w:rsid w:val="42547FAE"/>
    <w:rsid w:val="425F3C2F"/>
    <w:rsid w:val="425F778B"/>
    <w:rsid w:val="428E0070"/>
    <w:rsid w:val="42B374ED"/>
    <w:rsid w:val="43000F6E"/>
    <w:rsid w:val="43122A4F"/>
    <w:rsid w:val="4358162F"/>
    <w:rsid w:val="438C2802"/>
    <w:rsid w:val="43911BC6"/>
    <w:rsid w:val="43996CCD"/>
    <w:rsid w:val="43DF474F"/>
    <w:rsid w:val="43E637F5"/>
    <w:rsid w:val="4441183E"/>
    <w:rsid w:val="444F07C0"/>
    <w:rsid w:val="447300EE"/>
    <w:rsid w:val="4473751E"/>
    <w:rsid w:val="4496320C"/>
    <w:rsid w:val="44D11E1B"/>
    <w:rsid w:val="45367D6E"/>
    <w:rsid w:val="45B832F2"/>
    <w:rsid w:val="45BE2A1A"/>
    <w:rsid w:val="45CC3389"/>
    <w:rsid w:val="462C02CC"/>
    <w:rsid w:val="464473C4"/>
    <w:rsid w:val="46682CC7"/>
    <w:rsid w:val="469817EC"/>
    <w:rsid w:val="46C329DE"/>
    <w:rsid w:val="474223FA"/>
    <w:rsid w:val="479742ED"/>
    <w:rsid w:val="479C078C"/>
    <w:rsid w:val="47B6181D"/>
    <w:rsid w:val="47C14A44"/>
    <w:rsid w:val="47D76D09"/>
    <w:rsid w:val="48147269"/>
    <w:rsid w:val="48160954"/>
    <w:rsid w:val="4829296D"/>
    <w:rsid w:val="482975F5"/>
    <w:rsid w:val="48C540C0"/>
    <w:rsid w:val="48C61162"/>
    <w:rsid w:val="490540D0"/>
    <w:rsid w:val="490C0BCF"/>
    <w:rsid w:val="490D6193"/>
    <w:rsid w:val="49146FAA"/>
    <w:rsid w:val="493361D1"/>
    <w:rsid w:val="495913D8"/>
    <w:rsid w:val="498D0EE8"/>
    <w:rsid w:val="499248EA"/>
    <w:rsid w:val="4A0155CC"/>
    <w:rsid w:val="4A7B537E"/>
    <w:rsid w:val="4A7D2EA4"/>
    <w:rsid w:val="4A963F66"/>
    <w:rsid w:val="4A9B157C"/>
    <w:rsid w:val="4AEB2504"/>
    <w:rsid w:val="4B0C4228"/>
    <w:rsid w:val="4B1304D7"/>
    <w:rsid w:val="4B5736F5"/>
    <w:rsid w:val="4B6202EC"/>
    <w:rsid w:val="4B700C5B"/>
    <w:rsid w:val="4B7177F6"/>
    <w:rsid w:val="4B92129D"/>
    <w:rsid w:val="4BB6181D"/>
    <w:rsid w:val="4BF460A8"/>
    <w:rsid w:val="4C166C78"/>
    <w:rsid w:val="4C252179"/>
    <w:rsid w:val="4C360F71"/>
    <w:rsid w:val="4C433C79"/>
    <w:rsid w:val="4C612351"/>
    <w:rsid w:val="4C79769B"/>
    <w:rsid w:val="4C806C7C"/>
    <w:rsid w:val="4C995F8F"/>
    <w:rsid w:val="4CE540AB"/>
    <w:rsid w:val="4CED68E1"/>
    <w:rsid w:val="4D155616"/>
    <w:rsid w:val="4D2E492A"/>
    <w:rsid w:val="4D5049EA"/>
    <w:rsid w:val="4D505D63"/>
    <w:rsid w:val="4D547523"/>
    <w:rsid w:val="4D5F542E"/>
    <w:rsid w:val="4DA4699A"/>
    <w:rsid w:val="4DD637A3"/>
    <w:rsid w:val="4DDD3C5A"/>
    <w:rsid w:val="4DF932EA"/>
    <w:rsid w:val="4E10402F"/>
    <w:rsid w:val="4E373984"/>
    <w:rsid w:val="4EB175C0"/>
    <w:rsid w:val="4EB8182E"/>
    <w:rsid w:val="4EB91573"/>
    <w:rsid w:val="4EBD41B7"/>
    <w:rsid w:val="4EC42815"/>
    <w:rsid w:val="4ECE44E0"/>
    <w:rsid w:val="4EE075AA"/>
    <w:rsid w:val="4EEC24EF"/>
    <w:rsid w:val="4F0E056F"/>
    <w:rsid w:val="4F2613D3"/>
    <w:rsid w:val="4F2E6E63"/>
    <w:rsid w:val="4F4B65B4"/>
    <w:rsid w:val="4F905428"/>
    <w:rsid w:val="4FD80B7D"/>
    <w:rsid w:val="501E2A33"/>
    <w:rsid w:val="505E5526"/>
    <w:rsid w:val="507B5903"/>
    <w:rsid w:val="508927CE"/>
    <w:rsid w:val="50F978D6"/>
    <w:rsid w:val="5133250E"/>
    <w:rsid w:val="51363DAD"/>
    <w:rsid w:val="516C3C72"/>
    <w:rsid w:val="517D19DC"/>
    <w:rsid w:val="51A972D7"/>
    <w:rsid w:val="51B33605"/>
    <w:rsid w:val="51C36708"/>
    <w:rsid w:val="51E4627C"/>
    <w:rsid w:val="51EA095A"/>
    <w:rsid w:val="52173BDE"/>
    <w:rsid w:val="52201FF9"/>
    <w:rsid w:val="52354064"/>
    <w:rsid w:val="52A66212"/>
    <w:rsid w:val="52D7511B"/>
    <w:rsid w:val="52F42171"/>
    <w:rsid w:val="53074ECA"/>
    <w:rsid w:val="532B537A"/>
    <w:rsid w:val="53481B7B"/>
    <w:rsid w:val="535C09BE"/>
    <w:rsid w:val="53901AF0"/>
    <w:rsid w:val="53B813F1"/>
    <w:rsid w:val="53B92A73"/>
    <w:rsid w:val="53CC6619"/>
    <w:rsid w:val="53EA63F7"/>
    <w:rsid w:val="542459DD"/>
    <w:rsid w:val="545F361A"/>
    <w:rsid w:val="547277F2"/>
    <w:rsid w:val="54957D3F"/>
    <w:rsid w:val="549F3E6E"/>
    <w:rsid w:val="54A56347"/>
    <w:rsid w:val="54B22733"/>
    <w:rsid w:val="54D2203E"/>
    <w:rsid w:val="54FE1085"/>
    <w:rsid w:val="55287EB0"/>
    <w:rsid w:val="55854BF9"/>
    <w:rsid w:val="559B4B26"/>
    <w:rsid w:val="55D6790C"/>
    <w:rsid w:val="55F12998"/>
    <w:rsid w:val="56554CD5"/>
    <w:rsid w:val="56665134"/>
    <w:rsid w:val="56763E09"/>
    <w:rsid w:val="56954304"/>
    <w:rsid w:val="56A417B8"/>
    <w:rsid w:val="56BE6D1E"/>
    <w:rsid w:val="56D9546D"/>
    <w:rsid w:val="56E37D34"/>
    <w:rsid w:val="56F3081B"/>
    <w:rsid w:val="570220EA"/>
    <w:rsid w:val="57183488"/>
    <w:rsid w:val="571C1C97"/>
    <w:rsid w:val="573174F0"/>
    <w:rsid w:val="578F4443"/>
    <w:rsid w:val="57947A7F"/>
    <w:rsid w:val="5797131D"/>
    <w:rsid w:val="58262C8A"/>
    <w:rsid w:val="582C7069"/>
    <w:rsid w:val="58322F61"/>
    <w:rsid w:val="587105C3"/>
    <w:rsid w:val="589870FB"/>
    <w:rsid w:val="58B959EF"/>
    <w:rsid w:val="58E14F46"/>
    <w:rsid w:val="58F72B62"/>
    <w:rsid w:val="59012EF2"/>
    <w:rsid w:val="59396B30"/>
    <w:rsid w:val="59FA62BF"/>
    <w:rsid w:val="5A1530F9"/>
    <w:rsid w:val="5A2E17E3"/>
    <w:rsid w:val="5A407A4A"/>
    <w:rsid w:val="5A4A2112"/>
    <w:rsid w:val="5A651EE6"/>
    <w:rsid w:val="5AAE0E58"/>
    <w:rsid w:val="5ADB58A3"/>
    <w:rsid w:val="5B0070B5"/>
    <w:rsid w:val="5B1F10D6"/>
    <w:rsid w:val="5B3204EB"/>
    <w:rsid w:val="5B6071F1"/>
    <w:rsid w:val="5B8338EA"/>
    <w:rsid w:val="5BDB3ECE"/>
    <w:rsid w:val="5C0827EA"/>
    <w:rsid w:val="5C4D48E8"/>
    <w:rsid w:val="5CB169DD"/>
    <w:rsid w:val="5CD5091E"/>
    <w:rsid w:val="5CD64696"/>
    <w:rsid w:val="5CE84AF5"/>
    <w:rsid w:val="5CF267E0"/>
    <w:rsid w:val="5CF65B42"/>
    <w:rsid w:val="5CF74D38"/>
    <w:rsid w:val="5D1C02FB"/>
    <w:rsid w:val="5D276F58"/>
    <w:rsid w:val="5D2B27E7"/>
    <w:rsid w:val="5D790367"/>
    <w:rsid w:val="5DA16A52"/>
    <w:rsid w:val="5E015742"/>
    <w:rsid w:val="5E1F5ADE"/>
    <w:rsid w:val="5E287173"/>
    <w:rsid w:val="5E8C5954"/>
    <w:rsid w:val="5E9345EC"/>
    <w:rsid w:val="5EC7073A"/>
    <w:rsid w:val="5ED527C2"/>
    <w:rsid w:val="5EF808F3"/>
    <w:rsid w:val="5F463F63"/>
    <w:rsid w:val="5F5E4D05"/>
    <w:rsid w:val="5F6662FF"/>
    <w:rsid w:val="5F6D308F"/>
    <w:rsid w:val="5FA40A7B"/>
    <w:rsid w:val="5FB46F10"/>
    <w:rsid w:val="5FBC4017"/>
    <w:rsid w:val="5FD94150"/>
    <w:rsid w:val="603323A9"/>
    <w:rsid w:val="606D70BF"/>
    <w:rsid w:val="607965A2"/>
    <w:rsid w:val="607F065F"/>
    <w:rsid w:val="608F34D9"/>
    <w:rsid w:val="61045C75"/>
    <w:rsid w:val="610F0A45"/>
    <w:rsid w:val="612E2CF2"/>
    <w:rsid w:val="614E2283"/>
    <w:rsid w:val="616E7E24"/>
    <w:rsid w:val="61971C41"/>
    <w:rsid w:val="61D45648"/>
    <w:rsid w:val="61FC458E"/>
    <w:rsid w:val="6214242A"/>
    <w:rsid w:val="62306A78"/>
    <w:rsid w:val="628249B5"/>
    <w:rsid w:val="62832BCA"/>
    <w:rsid w:val="62BE1E54"/>
    <w:rsid w:val="62CF58EA"/>
    <w:rsid w:val="62D11B87"/>
    <w:rsid w:val="63316ACA"/>
    <w:rsid w:val="633640E0"/>
    <w:rsid w:val="634C3904"/>
    <w:rsid w:val="635D5A69"/>
    <w:rsid w:val="637D1D0F"/>
    <w:rsid w:val="639C08FA"/>
    <w:rsid w:val="63A454EE"/>
    <w:rsid w:val="63AB4186"/>
    <w:rsid w:val="63AC4203"/>
    <w:rsid w:val="63B05C41"/>
    <w:rsid w:val="63B374DF"/>
    <w:rsid w:val="63B65455"/>
    <w:rsid w:val="63FA3360"/>
    <w:rsid w:val="63FC0E86"/>
    <w:rsid w:val="640F0BB9"/>
    <w:rsid w:val="641066DF"/>
    <w:rsid w:val="64377D1C"/>
    <w:rsid w:val="64451E1C"/>
    <w:rsid w:val="6449399F"/>
    <w:rsid w:val="645A795A"/>
    <w:rsid w:val="6468651B"/>
    <w:rsid w:val="64A65B94"/>
    <w:rsid w:val="64A7206F"/>
    <w:rsid w:val="64B81251"/>
    <w:rsid w:val="64CE659A"/>
    <w:rsid w:val="64DB4F3F"/>
    <w:rsid w:val="65091AAC"/>
    <w:rsid w:val="652561BA"/>
    <w:rsid w:val="65397F9E"/>
    <w:rsid w:val="65437D2D"/>
    <w:rsid w:val="65467ECB"/>
    <w:rsid w:val="656653BF"/>
    <w:rsid w:val="65A54BA4"/>
    <w:rsid w:val="65CE37BB"/>
    <w:rsid w:val="65F71905"/>
    <w:rsid w:val="65FD640F"/>
    <w:rsid w:val="668C0581"/>
    <w:rsid w:val="668D50F9"/>
    <w:rsid w:val="66DF52E9"/>
    <w:rsid w:val="66F15732"/>
    <w:rsid w:val="66FB7A23"/>
    <w:rsid w:val="6739419F"/>
    <w:rsid w:val="67395F4D"/>
    <w:rsid w:val="675A1A5E"/>
    <w:rsid w:val="677F153E"/>
    <w:rsid w:val="678E41BF"/>
    <w:rsid w:val="67AD20B3"/>
    <w:rsid w:val="67C609EB"/>
    <w:rsid w:val="68283C8B"/>
    <w:rsid w:val="68336E40"/>
    <w:rsid w:val="68531116"/>
    <w:rsid w:val="68623356"/>
    <w:rsid w:val="689A03B4"/>
    <w:rsid w:val="68A67612"/>
    <w:rsid w:val="68B166E3"/>
    <w:rsid w:val="68B91551"/>
    <w:rsid w:val="68EF0FB9"/>
    <w:rsid w:val="68EF2D67"/>
    <w:rsid w:val="68FE07C4"/>
    <w:rsid w:val="69233924"/>
    <w:rsid w:val="693D2737"/>
    <w:rsid w:val="695F613F"/>
    <w:rsid w:val="698E432E"/>
    <w:rsid w:val="69A51678"/>
    <w:rsid w:val="69B6118A"/>
    <w:rsid w:val="6A1567FD"/>
    <w:rsid w:val="6A16113C"/>
    <w:rsid w:val="6A276531"/>
    <w:rsid w:val="6AA76664"/>
    <w:rsid w:val="6AF50DCC"/>
    <w:rsid w:val="6B036F9E"/>
    <w:rsid w:val="6B146AB5"/>
    <w:rsid w:val="6B2B5C28"/>
    <w:rsid w:val="6B5E682D"/>
    <w:rsid w:val="6B791415"/>
    <w:rsid w:val="6B973810"/>
    <w:rsid w:val="6BA64490"/>
    <w:rsid w:val="6BC009EB"/>
    <w:rsid w:val="6BCF6E80"/>
    <w:rsid w:val="6BDD334B"/>
    <w:rsid w:val="6BFD1C3F"/>
    <w:rsid w:val="6C057C41"/>
    <w:rsid w:val="6C111246"/>
    <w:rsid w:val="6C6C7244"/>
    <w:rsid w:val="6CA43E69"/>
    <w:rsid w:val="6CB86256"/>
    <w:rsid w:val="6CD301AC"/>
    <w:rsid w:val="6CD97FB6"/>
    <w:rsid w:val="6CF87842"/>
    <w:rsid w:val="6D0B3EE8"/>
    <w:rsid w:val="6D1A412B"/>
    <w:rsid w:val="6D566C13"/>
    <w:rsid w:val="6D5835D1"/>
    <w:rsid w:val="6D843218"/>
    <w:rsid w:val="6DA02882"/>
    <w:rsid w:val="6DB6259F"/>
    <w:rsid w:val="6DD679D8"/>
    <w:rsid w:val="6E627897"/>
    <w:rsid w:val="6E696780"/>
    <w:rsid w:val="6E785F23"/>
    <w:rsid w:val="6E900B48"/>
    <w:rsid w:val="6EC922AC"/>
    <w:rsid w:val="6EFF5CCE"/>
    <w:rsid w:val="6F1C418A"/>
    <w:rsid w:val="6F405C47"/>
    <w:rsid w:val="6F4A1393"/>
    <w:rsid w:val="6F5645EB"/>
    <w:rsid w:val="6F5A6F67"/>
    <w:rsid w:val="6F8F7052"/>
    <w:rsid w:val="6FC1010C"/>
    <w:rsid w:val="6FEB05D0"/>
    <w:rsid w:val="6FFF2F39"/>
    <w:rsid w:val="70106DE6"/>
    <w:rsid w:val="7064403B"/>
    <w:rsid w:val="70763D6E"/>
    <w:rsid w:val="70AD3C34"/>
    <w:rsid w:val="70CB0343"/>
    <w:rsid w:val="70F058CE"/>
    <w:rsid w:val="712D191E"/>
    <w:rsid w:val="714140EF"/>
    <w:rsid w:val="715F5A90"/>
    <w:rsid w:val="71632544"/>
    <w:rsid w:val="71900E5F"/>
    <w:rsid w:val="71AB440F"/>
    <w:rsid w:val="71B0505E"/>
    <w:rsid w:val="71D04776"/>
    <w:rsid w:val="72037883"/>
    <w:rsid w:val="721F290F"/>
    <w:rsid w:val="723E5DB4"/>
    <w:rsid w:val="726522EC"/>
    <w:rsid w:val="72691DDC"/>
    <w:rsid w:val="72852C40"/>
    <w:rsid w:val="7297173B"/>
    <w:rsid w:val="729D36A9"/>
    <w:rsid w:val="7307165D"/>
    <w:rsid w:val="731F06ED"/>
    <w:rsid w:val="734A1D78"/>
    <w:rsid w:val="7354206C"/>
    <w:rsid w:val="735C724B"/>
    <w:rsid w:val="7363682B"/>
    <w:rsid w:val="7397635A"/>
    <w:rsid w:val="73AD3F4B"/>
    <w:rsid w:val="73D440D3"/>
    <w:rsid w:val="73EC37FA"/>
    <w:rsid w:val="74017DF2"/>
    <w:rsid w:val="740D2C3B"/>
    <w:rsid w:val="740F0877"/>
    <w:rsid w:val="746C5BB4"/>
    <w:rsid w:val="747674B1"/>
    <w:rsid w:val="748D6F51"/>
    <w:rsid w:val="74936C9D"/>
    <w:rsid w:val="749649DF"/>
    <w:rsid w:val="74B85EE0"/>
    <w:rsid w:val="74D86DA5"/>
    <w:rsid w:val="75047B9A"/>
    <w:rsid w:val="7512319D"/>
    <w:rsid w:val="75292E35"/>
    <w:rsid w:val="7530273D"/>
    <w:rsid w:val="754C32EF"/>
    <w:rsid w:val="75530B22"/>
    <w:rsid w:val="755A3C5E"/>
    <w:rsid w:val="75630D65"/>
    <w:rsid w:val="756C7564"/>
    <w:rsid w:val="75E83018"/>
    <w:rsid w:val="76313342"/>
    <w:rsid w:val="76360227"/>
    <w:rsid w:val="763A30BF"/>
    <w:rsid w:val="76405288"/>
    <w:rsid w:val="764A782F"/>
    <w:rsid w:val="76564426"/>
    <w:rsid w:val="76742E19"/>
    <w:rsid w:val="76873DFE"/>
    <w:rsid w:val="768F0D80"/>
    <w:rsid w:val="769211D6"/>
    <w:rsid w:val="76A03415"/>
    <w:rsid w:val="76FD1AC0"/>
    <w:rsid w:val="770E6AAE"/>
    <w:rsid w:val="774414D2"/>
    <w:rsid w:val="77492EC0"/>
    <w:rsid w:val="776E579F"/>
    <w:rsid w:val="7771703D"/>
    <w:rsid w:val="779B7EE5"/>
    <w:rsid w:val="77A17922"/>
    <w:rsid w:val="77AF09EF"/>
    <w:rsid w:val="77BF76CE"/>
    <w:rsid w:val="77DF669D"/>
    <w:rsid w:val="77EE0202"/>
    <w:rsid w:val="780659D7"/>
    <w:rsid w:val="781E0F73"/>
    <w:rsid w:val="782730D4"/>
    <w:rsid w:val="78397B5B"/>
    <w:rsid w:val="78C22246"/>
    <w:rsid w:val="78C31B1A"/>
    <w:rsid w:val="78C53AE4"/>
    <w:rsid w:val="78F02F79"/>
    <w:rsid w:val="790C34C1"/>
    <w:rsid w:val="79240792"/>
    <w:rsid w:val="792E50F3"/>
    <w:rsid w:val="794A3609"/>
    <w:rsid w:val="794C6296"/>
    <w:rsid w:val="794F0D84"/>
    <w:rsid w:val="795310F0"/>
    <w:rsid w:val="799C4845"/>
    <w:rsid w:val="79A35F22"/>
    <w:rsid w:val="79AC0800"/>
    <w:rsid w:val="79AE6327"/>
    <w:rsid w:val="79E166FC"/>
    <w:rsid w:val="7A0B19CB"/>
    <w:rsid w:val="7A173ECC"/>
    <w:rsid w:val="7A6510DB"/>
    <w:rsid w:val="7A811A56"/>
    <w:rsid w:val="7A862E00"/>
    <w:rsid w:val="7A8D0632"/>
    <w:rsid w:val="7ACD3ABC"/>
    <w:rsid w:val="7AFE508C"/>
    <w:rsid w:val="7B5E5E4F"/>
    <w:rsid w:val="7B8B4B71"/>
    <w:rsid w:val="7BC128E7"/>
    <w:rsid w:val="7BD62225"/>
    <w:rsid w:val="7BEE565F"/>
    <w:rsid w:val="7C0D1A2A"/>
    <w:rsid w:val="7C0D37D8"/>
    <w:rsid w:val="7C1A44EB"/>
    <w:rsid w:val="7C2154D6"/>
    <w:rsid w:val="7C3639F5"/>
    <w:rsid w:val="7C3C5E6C"/>
    <w:rsid w:val="7C490589"/>
    <w:rsid w:val="7C4B2553"/>
    <w:rsid w:val="7C4E5B9F"/>
    <w:rsid w:val="7C6B04FF"/>
    <w:rsid w:val="7C700617"/>
    <w:rsid w:val="7C857813"/>
    <w:rsid w:val="7CAB2FF1"/>
    <w:rsid w:val="7CCE5A5E"/>
    <w:rsid w:val="7D2D00A5"/>
    <w:rsid w:val="7D443324"/>
    <w:rsid w:val="7DAC5BB7"/>
    <w:rsid w:val="7DDD542C"/>
    <w:rsid w:val="7E1F3FB4"/>
    <w:rsid w:val="7E6C383C"/>
    <w:rsid w:val="7E762BF0"/>
    <w:rsid w:val="7E801D4F"/>
    <w:rsid w:val="7E927FC5"/>
    <w:rsid w:val="7E9567D4"/>
    <w:rsid w:val="7EB52E3A"/>
    <w:rsid w:val="7EBB39C0"/>
    <w:rsid w:val="7ED50D87"/>
    <w:rsid w:val="7EE54599"/>
    <w:rsid w:val="7EE95065"/>
    <w:rsid w:val="7F4C5A0D"/>
    <w:rsid w:val="7F5B2AAD"/>
    <w:rsid w:val="7F6F6558"/>
    <w:rsid w:val="7F792F33"/>
    <w:rsid w:val="7FA93FF5"/>
    <w:rsid w:val="7FEC5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方正黑体_GBK" w:cs="Times New Roman"/>
      <w:kern w:val="44"/>
      <w:sz w:val="32"/>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widowControl/>
      <w:ind w:left="1400" w:firstLine="1136"/>
      <w:outlineLvl w:val="2"/>
    </w:pPr>
    <w:rPr>
      <w:rFonts w:ascii="宋体" w:hAnsi="宋体" w:eastAsia="Times New Roman"/>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99"/>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rPr>
      <w:rFonts w:ascii="Times New Roman" w:hAnsi="Times New Roman" w:eastAsia="宋体" w:cs="Times New Roman"/>
      <w:szCs w:val="24"/>
    </w:rPr>
  </w:style>
  <w:style w:type="paragraph" w:styleId="10">
    <w:name w:val="List"/>
    <w:basedOn w:val="1"/>
    <w:qFormat/>
    <w:uiPriority w:val="0"/>
    <w:pPr>
      <w:ind w:left="200" w:hanging="200" w:hangingChars="200"/>
    </w:pPr>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和田正文1a"/>
    <w:basedOn w:val="1"/>
    <w:qFormat/>
    <w:uiPriority w:val="0"/>
    <w:pPr>
      <w:spacing w:line="560" w:lineRule="exact"/>
      <w:ind w:firstLine="1004" w:firstLineChars="200"/>
      <w:jc w:val="left"/>
    </w:pPr>
    <w:rPr>
      <w:kern w:val="0"/>
      <w:sz w:val="32"/>
      <w:szCs w:val="32"/>
      <w:lang w:bidi="en-US"/>
    </w:rPr>
  </w:style>
  <w:style w:type="paragraph" w:customStyle="1" w:styleId="17">
    <w:name w:val="和表1"/>
    <w:basedOn w:val="10"/>
    <w:qFormat/>
    <w:uiPriority w:val="0"/>
    <w:pPr>
      <w:tabs>
        <w:tab w:val="right" w:pos="0"/>
      </w:tabs>
      <w:spacing w:line="240" w:lineRule="atLeast"/>
      <w:ind w:firstLine="0" w:firstLineChars="0"/>
      <w:jc w:val="left"/>
    </w:pPr>
    <w:rPr>
      <w:rFonts w:hint="eastAsia"/>
      <w:kern w:val="0"/>
      <w:sz w:val="21"/>
      <w:szCs w:val="21"/>
      <w:lang w:bidi="en-US"/>
    </w:rPr>
  </w:style>
  <w:style w:type="paragraph" w:customStyle="1" w:styleId="18">
    <w:name w:val="Body text|1"/>
    <w:basedOn w:val="1"/>
    <w:qFormat/>
    <w:uiPriority w:val="0"/>
    <w:pPr>
      <w:spacing w:line="377" w:lineRule="auto"/>
      <w:ind w:firstLine="400" w:firstLineChars="200"/>
    </w:pPr>
    <w:rPr>
      <w:rFonts w:ascii="宋体" w:hAnsi="宋体" w:eastAsia="宋体" w:cs="宋体"/>
      <w:sz w:val="28"/>
      <w:szCs w:val="28"/>
      <w:lang w:val="zh-TW" w:eastAsia="zh-TW" w:bidi="zh-TW"/>
    </w:rPr>
  </w:style>
  <w:style w:type="paragraph" w:customStyle="1" w:styleId="19">
    <w:name w:val="和标1"/>
    <w:basedOn w:val="20"/>
    <w:qFormat/>
    <w:uiPriority w:val="0"/>
    <w:pPr>
      <w:spacing w:line="560" w:lineRule="exact"/>
    </w:pPr>
    <w:rPr>
      <w:rFonts w:hint="eastAsia" w:ascii="宋体" w:hAnsi="宋体"/>
      <w:lang w:bidi="en-US"/>
    </w:rPr>
  </w:style>
  <w:style w:type="paragraph" w:customStyle="1" w:styleId="20">
    <w:name w:val="闻政-正文一级标题"/>
    <w:basedOn w:val="4"/>
    <w:qFormat/>
    <w:uiPriority w:val="3"/>
    <w:pPr>
      <w:spacing w:before="120" w:after="60" w:line="500" w:lineRule="exact"/>
      <w:ind w:firstLine="0"/>
      <w:jc w:val="left"/>
      <w:outlineLvl w:val="0"/>
    </w:pPr>
    <w:rPr>
      <w:rFonts w:ascii="黑体" w:hAnsi="黑体" w:eastAsia="黑体"/>
      <w:bCs/>
      <w:kern w:val="0"/>
      <w:sz w:val="32"/>
      <w:szCs w:val="32"/>
    </w:rPr>
  </w:style>
  <w:style w:type="paragraph" w:customStyle="1" w:styleId="21">
    <w:name w:val="和标2"/>
    <w:basedOn w:val="1"/>
    <w:qFormat/>
    <w:uiPriority w:val="0"/>
    <w:pPr>
      <w:keepNext/>
      <w:keepLines/>
      <w:spacing w:line="560" w:lineRule="exact"/>
      <w:ind w:firstLine="1004" w:firstLineChars="200"/>
      <w:jc w:val="left"/>
      <w:outlineLvl w:val="1"/>
    </w:pPr>
    <w:rPr>
      <w:rFonts w:hint="eastAsia" w:ascii="楷体" w:hAnsi="楷体" w:eastAsia="楷体" w:cs="楷体"/>
      <w:b/>
      <w:bCs/>
      <w:kern w:val="0"/>
      <w:sz w:val="32"/>
      <w:szCs w:val="32"/>
    </w:r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character" w:customStyle="1" w:styleId="24">
    <w:name w:val="font11"/>
    <w:basedOn w:val="15"/>
    <w:qFormat/>
    <w:uiPriority w:val="0"/>
    <w:rPr>
      <w:rFonts w:hint="default" w:ascii="仿宋_GB2312" w:eastAsia="仿宋_GB2312" w:cs="仿宋_GB2312"/>
      <w:b/>
      <w:bCs/>
      <w:color w:val="000000"/>
      <w:sz w:val="22"/>
      <w:szCs w:val="22"/>
      <w:u w:val="none"/>
    </w:rPr>
  </w:style>
  <w:style w:type="character" w:customStyle="1" w:styleId="25">
    <w:name w:val="font51"/>
    <w:basedOn w:val="15"/>
    <w:qFormat/>
    <w:uiPriority w:val="0"/>
    <w:rPr>
      <w:rFonts w:hint="default" w:ascii="Times New Roman" w:hAnsi="Times New Roman" w:cs="Times New Roman"/>
      <w:b/>
      <w:bCs/>
      <w:color w:val="000000"/>
      <w:sz w:val="22"/>
      <w:szCs w:val="22"/>
      <w:u w:val="none"/>
    </w:rPr>
  </w:style>
  <w:style w:type="paragraph" w:customStyle="1" w:styleId="26">
    <w:name w:val="闻政正文"/>
    <w:basedOn w:val="1"/>
    <w:qFormat/>
    <w:uiPriority w:val="99"/>
    <w:pPr>
      <w:spacing w:line="500" w:lineRule="exact"/>
      <w:ind w:firstLine="560" w:firstLineChars="200"/>
    </w:pPr>
    <w:rPr>
      <w:sz w:val="28"/>
      <w:szCs w:val="28"/>
    </w:rPr>
  </w:style>
  <w:style w:type="paragraph" w:customStyle="1" w:styleId="27">
    <w:name w:val="目录 11"/>
    <w:basedOn w:val="1"/>
    <w:qFormat/>
    <w:uiPriority w:val="0"/>
    <w:rPr>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81723ed3-8bb9-454e-8dbc-bca092586b03</errorID>
      <errorWord>2026年08月</errorWord>
      <group>L1_Knowledge</group>
      <groupName>知识性问题</groupName>
      <ability>L2_Time</ability>
      <abilityName>日期时间</abilityName>
      <candidateList>
        <item>2026年8月</item>
      </candidateList>
      <explain>根据日常书写习惯，月份一般会省略前导零。</explain>
      <paraID>754EE4C3</paraID>
      <start>0</start>
      <end>7</end>
      <status>modified</status>
      <modifiedWord>2026年8月</modifiedWord>
      <trackRevisions>false</trackRevisions>
    </reviewItem>
    <reviewItem>
      <errorID>cb3bd511-7fd8-4b28-9573-286d605074c1</errorID>
      <errorWord>截至</errorWord>
      <group>L1_Punc</group>
      <groupName>标点问题</groupName>
      <ability>L2_Punc_CN</ability>
      <abilityName>标点符号问题</abilityName>
      <candidateList>
        <item>，截至</item>
      </candidateList>
      <explain/>
      <paraID>4A0D50F7</paraID>
      <start>28</start>
      <end>30</end>
      <status>ignored</status>
      <modifiedWord/>
      <trackRevisions>false</trackRevisions>
    </reviewItem>
    <reviewItem>
      <errorID>4cc5962a-d4f2-4271-b8f5-8e155e15d10d</errorID>
      <errorWord>：</errorWord>
      <group>L1_Format</group>
      <groupName>格式问题</groupName>
      <ability>L2_HalfPunc_CN</ability>
      <abilityName>全半角问题</abilityName>
      <candidateList>
        <item>:</item>
      </candidateList>
      <explain>文本全半角错误。</explain>
      <paraID>5F5C6FED</paraID>
      <start>62</start>
      <end>63</end>
      <status>modified</status>
      <modifiedWord>:</modifiedWord>
      <trackRevisions>false</trackRevisions>
    </reviewItem>
    <reviewItem>
      <errorID>621d97e7-5fcf-48d1-b014-f720c96222b5</errorID>
      <errorWord>：</errorWord>
      <group>L1_Format</group>
      <groupName>格式问题</groupName>
      <ability>L2_HalfPunc_CN</ability>
      <abilityName>全半角问题</abilityName>
      <candidateList>
        <item>:</item>
      </candidateList>
      <explain>文本全半角错误。</explain>
      <paraID>21172F6C</paraID>
      <start>2</start>
      <end>3</end>
      <status>modified</status>
      <modifiedWord>:</modifiedWord>
      <trackRevisions>false</trackRevisions>
    </reviewItem>
    <reviewItem>
      <errorID>62834061-467d-48ee-887a-801f1a5563e5</errorID>
      <errorWord>：</errorWord>
      <group>L1_Word</group>
      <groupName>字词问题</groupName>
      <ability>L2_Typo</ability>
      <abilityName>字词错误</abilityName>
      <candidateList>
        <item>的</item>
      </candidateList>
      <explain/>
      <paraID>4BEDCF90</paraID>
      <start>84</start>
      <end>85</end>
      <status>ignored</status>
      <modifiedWord/>
      <trackRevisions>false</trackRevisions>
    </reviewItem>
    <reviewItem>
      <errorID>485b4907-52eb-48f1-baed-4a2e5c825463</errorID>
      <errorWord>项目的</errorWord>
      <group>L1_Word</group>
      <groupName>字词问题</groupName>
      <ability>L2_Typo</ability>
      <abilityName>字词错误</abilityName>
      <candidateList>
        <item>项目</item>
      </candidateList>
      <explain/>
      <paraID>4BEDCF90</paraID>
      <start>89</start>
      <end>92</end>
      <status>ignored</status>
      <modifiedWord/>
      <trackRevisions>false</trackRevisions>
    </reviewItem>
    <reviewItem>
      <errorID>ecdd2a3a-0f26-4bb2-afb6-4640dcd2b1df</errorID>
      <errorWord>机构的</errorWord>
      <group>L1_Word</group>
      <groupName>字词问题</groupName>
      <ability>L2_Typo</ability>
      <abilityName>字词错误</abilityName>
      <candidateList>
        <item>机构</item>
      </candidateList>
      <explain/>
      <paraID>6E2A3842</paraID>
      <start>134</start>
      <end>137</end>
      <status>ignored</status>
      <modifiedWord/>
      <trackRevisions>false</trackRevisions>
    </reviewItem>
    <reviewItem>
      <errorID>46e40d47-7642-40fa-8618-a2c7f0015f68</errorID>
      <errorWord>，</errorWord>
      <group>L1_Punc</group>
      <groupName>标点问题</groupName>
      <ability>L2_Punc_CN</ability>
      <abilityName>标点符号问题</abilityName>
      <candidateList>
        <item>。</item>
      </candidateList>
      <explain/>
      <paraID> E8E3F10</paraID>
      <start>28</start>
      <end>29</end>
      <status>ignored</status>
      <modifiedWord/>
      <trackRevisions>false</trackRevisions>
    </reviewItem>
    <reviewItem>
      <errorID>15e290dc-2e47-4146-bfe5-460155f931c2</errorID>
      <errorWord>项目</errorWord>
      <group>L1_Punc</group>
      <groupName>标点问题</groupName>
      <ability>L2_Punc_CN</ability>
      <abilityName>标点符号问题</abilityName>
      <candidateList>
        <item>，项目</item>
      </candidateList>
      <explain/>
      <paraID> E8E3F10</paraID>
      <start>59</start>
      <end>61</end>
      <status>ignored</status>
      <modifiedWord/>
      <trackRevisions>false</trackRevisions>
    </reviewItem>
    <reviewItem>
      <errorID>822450c9-edff-4152-8a86-9f896e4fe38e</errorID>
      <errorWord>日至2026年</errorWord>
      <group>L1_Word</group>
      <groupName>字词问题</groupName>
      <ability>L2_Typo</ability>
      <abilityName>字词错误</abilityName>
      <candidateList>
        <item>日起至2026年</item>
      </candidateList>
      <explain/>
      <paraID>1CF92D3F</paraID>
      <start>425</start>
      <end>432</end>
      <status>unmodified</status>
      <modifiedWord/>
      <trackRevisions>false</trackRevisions>
    </reviewItem>
    <reviewItem>
      <errorID>1f49b5e9-1312-41b9-b687-08116b4bb078</errorID>
      <errorWord>开展2025年</errorWord>
      <group>L1_Word</group>
      <groupName>字词问题</groupName>
      <ability>L2_Typo</ability>
      <abilityName>字词错误</abilityName>
      <candidateList>
        <item>开展2025年度</item>
      </candidateList>
      <explain/>
      <paraID>1CF92D3F</paraID>
      <start>438</start>
      <end>445</end>
      <status>unmodified</status>
      <modifiedWord/>
      <trackRevisions>false</trackRevisions>
    </reviewItem>
    <reviewItem>
      <errorID>0c1226a1-cdd5-4c65-afba-442ecd67cac3</errorID>
      <errorWord>开展2025年</errorWord>
      <group>L1_Word</group>
      <groupName>字词问题</groupName>
      <ability>L2_Typo</ability>
      <abilityName>字词错误</abilityName>
      <candidateList>
        <item>开展2025年度</item>
      </candidateList>
      <explain/>
      <paraID>2A601CF5</paraID>
      <start>353</start>
      <end>360</end>
      <status>unmodified</status>
      <modifiedWord/>
      <trackRevisions>false</trackRevisions>
    </reviewItem>
    <reviewItem>
      <errorID>76920d72-0d50-4282-b74a-4c2a77822a42</errorID>
      <errorWord>，</errorWord>
      <group>L1_Punc</group>
      <groupName>标点问题</groupName>
      <ability>L2_Punc_CN</ability>
      <abilityName>标点符号问题</abilityName>
      <candidateList>
        <item>。</item>
      </candidateList>
      <explain/>
      <paraID>28B8AAD0</paraID>
      <start>91</start>
      <end>92</end>
      <status>ignored</status>
      <modifiedWord/>
      <trackRevisions>false</trackRevisions>
    </reviewItem>
    <reviewItem>
      <errorID>5c4b4f74-94b5-4175-987e-a81b45c043db</errorID>
      <errorWord>，</errorWord>
      <group>L1_Punc</group>
      <groupName>标点问题</groupName>
      <ability>L2_Punc_CN</ability>
      <abilityName>标点符号问题</abilityName>
      <candidateList>
        <item>、</item>
      </candidateList>
      <explain/>
      <paraID>28B8AAD0</paraID>
      <start>118</start>
      <end>119</end>
      <status>unmodified</status>
      <modifiedWord/>
      <trackRevisions>false</trackRevisions>
    </reviewItem>
    <reviewItem>
      <errorID>167cfa14-3c71-47ad-a508-a199150a8fac</errorID>
      <errorWord>，</errorWord>
      <group>L1_Punc</group>
      <groupName>标点问题</groupName>
      <ability>L2_Punc_CN</ability>
      <abilityName>标点符号问题</abilityName>
      <candidateList>
        <item>、</item>
      </candidateList>
      <explain/>
      <paraID>578FC1B8</paraID>
      <start>97</start>
      <end>98</end>
      <status>unmodified</status>
      <modifiedWord/>
      <trackRevisions>false</trackRevisions>
    </reviewItem>
    <reviewItem>
      <errorID>6d2060a1-3db1-40da-b63b-ed65b2195576</errorID>
      <errorWord>，</errorWord>
      <group>L1_Punc</group>
      <groupName>标点问题</groupName>
      <ability>L2_Punc_CN</ability>
      <abilityName>标点符号问题</abilityName>
      <candidateList>
        <item>、</item>
      </candidateList>
      <explain/>
      <paraID>578FC1B8</paraID>
      <start>113</start>
      <end>114</end>
      <status>unmodified</status>
      <modifiedWord/>
      <trackRevisions>false</trackRevisions>
    </reviewItem>
    <reviewItem>
      <errorID>69f016e1-0a3d-432a-927f-3d8bbe7246ec</errorID>
      <errorWord>：</errorWord>
      <group>L1_Format</group>
      <groupName>格式问题</groupName>
      <ability>L2_HalfPunc_CN</ability>
      <abilityName>全半角问题</abilityName>
      <candidateList>
        <item>:</item>
      </candidateList>
      <explain>文本全半角错误。</explain>
      <paraID>44BB802B</paraID>
      <start>63</start>
      <end>64</end>
      <status>modified</status>
      <modifiedWord>:</modifiedWord>
      <trackRevisions>false</trackRevisions>
    </reviewItem>
    <reviewItem>
      <errorID>09d6ab04-827b-42fb-9bbd-763e7274939a</errorID>
      <errorWord>：</errorWord>
      <group>L1_Format</group>
      <groupName>格式问题</groupName>
      <ability>L2_HalfPunc_CN</ability>
      <abilityName>全半角问题</abilityName>
      <candidateList>
        <item>:</item>
      </candidateList>
      <explain>文本全半角错误。</explain>
      <paraID> 2D64550</paraID>
      <start>2</start>
      <end>3</end>
      <status>modified</status>
      <modifiedWord>:</modifiedWord>
      <trackRevisions>false</trackRevisions>
    </reviewItem>
    <reviewItem>
      <errorID>f7a8ac0c-471f-4119-8dca-cc06eaafe1ab</errorID>
      <errorWord>至2025年12</errorWord>
      <group>L1_Word</group>
      <groupName>字词问题</groupName>
      <ability>L2_Typo</ability>
      <abilityName>字词错误</abilityName>
      <candidateList>
        <item>截至2025年12</item>
      </candidateList>
      <explain/>
      <paraID>35B0E75E</paraID>
      <start>29</start>
      <end>37</end>
      <status>unmodified</status>
      <modifiedWord/>
      <trackRevisions>false</trackRevisions>
    </reviewItem>
    <reviewItem>
      <errorID>d490b630-29f5-47e6-90ac-b08882cca9ca</errorID>
      <errorWord>，</errorWord>
      <group>L1_Word</group>
      <groupName>字词问题</groupName>
      <ability>L2_Typo</ability>
      <abilityName>字词错误</abilityName>
      <candidateList>
        <item>，以</item>
      </candidateList>
      <explain/>
      <paraID> E6E8E0D</paraID>
      <start>275</start>
      <end>276</end>
      <status>unmodified</status>
      <modifiedWord/>
      <trackRevisions>false</trackRevisions>
    </reviewItem>
    <reviewItem>
      <errorID>5dbd2bef-398f-40bd-a293-7f74fdc34df0</errorID>
      <errorWord>、</errorWord>
      <group>L1_Punc</group>
      <groupName>标点问题</groupName>
      <ability>L2_Punc_CN</ability>
      <abilityName>标点符号问题</abilityName>
      <candidateList>
        <item>，</item>
      </candidateList>
      <explain/>
      <paraID> 4B35A57</paraID>
      <start>47</start>
      <end>48</end>
      <status>unmodified</status>
      <modifiedWord/>
      <trackRevisions>false</trackRevisions>
    </reviewItem>
    <reviewItem>
      <errorID>1c0371c7-1960-46f6-85b2-0cba9567f3dc</errorID>
      <errorWord>、</errorWord>
      <group>L1_Punc</group>
      <groupName>标点问题</groupName>
      <ability>L2_Punc_CN</ability>
      <abilityName>标点符号问题</abilityName>
      <candidateList>
        <item>，</item>
      </candidateList>
      <explain/>
      <paraID> 4B35A57</paraID>
      <start>53</start>
      <end>54</end>
      <status>unmodified</status>
      <modifiedWord/>
      <trackRevisions>false</trackRevisions>
    </reviewItem>
    <reviewItem>
      <errorID>3c3e6b55-1ab9-4b38-9fb4-a9649d37b5c0</errorID>
      <errorWord>和</errorWord>
      <group>L1_Word</group>
      <groupName>字词问题</groupName>
      <ability>L2_Typo</ability>
      <abilityName>字词错误</abilityName>
      <candidateList>
        <item>，</item>
      </candidateList>
      <explain/>
      <paraID>6D6B7343</paraID>
      <start>17</start>
      <end>18</end>
      <status>unmodified</status>
      <modifiedWord/>
      <trackRevisions>false</trackRevisions>
    </reviewItem>
    <reviewItem>
      <errorID>1d96cefd-c122-4f1b-a045-6c4a04a03f96</errorID>
      <errorWord>内部</errorWord>
      <group>L1_Grammar</group>
      <groupName>语法问题</groupName>
      <ability>L2_Grammar</ability>
      <abilityName>语法错误</abilityName>
      <candidateList>
        <item>，进行内部</item>
      </candidateList>
      <explain/>
      <paraID>6D6B7343</paraID>
      <start>24</start>
      <end>26</end>
      <status>unmodified</status>
      <modifiedWord/>
      <trackRevisions>false</trackRevisions>
    </reviewItem>
    <reviewItem>
      <errorID>b536a757-3a4c-4bcc-bbdc-4cfce79a63b4</errorID>
      <errorWord>，</errorWord>
      <group>L1_Word</group>
      <groupName>字词问题</groupName>
      <ability>L2_Typo</ability>
      <abilityName>字词错误</abilityName>
      <candidateList>
        <item>和</item>
      </candidateList>
      <explain/>
      <paraID>25C6CFCE</paraID>
      <start>27</start>
      <end>28</end>
      <status>unmodified</status>
      <modifiedWord/>
      <trackRevisions>false</trackRevisions>
    </reviewItem>
    <reviewItem>
      <errorID>b53973b7-7e7a-4b99-8191-26dc2448746d</errorID>
      <errorWord>，整理及数据分析、</errorWord>
      <group>L1_Word</group>
      <groupName>字词问题</groupName>
      <ability>L2_Typo</ability>
      <abilityName>字词错误</abilityName>
      <candidateList>
        <item>、整理及数据分析，</item>
      </candidateList>
      <explain/>
      <paraID>7C58998A</paraID>
      <start>14</start>
      <end>23</end>
      <status>unmodified</status>
      <modifiedWord/>
      <trackRevisions>false</trackRevisions>
    </reviewItem>
    <reviewItem>
      <errorID>c3f520b5-7a8f-4b80-ad98-b278f0f64c0a</errorID>
      <errorWord>并</errorWord>
      <group>L1_Punc</group>
      <groupName>标点问题</groupName>
      <ability>L2_Punc_CN</ability>
      <abilityName>标点符号问题</abilityName>
      <candidateList>
        <item>，并</item>
      </candidateList>
      <explain/>
      <paraID>7C58998A</paraID>
      <start>34</start>
      <end>35</end>
      <status>unmodified</status>
      <modifiedWord/>
      <trackRevisions>false</trackRevisions>
    </reviewItem>
    <reviewItem>
      <errorID>4b746796-0d99-489f-9aed-6eb7b8da92c8</errorID>
      <errorWord>搜集</errorWord>
      <group>L1_Word</group>
      <groupName>字词问题</groupName>
      <ability>L2_Typo</ability>
      <abilityName>字词错误</abilityName>
      <candidateList>
        <item>收集</item>
      </candidateList>
      <explain/>
      <paraID>2C1BBE1D</paraID>
      <start>4</start>
      <end>6</end>
      <status>unmodified</status>
      <modifiedWord/>
      <trackRevisions>false</trackRevisions>
    </reviewItem>
    <reviewItem>
      <errorID>cf4ffea7-86dd-4bda-815d-c17898144362</errorID>
      <errorWord>搜集</errorWord>
      <group>L1_Word</group>
      <groupName>字词问题</groupName>
      <ability>L2_Typo</ability>
      <abilityName>字词错误</abilityName>
      <candidateList>
        <item>收集</item>
      </candidateList>
      <explain/>
      <paraID>12E48FE5</paraID>
      <start>4</start>
      <end>6</end>
      <status>unmodified</status>
      <modifiedWord/>
      <trackRevisions>false</trackRevisions>
    </reviewItem>
    <reviewItem>
      <errorID>22cf2f1b-aa5e-4ba5-82f3-5e56f0ae08c5</errorID>
      <errorWord>日至2026年</errorWord>
      <group>L1_Word</group>
      <groupName>字词问题</groupName>
      <ability>L2_Typo</ability>
      <abilityName>字词错误</abilityName>
      <candidateList>
        <item>日起至2026年</item>
      </candidateList>
      <explain/>
      <paraID>66E2AE9B</paraID>
      <start>17</start>
      <end>24</end>
      <status>unmodified</status>
      <modifiedWord/>
      <trackRevisions>false</trackRevisions>
    </reviewItem>
    <reviewItem>
      <errorID>209174c1-8157-412c-8c16-3bda0cfc45d0</errorID>
      <errorWord>日至2026年</errorWord>
      <group>L1_Word</group>
      <groupName>字词问题</groupName>
      <ability>L2_Typo</ability>
      <abilityName>字词错误</abilityName>
      <candidateList>
        <item>日起至2026年</item>
      </candidateList>
      <explain/>
      <paraID>48B6F287</paraID>
      <start>17</start>
      <end>24</end>
      <status>unmodified</status>
      <modifiedWord/>
      <trackRevisions>false</trackRevisions>
    </reviewItem>
    <reviewItem>
      <errorID>3bb6727b-c203-4360-b816-cafee985ce46</errorID>
      <errorWord>日至2026年</errorWord>
      <group>L1_Word</group>
      <groupName>字词问题</groupName>
      <ability>L2_Typo</ability>
      <abilityName>字词错误</abilityName>
      <candidateList>
        <item>日起至2026年</item>
      </candidateList>
      <explain/>
      <paraID>3FD9B021</paraID>
      <start>18</start>
      <end>25</end>
      <status>unmodified</status>
      <modifiedWord/>
      <trackRevisions>false</trackRevisions>
    </reviewItem>
    <reviewItem>
      <errorID>7b669fcc-ab2c-4c3b-b9c6-4cf6a2a79e44</errorID>
      <errorWord>日至2026年</errorWord>
      <group>L1_Word</group>
      <groupName>字词问题</groupName>
      <ability>L2_Typo</ability>
      <abilityName>字词错误</abilityName>
      <candidateList>
        <item>日起至2026年</item>
      </candidateList>
      <explain/>
      <paraID> CA2E37A</paraID>
      <start>17</start>
      <end>24</end>
      <status>unmodified</status>
      <modifiedWord/>
      <trackRevisions>false</trackRevisions>
    </reviewItem>
    <reviewItem>
      <errorID>ad92a650-928c-46bc-a967-a3e7da2ab498</errorID>
      <errorWord>日至2026年</errorWord>
      <group>L1_Word</group>
      <groupName>字词问题</groupName>
      <ability>L2_Typo</ability>
      <abilityName>字词错误</abilityName>
      <candidateList>
        <item>日起至2026年</item>
      </candidateList>
      <explain/>
      <paraID>63F8D476</paraID>
      <start>23</start>
      <end>30</end>
      <status>unmodified</status>
      <modifiedWord/>
      <trackRevisions>false</trackRevisions>
    </reviewItem>
    <reviewItem>
      <errorID>70e16dce-5525-4208-a500-2023f4ca1297</errorID>
      <errorWord>，</errorWord>
      <group>L1_Punc</group>
      <groupName>标点问题</groupName>
      <ability>L2_Punc_CN</ability>
      <abilityName>标点符号问题</abilityName>
      <candidateList>
        <item>、</item>
      </candidateList>
      <explain/>
      <paraID>746A83FA</paraID>
      <start>110</start>
      <end>111</end>
      <status>unmodified</status>
      <modifiedWord/>
      <trackRevisions>false</trackRevisions>
    </reviewItem>
    <reviewItem>
      <errorID>fd9ba911-9263-430e-b5c5-22835faaafa5</errorID>
      <errorWord>，</errorWord>
      <group>L1_Punc</group>
      <groupName>标点问题</groupName>
      <ability>L2_Punc_CN</ability>
      <abilityName>标点符号问题</abilityName>
      <candidateList>
        <item>、</item>
      </candidateList>
      <explain/>
      <paraID>746A83FA</paraID>
      <start>126</start>
      <end>127</end>
      <status>unmodified</status>
      <modifiedWord/>
      <trackRevisions>false</trackRevisions>
    </reviewItem>
    <reviewItem>
      <errorID>8036bad2-f70f-483b-9c6f-f8f1251a5b5f</errorID>
      <errorWord>：</errorWord>
      <group>L1_Grammar</group>
      <groupName>语法问题</groupName>
      <ability>L2_Grammar</ability>
      <abilityName>语法错误</abilityName>
      <candidateList>
        <item>的项目：</item>
      </candidateList>
      <explain/>
      <paraID> 3E6E481</paraID>
      <start>84</start>
      <end>85</end>
      <status>unmodified</status>
      <modifiedWord/>
      <trackRevisions>false</trackRevisions>
    </reviewItem>
    <reviewItem>
      <errorID>ab1e492e-0c1f-4da9-a582-e70e88f34f7e</errorID>
      <errorWord>》</errorWord>
      <group>L1_Word</group>
      <groupName>字词问题</groupName>
      <ability>L2_Typo</ability>
      <abilityName>字词错误</abilityName>
      <candidateList>
        <item>》和</item>
      </candidateList>
      <explain/>
      <paraID>1A9F844C</paraID>
      <start>29</start>
      <end>30</end>
      <status>ignored</status>
      <modifiedWord/>
      <trackRevisions>false</trackRevisions>
    </reviewItem>
    <reviewItem>
      <errorID>a5d668ab-781a-419d-9b21-08fe7afec447</errorID>
      <errorWord>、并</errorWord>
      <group>L1_Word</group>
      <groupName>字词问题</groupName>
      <ability>L2_Typo</ability>
      <abilityName>字词错误</abilityName>
      <candidateList>
        <item>，</item>
      </candidateList>
      <explain/>
      <paraID>1A9F844C</paraID>
      <start>69</start>
      <end>71</end>
      <status>unmodified</status>
      <modifiedWord/>
      <trackRevisions>false</trackRevisions>
    </reviewItem>
    <reviewItem>
      <errorID>6d6c5b84-18ea-4cd9-bdff-5fc9900c506b</errorID>
      <errorWord>）的通知</errorWord>
      <group>L1_Grammar</group>
      <groupName>语法问题</groupName>
      <ability>L2_Grammar</ability>
      <abilityName>语法错误</abilityName>
      <candidateList>
        <item>）</item>
      </candidateList>
      <explain/>
      <paraID>4B3062A8</paraID>
      <start>88</start>
      <end>92</end>
      <status>unmodified</status>
      <modifiedWord/>
      <trackRevisions>false</trackRevisions>
    </reviewItem>
    <reviewItem>
      <errorID>7ae59430-54fa-496a-be4c-073261c84730</errorID>
      <errorWord>与</errorWord>
      <group>L1_Punc</group>
      <groupName>标点问题</groupName>
      <ability>L2_Punc_CN</ability>
      <abilityName>标点符号问题</abilityName>
      <candidateList>
        <item>，与</item>
      </candidateList>
      <explain/>
      <paraID>658B7DAF</paraID>
      <start>95</start>
      <end>96</end>
      <status>unmodified</status>
      <modifiedWord/>
      <trackRevisions>false</trackRevisions>
    </reviewItem>
    <reviewItem>
      <errorID>73deb6cf-bbe9-46a5-8f22-9fa7f73c6146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2C3D14AB</paraID>
      <start>119</start>
      <end>120</end>
      <status>unmodified</status>
      <modifiedWord/>
      <trackRevisions>false</trackRevisions>
    </reviewItem>
    <reviewItem>
      <errorID>b70704ff-33cf-4af3-ad62-01c0858e8ee6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419E0457</paraID>
      <start>119</start>
      <end>122</end>
      <status>ignored</status>
      <modifiedWord/>
      <trackRevisions>false</trackRevisions>
    </reviewItem>
    <reviewItem>
      <errorID>bfcdb91e-2660-4dde-9075-c06dbc6be93d</errorID>
      <errorWord>制度的规定</errorWord>
      <group>L1_Grammar</group>
      <groupName>语法问题</groupName>
      <ability>L2_Grammar</ability>
      <abilityName>语法错误</abilityName>
      <candidateList>
        <item>制度</item>
      </candidateList>
      <explain/>
      <paraID>15A4FDFB</paraID>
      <start>13</start>
      <end>18</end>
      <status>unmodified</status>
      <modifiedWord/>
      <trackRevisions>false</trackRevisions>
    </reviewItem>
    <reviewItem>
      <errorID>16aaea0d-f9c0-4cb9-ad77-90e2a5d9914e</errorID>
      <errorWord>《</errorWord>
      <group>L1_Punc</group>
      <groupName>标点问题</groupName>
      <ability>L2_Punc_CN</ability>
      <abilityName>标点符号问题</abilityName>
      <candidateList>
        <item>、《</item>
      </candidateList>
      <explain/>
      <paraID>1A2A8C9C</paraID>
      <start>56</start>
      <end>57</end>
      <status>unmodified</status>
      <modifiedWord/>
      <trackRevisions>false</trackRevisions>
    </reviewItem>
    <reviewItem>
      <errorID>1134b44b-d8bf-43ed-b043-9ca04951f8d9</errorID>
      <errorWord>《</errorWord>
      <group>L1_Punc</group>
      <groupName>标点问题</groupName>
      <ability>L2_Punc_CN</ability>
      <abilityName>标点符号问题</abilityName>
      <candidateList>
        <item>、《</item>
      </candidateList>
      <explain/>
      <paraID> 965DC1D</paraID>
      <start>33</start>
      <end>34</end>
      <status>unmodified</status>
      <modifiedWord/>
      <trackRevisions>false</trackRevisions>
    </reviewItem>
    <reviewItem>
      <errorID>c35252ad-3ada-4fd7-83bd-ad781a2c329a</errorID>
      <errorWord>做出</errorWord>
      <group>L1_Word</group>
      <groupName>字词问题</groupName>
      <ability>L2_Typo</ability>
      <abilityName>字词错误</abilityName>
      <candidateList>
        <item>作出</item>
      </candidateList>
      <explain/>
      <paraID>76106B07</paraID>
      <start>111</start>
      <end>113</end>
      <status>unmodified</status>
      <modifiedWord/>
      <trackRevisions>false</trackRevisions>
    </reviewItem>
    <reviewItem>
      <errorID>d873b6ec-4027-4263-ba2d-5ccb223be864</errorID>
      <errorWord>“喀什市民政局2025年喀什市精康融合行动项目指标完成情况汇总表”</errorWord>
      <group>L1_Punc</group>
      <groupName>标点问题</groupName>
      <ability>L2_Punc_CN</ability>
      <abilityName>标点符号问题</abilityName>
      <candidateList>
        <item>《喀什市民政局2025年喀什市精康融合行动项目指标完成情况汇总表》</item>
      </candidateList>
      <explain/>
      <paraID>68B0E020</paraID>
      <start>4</start>
      <end>37</end>
      <status>unmodified</status>
      <modifiedWord/>
      <trackRevisions>false</trackRevisions>
    </reviewItem>
    <reviewItem>
      <errorID>3ad2d9c5-80e1-414d-9f78-e47e5c9fb33a</errorID>
      <errorWord>以及</errorWord>
      <group>L1_Punc</group>
      <groupName>标点问题</groupName>
      <ability>L2_Punc_CN</ability>
      <abilityName>标点符号问题</abilityName>
      <candidateList>
        <item>，以及</item>
      </candidateList>
      <explain/>
      <paraID>7D8F5D5D</paraID>
      <start>28</start>
      <end>30</end>
      <status>unmodified</status>
      <modifiedWord/>
      <trackRevisions>false</trackRevisions>
    </reviewItem>
    <reviewItem>
      <errorID>ce6fe72d-25d8-48bb-9410-1ac7cbcd2fdb</errorID>
      <errorWord>照片，显示</errorWord>
      <group>L1_Grammar</group>
      <groupName>语法问题</groupName>
      <ability>L2_Grammar</ability>
      <abilityName>语法错误</abilityName>
      <candidateList>
        <item>照片</item>
      </candidateList>
      <explain/>
      <paraID>7D8F5D5D</paraID>
      <start>71</start>
      <end>76</end>
      <status>unmodified</status>
      <modifiedWord/>
      <trackRevisions>false</trackRevisions>
    </reviewItem>
    <reviewItem>
      <errorID>386e5293-d452-4e07-be29-8ae7e78836b8</errorID>
      <errorWord>，</errorWord>
      <group>L1_Punc</group>
      <groupName>标点问题</groupName>
      <ability>L2_Punc_CN</ability>
      <abilityName>标点符号问题</abilityName>
      <candidateList>
        <item>。</item>
      </candidateList>
      <explain/>
      <paraID>7D8F5D5D</paraID>
      <start>97</start>
      <end>98</end>
      <status>ignored</status>
      <modifiedWord/>
      <trackRevisions>false</trackRevisions>
    </reviewItem>
    <reviewItem>
      <errorID>e34161e0-483c-49a4-9718-dbe82afb215e</errorID>
      <errorWord>以及</errorWord>
      <group>L1_Punc</group>
      <groupName>标点问题</groupName>
      <ability>L2_Punc_CN</ability>
      <abilityName>标点符号问题</abilityName>
      <candidateList>
        <item>，以及</item>
      </candidateList>
      <explain/>
      <paraID>4FEFFD5D</paraID>
      <start>37</start>
      <end>39</end>
      <status>unmodified</status>
      <modifiedWord/>
      <trackRevisions>false</trackRevisions>
    </reviewItem>
    <reviewItem>
      <errorID>c95e8e3e-fa4e-4812-b9a0-48a4f4233e67</errorID>
      <errorWord>，</errorWord>
      <group>L1_Punc</group>
      <groupName>标点问题</groupName>
      <ability>L2_Punc_CN</ability>
      <abilityName>标点符号问题</abilityName>
      <candidateList>
        <item>。</item>
      </candidateList>
      <explain/>
      <paraID>4FEFFD5D</paraID>
      <start>167</start>
      <end>168</end>
      <status>ignored</status>
      <modifiedWord/>
      <trackRevisions>false</trackRevisions>
    </reviewItem>
    <reviewItem>
      <errorID>19bceda4-f2cd-44ad-808b-b0e4732a2e59</errorID>
      <errorWord>，</errorWord>
      <group>L1_Punc</group>
      <groupName>标点问题</groupName>
      <ability>L2_Punc_CN</ability>
      <abilityName>标点符号问题</abilityName>
      <candidateList>
        <item>。</item>
      </candidateList>
      <explain/>
      <paraID>5AD9AA33</paraID>
      <start>122</start>
      <end>123</end>
      <status>ignored</status>
      <modifiedWord/>
      <trackRevisions>false</trackRevisions>
    </reviewItem>
    <reviewItem>
      <errorID>c91fa8db-33bc-4cfa-9497-25ba8e3a1d8d</errorID>
      <errorWord>以及</errorWord>
      <group>L1_Punc</group>
      <groupName>标点问题</groupName>
      <ability>L2_Punc_CN</ability>
      <abilityName>标点符号问题</abilityName>
      <candidateList>
        <item>，以及</item>
      </candidateList>
      <explain/>
      <paraID>2E07D3FF</paraID>
      <start>37</start>
      <end>39</end>
      <status>unmodified</status>
      <modifiedWord/>
      <trackRevisions>false</trackRevisions>
    </reviewItem>
    <reviewItem>
      <errorID>f47cf1f9-c63f-4892-b443-406e80130dc9</errorID>
      <errorWord>，</errorWord>
      <group>L1_Punc</group>
      <groupName>标点问题</groupName>
      <ability>L2_Punc_CN</ability>
      <abilityName>标点符号问题</abilityName>
      <candidateList>
        <item>。</item>
      </candidateList>
      <explain/>
      <paraID>2E07D3FF</paraID>
      <start>140</start>
      <end>141</end>
      <status>ignored</status>
      <modifiedWord/>
      <trackRevisions>false</trackRevisions>
    </reviewItem>
    <reviewItem>
      <errorID>0cb3bffc-54ed-468e-a838-95e70645e0a8</errorID>
      <errorWord>，</errorWord>
      <group>L1_Punc</group>
      <groupName>标点问题</groupName>
      <ability>L2_Punc_CN</ability>
      <abilityName>标点符号问题</abilityName>
      <candidateList>
        <item>、</item>
      </candidateList>
      <explain/>
      <paraID>2E07D3FF</paraID>
      <start>175</start>
      <end>176</end>
      <status>unmodified</status>
      <modifiedWord/>
      <trackRevisions>false</trackRevisions>
    </reviewItem>
    <reviewItem>
      <errorID>04d4bdc4-90de-41e1-83ad-85ad08d5cded</errorID>
      <errorWord>，</errorWord>
      <group>L1_Punc</group>
      <groupName>标点问题</groupName>
      <ability>L2_Punc_CN</ability>
      <abilityName>标点符号问题</abilityName>
      <candidateList>
        <item>、</item>
      </candidateList>
      <explain/>
      <paraID>2E07D3FF</paraID>
      <start>191</start>
      <end>192</end>
      <status>unmodified</status>
      <modifiedWord/>
      <trackRevisions>false</trackRevisions>
    </reviewItem>
    <reviewItem>
      <errorID>49a20eec-addf-4a63-aa99-c86ec315fbf9</errorID>
      <errorWord>》</errorWord>
      <group>L1_Word</group>
      <groupName>字词问题</groupName>
      <ability>L2_Typo</ability>
      <abilityName>字词错误</abilityName>
      <candidateList>
        <item>》和</item>
      </candidateList>
      <explain/>
      <paraID>10D51B27</paraID>
      <start>28</start>
      <end>29</end>
      <status>ignored</status>
      <modifiedWord/>
      <trackRevisions>false</trackRevisions>
    </reviewItem>
    <reviewItem>
      <errorID>71477b79-4cd1-4ddd-a635-37220db9bce3</errorID>
      <errorWord>100</errorWord>
      <group>L1_Grammar</group>
      <groupName>语法问题</groupName>
      <ability>L2_Grammar</ability>
      <abilityName>语法错误</abilityName>
      <candidateList>
        <item>率达100</item>
      </candidateList>
      <explain/>
      <paraID>5155C0E4</paraID>
      <start>63</start>
      <end>66</end>
      <status>unmodified</status>
      <modifiedWord/>
      <trackRevisions>false</trackRevisions>
    </reviewItem>
    <reviewItem>
      <errorID>3c1b25ab-bd06-4f50-a34b-d863370dbf8b</errorID>
      <errorWord>以及</errorWord>
      <group>L1_Punc</group>
      <groupName>标点问题</groupName>
      <ability>L2_Punc_CN</ability>
      <abilityName>标点符号问题</abilityName>
      <candidateList>
        <item>，以及</item>
      </candidateList>
      <explain/>
      <paraID> 770928B</paraID>
      <start>36</start>
      <end>38</end>
      <status>unmodified</status>
      <modifiedWord/>
      <trackRevisions>false</trackRevisions>
    </reviewItem>
    <reviewItem>
      <errorID>066fa068-d835-4488-a650-b8df1d644f44</errorID>
      <errorWord>“国库集中支付凭证”</errorWord>
      <group>L1_Punc</group>
      <groupName>标点问题</groupName>
      <ability>L2_Punc_CN</ability>
      <abilityName>标点符号问题</abilityName>
      <candidateList>
        <item>《国库集中支付凭证》</item>
      </candidateList>
      <explain/>
      <paraID>112B558C</paraID>
      <start>3</start>
      <end>13</end>
      <status>unmodified</status>
      <modifiedWord/>
      <trackRevisions>false</trackRevisions>
    </reviewItem>
    <reviewItem>
      <errorID>94b1e6cc-2d27-4b6e-a3bb-d64a84045d1c</errorID>
      <errorWord>“喀什市民政局2025年喀什市精康融合行动项目指标完成情况汇总表”</errorWord>
      <group>L1_Punc</group>
      <groupName>标点问题</groupName>
      <ability>L2_Punc_CN</ability>
      <abilityName>标点符号问题</abilityName>
      <candidateList>
        <item>《喀什市民政局2025年喀什市精康融合行动项目指标完成情况汇总表》</item>
      </candidateList>
      <explain/>
      <paraID>4F95ED77</paraID>
      <start>4</start>
      <end>37</end>
      <status>unmodified</status>
      <modifiedWord/>
      <trackRevisions>false</trackRevisions>
    </reviewItem>
    <reviewItem>
      <errorID>f585ca81-2138-4d31-b14e-7c21cf37f6c1</errorID>
      <errorWord>，</errorWord>
      <group>L1_Punc</group>
      <groupName>标点问题</groupName>
      <ability>L2_Punc_CN</ability>
      <abilityName>标点符号问题</abilityName>
      <candidateList>
        <item>；</item>
      </candidateList>
      <explain/>
      <paraID>4F95ED77</paraID>
      <start>95</start>
      <end>96</end>
      <status>unmodified</status>
      <modifiedWord/>
      <trackRevisions>false</trackRevisions>
    </reviewItem>
    <reviewItem>
      <errorID>e3e74199-e7ba-46fb-9924-efb999b84962</errorID>
      <errorWord>，</errorWord>
      <group>L1_Punc</group>
      <groupName>标点问题</groupName>
      <ability>L2_Punc_CN</ability>
      <abilityName>标点符号问题</abilityName>
      <candidateList>
        <item>。</item>
      </candidateList>
      <explain/>
      <paraID>4F95ED77</paraID>
      <start>122</start>
      <end>123</end>
      <status>ignored</status>
      <modifiedWord/>
      <trackRevisions>false</trackRevisions>
    </reviewItem>
    <reviewItem>
      <errorID>2286c93d-c779-43c7-9e8f-9431a787d258</errorID>
      <errorWord>“2025年喀什市民政局工作总结”，通过</errorWord>
      <group>L1_Grammar</group>
      <groupName>语法问题</groupName>
      <ability>L2_Grammar</ability>
      <abilityName>语法错误</abilityName>
      <candidateList>
        <item>《2025年喀什市民政局工作总结》，</item>
      </candidateList>
      <explain/>
      <paraID>1658ADE6</paraID>
      <start>4</start>
      <end>24</end>
      <status>unmodified</status>
      <modifiedWord/>
      <trackRevisions>false</trackRevisions>
    </reviewItem>
    <reviewItem>
      <errorID>ffcf258b-0961-4265-af54-fdbf38209ce2</errorID>
      <errorWord>主要的</errorWord>
      <group>L1_Word</group>
      <groupName>字词问题</groupName>
      <ability>L2_Typo</ability>
      <abilityName>字词错误</abilityName>
      <candidateList>
        <item>主要</item>
      </candidateList>
      <explain/>
      <paraID> 25D91F3</paraID>
      <start>2</start>
      <end>5</end>
      <status>unmodified</status>
      <modifiedWord/>
      <trackRevisions>false</trackRevisions>
    </reviewItem>
    <reviewItem>
      <errorID>ef76eac2-187f-4af0-acdb-c2350b6ee065</errorID>
      <errorWord>主要的</errorWord>
      <group>L1_Word</group>
      <groupName>字词问题</groupName>
      <ability>L2_Typo</ability>
      <abilityName>字词错误</abilityName>
      <candidateList>
        <item>主要</item>
      </candidateList>
      <explain/>
      <paraID>795A158A</paraID>
      <start>3</start>
      <end>6</end>
      <status>unmodified</status>
      <modifiedWord/>
      <trackRevisions>false</trackRevisions>
    </reviewItem>
    <reviewItem>
      <errorID>29709abd-832b-4692-b3e8-c785e718c42a</errorID>
      <errorWord>项目</errorWord>
      <group>L1_Punc</group>
      <groupName>标点问题</groupName>
      <ability>L2_Punc_CN</ability>
      <abilityName>标点符号问题</abilityName>
      <candidateList>
        <item>。项目</item>
      </candidateList>
      <explain/>
      <paraID>2A3AB35E</paraID>
      <start>59</start>
      <end>61</end>
      <status>unmodified</status>
      <modifiedWord/>
      <trackRevisions>false</trackRevisions>
    </reviewItem>
    <reviewItem>
      <errorID>2ce9a1ec-194f-42ed-94f3-156f2ee49ea8</errorID>
      <errorWord>，</errorWord>
      <group>L1_Punc</group>
      <groupName>标点问题</groupName>
      <ability>L2_Punc_CN</ability>
      <abilityName>标点符号问题</abilityName>
      <candidateList>
        <item>、</item>
      </candidateList>
      <explain/>
      <paraID>4C4C36B8</paraID>
      <start>206</start>
      <end>207</end>
      <status>unmodified</status>
      <modifiedWord/>
      <trackRevisions>false</trackRevisions>
    </reviewItem>
    <reviewItem>
      <errorID>77787958-57ad-4fca-8cbe-07dbe5b2c152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7C8AD4DC</paraID>
      <start>254</start>
      <end>255</end>
      <status>unmodified</status>
      <modifiedWord/>
      <trackRevisions>false</trackRevisions>
    </reviewItem>
    <reviewItem>
      <errorID>6ca419e8-d6e6-4071-a013-a37cdc63c7b6</errorID>
      <errorWord>：</errorWord>
      <group>L1_Format</group>
      <groupName>格式问题</groupName>
      <ability>L2_HalfPunc_CN</ability>
      <abilityName>全半角问题</abilityName>
      <candidateList>
        <item>:</item>
      </candidateList>
      <explain>文本全半角错误。</explain>
      <paraID>6E20F0E1</paraID>
      <start>3</start>
      <end>4</end>
      <status>modified</status>
      <modifiedWord>:</modifiedWord>
      <trackRevisions>false</trackRevisions>
    </reviewItem>
    <reviewItem>
      <errorID>97c70910-6454-4f5b-b74c-ffc518fd2e04</errorID>
      <errorWord>喀什市</errorWord>
      <group>L1_Punc</group>
      <groupName>标点问题</groupName>
      <ability>L2_Punc_CN</ability>
      <abilityName>标点符号问题</abilityName>
      <candidateList>
        <item>〈喀什市</item>
      </candidateList>
      <explain/>
      <paraID>63C0EBEB</paraID>
      <start>96</start>
      <end>99</end>
      <status>unmodified</status>
      <modifiedWord/>
      <trackRevisions>false</trackRevisions>
    </reviewItem>
    <reviewItem>
      <errorID>ed3604b9-624a-4f5b-9355-dbcdd0939e83</errorID>
      <errorWord>》</errorWord>
      <group>L1_Punc</group>
      <groupName>标点问题</groupName>
      <ability>L2_Punc_CN</ability>
      <abilityName>标点符号问题</abilityName>
      <candidateList>
        <item>〉</item>
      </candidateList>
      <explain/>
      <paraID>63C0EBEB</paraID>
      <start>118</start>
      <end>119</end>
      <status>unmodified</status>
      <modifiedWord/>
      <trackRevisions>false</trackRevisions>
    </reviewItem>
    <reviewItem>
      <errorID>c7ec69fc-3898-4234-83a7-4992660a4654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63C0EBEB</paraID>
      <start>122</start>
      <end>123</end>
      <status>unmodified</status>
      <modifiedWord/>
      <trackRevisions>false</trackRevisions>
    </reviewItem>
    <reviewItem>
      <errorID>3cc8e239-32f7-4ad1-aad8-aa3bb03673bd</errorID>
      <errorWord>得</errorWord>
      <group>L1_Word</group>
      <groupName>字词问题</groupName>
      <ability>L2_DDD</ability>
      <abilityName>的地得用法</abilityName>
      <candidateList>
        <item>的</item>
      </candidateList>
      <explain/>
      <paraID> 344F5DE</paraID>
      <start>10</start>
      <end>11</end>
      <status>unmodified</status>
      <modifiedWord/>
      <trackRevisions>false</trackRevisions>
    </reviewItem>
    <reviewItem>
      <errorID>e2c2c9d6-40e2-43a7-8537-4a9b91e34ae5</errorID>
      <errorWord>服务精神障碍康患者人数</errorWord>
      <group>L1_Other</group>
      <groupName>其他问题</groupName>
      <ability>L2_Consistency</ability>
      <abilityName>一致性检查</abilityName>
      <candidateList>
        <item>服务精神障碍患者人数</item>
      </candidateList>
      <explain>实体一致性错误，全文同类指标均统一表述为“服务精神障碍患者人数”，此处多写“康”字，表述不一致</explain>
      <paraID>62BE1954</paraID>
      <start>5</start>
      <end>15</end>
      <status>modified</status>
      <modifiedWord>服务精神障碍患者人数</modifiedWord>
      <trackRevisions>false</trackRevisions>
    </reviewItem>
    <reviewItem>
      <errorID>ff2ce638-6049-44d8-8f8a-473d587e174f</errorID>
      <errorWord>》</errorWord>
      <group>L1_Word</group>
      <groupName>字词问题</groupName>
      <ability>L2_Typo</ability>
      <abilityName>字词错误</abilityName>
      <candidateList>
        <item>》和</item>
      </candidateList>
      <explain/>
      <paraID>3BFDD720</paraID>
      <start>29</start>
      <end>30</end>
      <status>ignored</status>
      <modifiedWord/>
      <trackRevisions>false</trackRevisions>
    </reviewItem>
    <reviewItem>
      <errorID>91be8b2f-3d8a-4ffc-a7ed-c06ee16a78dd</errorID>
      <errorWord>）的通知</errorWord>
      <group>L1_Grammar</group>
      <groupName>语法问题</groupName>
      <ability>L2_Grammar</ability>
      <abilityName>语法错误</abilityName>
      <candidateList>
        <item>）</item>
      </candidateList>
      <explain/>
      <paraID>39358B6A</paraID>
      <start>88</start>
      <end>92</end>
      <status>unmodified</status>
      <modifiedWord/>
      <trackRevisions>false</trackRevisions>
    </reviewItem>
    <reviewItem>
      <errorID>3b7d9c83-9c0a-454b-a8cc-7889063d363a</errorID>
      <errorWord>与</errorWord>
      <group>L1_Punc</group>
      <groupName>标点问题</groupName>
      <ability>L2_Punc_CN</ability>
      <abilityName>标点符号问题</abilityName>
      <candidateList>
        <item>，与</item>
      </candidateList>
      <explain/>
      <paraID>28BF4756</paraID>
      <start>95</start>
      <end>96</end>
      <status>unmodified</status>
      <modifiedWord/>
      <trackRevisions>false</trackRevisions>
    </reviewItem>
    <reviewItem>
      <errorID>31d67b8e-1c27-4ae5-b583-18ccbb901c5d</errorID>
      <errorWord>,</errorWord>
      <group>L1_Punc</group>
      <groupName>标点问题</groupName>
      <ability>L2_Punc_CN</ability>
      <abilityName>标点符号问题</abilityName>
      <candidateList>
        <item>。</item>
      </candidateList>
      <explain/>
      <paraID>28BF4756</paraID>
      <start>101</start>
      <end>102</end>
      <status>unmodified</status>
      <modifiedWord/>
      <trackRevisions>false</trackRevisions>
    </reviewItem>
    <reviewItem>
      <errorID>acd564f3-e720-4826-b93e-95a492fadbbf</errorID>
      <errorWord> </errorWord>
      <group>L1_Punc</group>
      <groupName>标点问题</groupName>
      <ability>L2_Punc_CN</ability>
      <abilityName>标点符号问题</abilityName>
      <candidateList>
        <item/>
      </candidateList>
      <explain>此处空格冗余，建议删除。</explain>
      <paraID>76DDAE16</paraID>
      <start>27</start>
      <end>27</end>
      <status>modified</status>
      <modifiedWord/>
      <trackRevisions>false</trackRevisions>
    </reviewItem>
    <reviewItem>
      <errorID>a70c7858-6fe4-458a-a677-7f0750d5971b</errorID>
      <errorWord>(</errorWord>
      <group>L1_Format</group>
      <groupName>格式问题</groupName>
      <ability>L2_HalfPunc_CN</ability>
      <abilityName>全半角问题</abilityName>
      <candidateList>
        <item>（</item>
      </candidateList>
      <explain>文本全半角错误。</explain>
      <paraID>253F4CB3</paraID>
      <start>154</start>
      <end>155</end>
      <status>modified</status>
      <modifiedWord>（</modifiedWord>
      <trackRevisions>false</trackRevisions>
    </reviewItem>
    <reviewItem>
      <errorID>efc726ff-6b73-41f2-8e1e-397041085fd5</errorID>
      <errorWord>)</errorWord>
      <group>L1_Format</group>
      <groupName>格式问题</groupName>
      <ability>L2_HalfPunc_CN</ability>
      <abilityName>全半角问题</abilityName>
      <candidateList>
        <item>）</item>
      </candidateList>
      <explain>文本全半角错误。</explain>
      <paraID>253F4CB3</paraID>
      <start>167</start>
      <end>168</end>
      <status>modified</status>
      <modifiedWord>）</modifiedWord>
      <trackRevisions>false</trackRevisions>
    </reviewItem>
    <reviewItem>
      <errorID>a22a8d2a-d9fa-4d4f-9b56-c09d5562e20e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6743C84D</paraID>
      <start>119</start>
      <end>122</end>
      <status>ignored</status>
      <modifiedWord/>
      <trackRevisions>false</trackRevisions>
    </reviewItem>
    <reviewItem>
      <errorID>7bf495ff-4ff1-4865-9851-b5f18c5c6388</errorID>
      <errorWord>制度的规定</errorWord>
      <group>L1_Grammar</group>
      <groupName>语法问题</groupName>
      <ability>L2_Grammar</ability>
      <abilityName>语法错误</abilityName>
      <candidateList>
        <item>制度</item>
      </candidateList>
      <explain/>
      <paraID>43E0E48F</paraID>
      <start>13</start>
      <end>18</end>
      <status>unmodified</status>
      <modifiedWord/>
      <trackRevisions>false</trackRevisions>
    </reviewItem>
    <reviewItem>
      <errorID>a6b318f4-3bdc-4d4f-a15a-f6de8ef9a9cf</errorID>
      <errorWord>规 定</errorWord>
      <group>L1_Word</group>
      <groupName>字词问题</groupName>
      <ability>L2_Typo</ability>
      <abilityName>字词错误</abilityName>
      <candidateList>
        <item>规定</item>
      </candidateList>
      <explain/>
      <paraID>6E044A9B</paraID>
      <start>115</start>
      <end>118</end>
      <status>unmodified</status>
      <modifiedWord/>
      <trackRevisions>false</trackRevisions>
    </reviewItem>
    <reviewItem>
      <errorID>5fb58af5-09b6-425f-b300-d51f8854ac4e</errorID>
      <errorWord>做出</errorWord>
      <group>L1_Word</group>
      <groupName>字词问题</groupName>
      <ability>L2_Typo</ability>
      <abilityName>字词错误</abilityName>
      <candidateList>
        <item>作出</item>
      </candidateList>
      <explain/>
      <paraID>6E044A9B</paraID>
      <start>127</start>
      <end>129</end>
      <status>unmodified</status>
      <modifiedWord/>
      <trackRevisions>false</trackRevisions>
    </reviewItem>
    <reviewItem>
      <errorID>138a37f8-a6d6-48c1-955e-8a7f145d9d56</errorID>
      <errorWord>）的</errorWord>
      <group>L1_Word</group>
      <groupName>字词问题</groupName>
      <ability>L2_Typo</ability>
      <abilityName>字词错误</abilityName>
      <candidateList>
        <item>）</item>
      </candidateList>
      <explain/>
      <paraID>339F7CE9</paraID>
      <start>13</start>
      <end>15</end>
      <status>unmodified</status>
      <modifiedWord/>
      <trackRevisions>false</trackRevisions>
    </reviewItem>
    <reviewItem>
      <errorID>53d5b4a2-f3cd-4db3-b701-a43c94c2cd8a</errorID>
      <errorWord>得</errorWord>
      <group>L1_Word</group>
      <groupName>字词问题</groupName>
      <ability>L2_Typo</ability>
      <abilityName>字词错误</abilityName>
      <candidateList>
        <item>的</item>
      </candidateList>
      <explain/>
      <paraID>3FCAA618</paraID>
      <start>28</start>
      <end>29</end>
      <status>unmodified</status>
      <modifiedWord/>
      <trackRevisions>false</trackRevisions>
    </reviewItem>
    <reviewItem>
      <errorID>8826dd7d-4669-4007-b19e-7184b284c773</errorID>
      <errorWord>批评分标准</errorWord>
      <group>L1_Word</group>
      <groupName>字词问题</groupName>
      <ability>L2_Typo</ability>
      <abilityName>字词错误</abilityName>
      <candidateList>
        <item>评分标准</item>
      </candidateList>
      <explain/>
      <paraID>3FCAA618</paraID>
      <start>95</start>
      <end>100</end>
      <status>unmodified</status>
      <modifiedWord/>
      <trackRevisions>false</trackRevisions>
    </reviewItem>
    <reviewItem>
      <errorID>8e76601b-dd3f-4fc0-b076-63095d325660</errorID>
      <errorWord>290为精康患者</errorWord>
      <group>L1_Other</group>
      <groupName>其他问题</groupName>
      <ability>L2_Consistency</ability>
      <abilityName>一致性检查</abilityName>
      <candidateList>
        <item>290位精康患者</item>
      </candidateList>
      <explain>实体一致性错误，原文此处应为数量表述的正确用字，前后同类表述均使用“位”，此处用字不一致</explain>
      <paraID> 2F9045B</paraID>
      <start>174</start>
      <end>182</end>
      <status>unmodified</status>
      <modifiedWord/>
      <trackRevisions>false</trackRevisions>
    </reviewItem>
    <reviewItem>
      <errorID>0817da79-b6a8-44b8-8120-4b1b8dfa8cae</errorID>
      <errorWord>服务精神障碍康患者人数</errorWord>
      <group>L1_Other</group>
      <groupName>其他问题</groupName>
      <ability>L2_Consistency</ability>
      <abilityName>一致性检查</abilityName>
      <candidateList>
        <item>服务精神障碍患者人数</item>
      </candidateList>
      <explain>实体一致性错误，全文同类指标均统一表述为“服务精神障碍患者人数”，此处多写“康”字，表述不一致</explain>
      <paraID>498D88E3</paraID>
      <start>0</start>
      <end>10</end>
      <status>modified</status>
      <modifiedWord>服务精神障碍患者人数</modifiedWord>
      <trackRevisions>false</trackRevisions>
    </reviewItem>
    <reviewItem>
      <errorID>dbadaa71-25e2-4f60-997b-659791682c55</errorID>
      <errorWord>(</errorWord>
      <group>L1_Format</group>
      <groupName>格式问题</groupName>
      <ability>L2_HalfPunc_CN</ability>
      <abilityName>全半角问题</abilityName>
      <candidateList>
        <item>（</item>
      </candidateList>
      <explain>文本全半角错误。</explain>
      <paraID> 7DF19BA</paraID>
      <start>8</start>
      <end>9</end>
      <status>modified</status>
      <modifiedWord>（</modifiedWord>
      <trackRevisions>false</trackRevisions>
    </reviewItem>
    <reviewItem>
      <errorID>bc0d4174-cdfa-4f29-91f6-554604f7526a</errorID>
      <errorWord>照片，显示</errorWord>
      <group>L1_Grammar</group>
      <groupName>语法问题</groupName>
      <ability>L2_Grammar</ability>
      <abilityName>语法错误</abilityName>
      <candidateList>
        <item>照片</item>
      </candidateList>
      <explain/>
      <paraID> 7DF19BA</paraID>
      <start>71</start>
      <end>76</end>
      <status>unmodified</status>
      <modifiedWord/>
      <trackRevisions>false</trackRevisions>
    </reviewItem>
    <reviewItem>
      <errorID>623a79a9-8d4a-479f-bde9-4bfcb3d524c2</errorID>
      <errorWord>(</errorWord>
      <group>L1_Punc</group>
      <groupName>标点问题</groupName>
      <ability>L2_Punc_CN</ability>
      <abilityName>标点符号问题</abilityName>
      <candidateList>
        <item>（</item>
      </candidateList>
      <explain/>
      <paraID>34EF1B3A</paraID>
      <start>167</start>
      <end>168</end>
      <status>unmodified</status>
      <modifiedWord/>
      <trackRevisions>false</trackRevisions>
    </reviewItem>
    <reviewItem>
      <errorID>a7a4e7e2-d059-44f9-8f3e-5f1d1a769111</errorID>
      <errorWord>助 残日，</errorWord>
      <group>L1_Word</group>
      <groupName>字词问题</groupName>
      <ability>L2_Typo</ability>
      <abilityName>字词错误</abilityName>
      <candidateList>
        <item>助残日、</item>
      </candidateList>
      <explain/>
      <paraID>34EF1B3A</paraID>
      <start>172</start>
      <end>176</end>
      <status>modified</status>
      <modifiedWord>助残日、</modifiedWord>
      <trackRevisions>false</trackRevisions>
    </reviewItem>
    <reviewItem>
      <errorID>001cabc2-7560-492e-926b-a81a76873c14</errorID>
      <errorWord>，</errorWord>
      <group>L1_Punc</group>
      <groupName>标点问题</groupName>
      <ability>L2_Punc_CN</ability>
      <abilityName>标点符号问题</abilityName>
      <candidateList>
        <item>、</item>
      </candidateList>
      <explain/>
      <paraID>34EF1B3A</paraID>
      <start>191</start>
      <end>192</end>
      <status>unmodified</status>
      <modifiedWord/>
      <trackRevisions>false</trackRevisions>
    </reviewItem>
    <reviewItem>
      <errorID>01bfb2fc-4db2-4cdd-88b8-f4104856a94e</errorID>
      <errorWord>)</errorWord>
      <group>L1_Format</group>
      <groupName>格式问题</groupName>
      <ability>L2_HalfPunc_CN</ability>
      <abilityName>全半角问题</abilityName>
      <candidateList>
        <item>）</item>
      </candidateList>
      <explain>文本全半角错误。</explain>
      <paraID>34EF1B3A</paraID>
      <start>197</start>
      <end>198</end>
      <status>modified</status>
      <modifiedWord>）</modifiedWord>
      <trackRevisions>false</trackRevisions>
    </reviewItem>
    <reviewItem>
      <errorID>06d37b7e-3215-44cd-8df5-bb702aac9f12</errorID>
      <errorWord>(精康患者)</errorWord>
      <group>L1_Punc</group>
      <groupName>标点问题</groupName>
      <ability>L2_Punc_CN</ability>
      <abilityName>标点符号问题</abilityName>
      <candidateList>
        <item>（精康患者）</item>
      </candidateList>
      <explain/>
      <paraID>34EF1B3A</paraID>
      <start>203</start>
      <end>209</end>
      <status>modified</status>
      <modifiedWord>（精康患者）</modifiedWord>
      <trackRevisions>false</trackRevisions>
    </reviewItem>
    <reviewItem>
      <errorID>69429dbf-ddae-48e3-82d0-be3b5e779cfe</errorID>
      <errorWord>(家属)</errorWord>
      <group>L1_Punc</group>
      <groupName>标点问题</groupName>
      <ability>L2_Punc_CN</ability>
      <abilityName>标点符号问题</abilityName>
      <candidateList>
        <item>（家属）</item>
      </candidateList>
      <explain/>
      <paraID>34EF1B3A</paraID>
      <start>265</start>
      <end>269</end>
      <status>modified</status>
      <modifiedWord>（家属）</modifiedWord>
      <trackRevisions>false</trackRevisions>
    </reviewItem>
    <reviewItem>
      <errorID>c3c2cd5b-3601-414e-a0e0-83872f5686af</errorID>
      <errorWord> </errorWord>
      <group>L1_Punc</group>
      <groupName>标点问题</groupName>
      <ability>L2_Punc_CN</ability>
      <abilityName>标点符号问题</abilityName>
      <candidateList>
        <item/>
      </candidateList>
      <explain>此处空格冗余，建议删除。</explain>
      <paraID>34EF1B3A</paraID>
      <start>276</start>
      <end>276</end>
      <status>modified</status>
      <modifiedWord/>
      <trackRevisions>false</trackRevisions>
    </reviewItem>
    <reviewItem>
      <errorID>c483b667-f253-4d2a-8a36-b1cd78d55a98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79BE819C</paraID>
      <start>28</start>
      <end>30</end>
      <status>modified</status>
      <modifiedWord>》《</modifiedWord>
      <trackRevisions>false</trackRevisions>
    </reviewItem>
    <reviewItem>
      <errorID>72764af0-fb46-4908-b666-59efb85a1879</errorID>
      <errorWord>，</errorWord>
      <group>L1_Punc</group>
      <groupName>标点问题</groupName>
      <ability>L2_Punc_CN</ability>
      <abilityName>标点符号问题</abilityName>
      <candidateList>
        <item>；</item>
      </candidateList>
      <explain/>
      <paraID>67F06115</paraID>
      <start>74</start>
      <end>75</end>
      <status>unmodified</status>
      <modifiedWord/>
      <trackRevisions>false</trackRevisions>
    </reviewItem>
    <reviewItem>
      <errorID>fafa7507-90f2-4e72-9248-219ac45d50e0</errorID>
      <errorWord>、</errorWord>
      <group>L1_Punc</group>
      <groupName>标点问题</groupName>
      <ability>L2_Punc_CN</ability>
      <abilityName>标点符号问题</abilityName>
      <candidateList>
        <item>. </item>
      </candidateList>
      <explain/>
      <paraID>67F06115</paraID>
      <start>76</start>
      <end>77</end>
      <status>unmodified</status>
      <modifiedWord/>
      <trackRevisions>false</trackRevisions>
    </reviewItem>
    <reviewItem>
      <errorID>d58887e9-ff3b-4222-a707-f8967bae9508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2E708E34</paraID>
      <start>28</start>
      <end>30</end>
      <status>modified</status>
      <modifiedWord>》《</modifiedWord>
      <trackRevisions>false</trackRevisions>
    </reviewItem>
    <reviewItem>
      <errorID>6e119175-edb7-4e87-b809-9aa3dcb226ae</errorID>
      <errorWord>，</errorWord>
      <group>L1_Punc</group>
      <groupName>标点问题</groupName>
      <ability>L2_Punc_CN</ability>
      <abilityName>标点符号问题</abilityName>
      <candidateList>
        <item>。</item>
      </candidateList>
      <explain/>
      <paraID>748B768A</paraID>
      <start>46</start>
      <end>47</end>
      <status>ignored</status>
      <modifiedWord/>
      <trackRevisions>false</trackRevisions>
    </reviewItem>
    <reviewItem>
      <errorID>e84c734f-7079-491a-aa6a-92908a5af5ed</errorID>
      <errorWord>，</errorWord>
      <group>L1_Punc</group>
      <groupName>标点问题</groupName>
      <ability>L2_Punc_CN</ability>
      <abilityName>标点符号问题</abilityName>
      <candidateList>
        <item>。</item>
      </candidateList>
      <explain/>
      <paraID>748B768A</paraID>
      <start>125</start>
      <end>126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6c6e46-f7f9-4d76-a356-9bd0a74b4b33}">
  <ds:schemaRefs/>
</ds:datastoreItem>
</file>

<file path=docProps/app.xml><?xml version="1.0" encoding="utf-8"?>
<Properties xmlns="http://schemas.openxmlformats.org/officeDocument/2006/extended-properties" xmlns:vt="http://schemas.openxmlformats.org/officeDocument/2006/docPropsVTypes">
  <Template>Normal.dotm</Template>
  <Pages>80</Pages>
  <Words>6895</Words>
  <Characters>7333</Characters>
  <Lines>0</Lines>
  <Paragraphs>0</Paragraphs>
  <TotalTime>9</TotalTime>
  <ScaleCrop>false</ScaleCrop>
  <LinksUpToDate>false</LinksUpToDate>
  <CharactersWithSpaces>7428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2025-10-13T02:57:00Z</dcterms:created>
  <dc:creator>19552</dc:creator>
  <cp:lastModifiedBy>珍惜</cp:lastModifiedBy>
  <dcterms:modified xsi:type="dcterms:W3CDTF">2026-09-03T03:23:20Z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8EF81AECB5C74241A951CAB11584693D_13</vt:lpwstr>
  </property>
  <property fmtid="{D5CDD505-2E9C-101B-9397-08002B2CF9AE}" pid="4" name="KSOTemplateDocerSaveRecord">
    <vt:lpwstr>eyJoZGlkIjoiN2YzNjBkOTgyNWQ1YTMxYzM3MzMwNWFiODNmOWIzYWMiLCJ1c2VySWQiOiIxMTQ0MjcyMjM5In0=</vt:lpwstr>
  </property>
</Properties>
</file>