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喀什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国有资本经营预算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年执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行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年预算编制情况的说明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《中华人民共和国预算法》、《自治区人民政府关于试行国有资本经营预算的意见》(新政发［2008］90号)、《新疆维吾尔自治区本级国有资本经营预算管理办法》(新财企［2014］53号）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，喀什市按照“以收定支，收支平衡，不列赤字”的原则，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国有企业20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年度净利润的基础上测算收入预算，编制支出预算，进行202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年国有资本经营预算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年喀什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国有资本经营预算执行情况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收入情况：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国有资本经营预算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3370万元，其中：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利润收入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3099万元，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国有资本经营预算转移支付收入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国有资本经营预算上年结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转收入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支出情况：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喀什市国有资本经营预算完成支出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3269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其中：国有企业资本金注入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，解决历史遗留问题及改革成本支出139万元，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国有资本经营预算调出资金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转下年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年喀什市国有资本经营预算编制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编制范围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喀什市纳入监管的国有企业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年实现净利润的企业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户纳入202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年国有资本经营预算范围，包括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户国有独资企业、1户国有控股企业。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上缴比例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喀什市纳入202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年国有资本经营预算的企业利润上缴比例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%。按照《公司法》规定，国有控股公司利润分配由股东大会决议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年国有资本经营预算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收入安排情况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年国有资本经营预算收入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安排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利润收入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1858万元，股利、股息收入405万元，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国有资本经营预算转移支付收入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上年结转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支出安排情况：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国有资本经营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预算支出安排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国有企业资本金注入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，解决历史遗留问题及改革成本支出195万元，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国有资本经营预算调出资金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收支相抵，预算平衡。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2FD7"/>
    <w:rsid w:val="2D702FD7"/>
    <w:rsid w:val="33A94539"/>
    <w:rsid w:val="47FC68B6"/>
    <w:rsid w:val="52BC7DFD"/>
    <w:rsid w:val="75957ACD"/>
    <w:rsid w:val="796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2024-06-03T02:56:00Z</dcterms:created>
  <dc:creator>国资中心</dc:creator>
  <cp:lastModifiedBy>国资中心</cp:lastModifiedBy>
  <dcterms:modified xsi:type="dcterms:W3CDTF">2024-06-03T08:24:28Z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E4B609547BC7483A9586969E9308F274_12</vt:lpwstr>
  </property>
</Properties>
</file>