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2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喀什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国有资本经营预算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年执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eastAsia="zh-CN"/>
        </w:rPr>
        <w:t>行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及</w:t>
      </w:r>
    </w:p>
    <w:p w14:paraId="56032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年预算编制情况的说明</w:t>
      </w:r>
    </w:p>
    <w:p w14:paraId="5C1EA8FA">
      <w:pPr>
        <w:rPr>
          <w:rFonts w:ascii="宋体" w:hAnsi="宋体" w:eastAsia="宋体" w:cs="宋体"/>
          <w:sz w:val="24"/>
          <w:szCs w:val="24"/>
        </w:rPr>
      </w:pPr>
    </w:p>
    <w:p w14:paraId="4D693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《中华人民共和国预算法》、《自治区人民政府关于试行国有资本经营预算的意见》(新政发［2008］90号)、《新疆维吾尔自治区本级国有资本经营预算管理办法》(新财企［2014］53号）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文件精神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，喀什市按照“以收定支，收支平衡，不列赤字”的原则，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国有企业20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年度净利润的基础上测算收入预算，编制支出预算，进行202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年国有资本经营预算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现将有关情况说明如下：</w:t>
      </w:r>
    </w:p>
    <w:p w14:paraId="173F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年喀什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国有资本经营预算执行情况</w:t>
      </w:r>
    </w:p>
    <w:p w14:paraId="6CDCB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收入情况：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喀什市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国有资本经营预算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完成收入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3370万元，其中：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利润收入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3099万元，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国有资本经营预算转移支付收入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国有资本经营预算上年结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转收入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 w14:paraId="2A2D6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支出情况：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喀什市国有资本经营预算完成支出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3269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其中：国有企业资本金注入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1900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，解决历史遗留问题及改革成本支出139万元，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国有资本经营预算调出资金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1230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转下年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 w14:paraId="634F5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二、202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年喀什市国有资本经营预算编制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原则</w:t>
      </w:r>
    </w:p>
    <w:p w14:paraId="32D92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编制范围</w:t>
      </w:r>
    </w:p>
    <w:p w14:paraId="7FE3C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喀什市纳入监管的国有企业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户，20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年实现净利润的企业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户纳入202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年国有资本经营预算范围，包括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户国有独资企业、1户国有控股企业。</w:t>
      </w:r>
    </w:p>
    <w:p w14:paraId="51982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上缴比例</w:t>
      </w:r>
      <w:bookmarkStart w:id="0" w:name="_GoBack"/>
      <w:bookmarkEnd w:id="0"/>
    </w:p>
    <w:p w14:paraId="637A7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喀什市纳入202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年国有资本经营预算的企业利润上缴比例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%。按照《中华人民共和国公司法》规定，国有控股公司利润分配由股东大会决议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1BC4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、202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年国有资本经营预算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安排情况</w:t>
      </w:r>
    </w:p>
    <w:p w14:paraId="33BF2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收入安排情况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年国有资本经营预算收入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安排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2458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利润收入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1858万元，股利、股息收入405万元，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国有资本经营预算转移支付收入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上年结转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收入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BF43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支出安排情况：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国有资本经营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预算支出安排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2458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国有企业资本金注入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1584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，解决历史遗留问题及改革成本支出195万元，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国有资本经营预算调出资金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679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22BFD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收支相抵，预算平衡。</w:t>
      </w:r>
    </w:p>
    <w:p w14:paraId="1DB25F3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02FD7"/>
    <w:rsid w:val="2D702FD7"/>
    <w:rsid w:val="33A94539"/>
    <w:rsid w:val="47FC68B6"/>
    <w:rsid w:val="52BC7DFD"/>
    <w:rsid w:val="6E591508"/>
    <w:rsid w:val="75957ACD"/>
    <w:rsid w:val="796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788</Characters>
  <Lines>0</Lines>
  <Paragraphs>0</Paragraphs>
  <TotalTime>18</TotalTime>
  <ScaleCrop>false</ScaleCrop>
  <LinksUpToDate>false</LinksUpToDate>
  <CharactersWithSpaces>788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2024-06-03T02:56:00Z</dcterms:created>
  <dc:creator>国资中心</dc:creator>
  <cp:lastModifiedBy>小岳</cp:lastModifiedBy>
  <dcterms:modified xsi:type="dcterms:W3CDTF">2025-09-29T10:41:35Z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E4B609547BC7483A9586969E9308F274_12</vt:lpwstr>
  </property>
  <property fmtid="{D5CDD505-2E9C-101B-9397-08002B2CF9AE}" pid="4" name="KSOTemplateDocerSaveRecord">
    <vt:lpwstr>eyJoZGlkIjoiN2JkZTg0Nzk5MDlmYTBjNjVhODc4OGM5ZWNkMDY2ZjEiLCJ1c2VySWQiOiIxMTMyMzE1ODQyIn0=</vt:lpwstr>
  </property>
</Properties>
</file>