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</w:rPr>
      </w:pPr>
      <w:bookmarkStart w:id="0" w:name="_Toc11146"/>
      <w:bookmarkStart w:id="1" w:name="_Toc30870"/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</w:rPr>
        <w:t>喀什市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lang w:eastAsia="zh-CN"/>
        </w:rPr>
        <w:t>2022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</w:rPr>
        <w:t>年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lang w:eastAsia="zh-CN"/>
        </w:rPr>
        <w:t>财政拨款“三公”经费决算执行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</w:rPr>
        <w:t>情况公开说明</w:t>
      </w:r>
    </w:p>
    <w:p>
      <w:pPr>
        <w:numPr>
          <w:ilvl w:val="0"/>
          <w:numId w:val="1"/>
        </w:numPr>
        <w:ind w:left="800" w:leftChars="0" w:firstLine="0" w:firstLineChars="0"/>
        <w:rPr>
          <w:rFonts w:hint="default" w:ascii="Times New Roman" w:hAnsi="Times New Roman" w:eastAsia="方正黑体_GBK" w:cs="Times New Roman"/>
          <w:color w:val="auto"/>
          <w:sz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highlight w:val="none"/>
          <w:lang w:val="en-US" w:eastAsia="zh-CN"/>
        </w:rPr>
        <w:t>喀什市预算单位、人员及车辆基本情况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highlight w:val="none"/>
          <w:lang w:val="en-US" w:eastAsia="zh-CN"/>
        </w:rPr>
        <w:t>2022年度，喀什市共193个一级预算部门，实有人数20987人，其中：在职人员20872人，离休人员6人，退休人员6022人，公务用车总数1595辆（其中：机要通信用车5辆，应急保障用车9辆，执法执勤用车346辆，特种专业技术用车46辆，其他用车1189辆）。</w:t>
      </w:r>
    </w:p>
    <w:p>
      <w:pPr>
        <w:numPr>
          <w:ilvl w:val="0"/>
          <w:numId w:val="1"/>
        </w:numPr>
        <w:ind w:left="800" w:leftChars="0" w:firstLine="0" w:firstLineChars="0"/>
        <w:rPr>
          <w:rFonts w:hint="default" w:ascii="Times New Roman" w:hAnsi="Times New Roman" w:eastAsia="方正黑体_GBK" w:cs="Times New Roman"/>
          <w:color w:val="auto"/>
          <w:sz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highlight w:val="none"/>
          <w:lang w:val="en-US" w:eastAsia="zh-CN"/>
        </w:rPr>
        <w:t>喀什市财政拨款“三公”经费支出总体情况</w:t>
      </w:r>
    </w:p>
    <w:bookmarkEnd w:id="0"/>
    <w:bookmarkEnd w:id="1"/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highlight w:val="none"/>
          <w:lang w:eastAsia="zh-CN"/>
        </w:rPr>
        <w:t>2022年度财政拨款“三公”经费支出决算428.71万元，比上年减少72.86万元，下降14.53%，</w:t>
      </w:r>
      <w:r>
        <w:rPr>
          <w:rFonts w:hint="default" w:ascii="Times New Roman" w:hAnsi="Times New Roman" w:eastAsia="方正仿宋_GBK" w:cs="Times New Roman"/>
          <w:color w:val="auto"/>
          <w:sz w:val="32"/>
          <w:highlight w:val="none"/>
        </w:rPr>
        <w:t>主要原因是严格执行中央八项规定，厉行节约，压减经费。其中：因公出国（境）费支出</w:t>
      </w:r>
      <w:r>
        <w:rPr>
          <w:rFonts w:hint="default" w:ascii="Times New Roman" w:hAnsi="Times New Roman" w:eastAsia="方正仿宋_GBK" w:cs="Times New Roman"/>
          <w:color w:val="auto"/>
          <w:sz w:val="32"/>
          <w:highlight w:val="none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color w:val="auto"/>
          <w:sz w:val="32"/>
          <w:highlight w:val="none"/>
        </w:rPr>
        <w:t>万元，占</w:t>
      </w:r>
      <w:r>
        <w:rPr>
          <w:rFonts w:hint="default" w:ascii="Times New Roman" w:hAnsi="Times New Roman" w:eastAsia="方正仿宋_GBK" w:cs="Times New Roman"/>
          <w:color w:val="auto"/>
          <w:sz w:val="32"/>
          <w:highlight w:val="none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color w:val="auto"/>
          <w:sz w:val="32"/>
          <w:highlight w:val="none"/>
        </w:rPr>
        <w:t>%，比上年增加</w:t>
      </w:r>
      <w:r>
        <w:rPr>
          <w:rFonts w:hint="default" w:ascii="Times New Roman" w:hAnsi="Times New Roman" w:eastAsia="方正仿宋_GBK" w:cs="Times New Roman"/>
          <w:color w:val="auto"/>
          <w:sz w:val="32"/>
          <w:highlight w:val="none"/>
          <w:lang w:eastAsia="zh-CN"/>
        </w:rPr>
        <w:t>0</w:t>
      </w:r>
      <w:r>
        <w:rPr>
          <w:rFonts w:hint="default" w:ascii="Times New Roman" w:hAnsi="Times New Roman" w:eastAsia="方正仿宋_GBK" w:cs="Times New Roman"/>
          <w:color w:val="auto"/>
          <w:sz w:val="32"/>
          <w:highlight w:val="none"/>
        </w:rPr>
        <w:t>万元，增长</w:t>
      </w:r>
      <w:r>
        <w:rPr>
          <w:rFonts w:hint="default" w:ascii="Times New Roman" w:hAnsi="Times New Roman" w:eastAsia="方正仿宋_GBK" w:cs="Times New Roman"/>
          <w:color w:val="auto"/>
          <w:sz w:val="32"/>
          <w:highlight w:val="none"/>
          <w:lang w:eastAsia="zh-CN"/>
        </w:rPr>
        <w:t>0</w:t>
      </w:r>
      <w:r>
        <w:rPr>
          <w:rFonts w:hint="default" w:ascii="Times New Roman" w:hAnsi="Times New Roman" w:eastAsia="方正仿宋_GBK" w:cs="Times New Roman"/>
          <w:color w:val="auto"/>
          <w:sz w:val="32"/>
          <w:highlight w:val="none"/>
        </w:rPr>
        <w:t>%，主要原因是预算未安排，无此项支出；公务用车购置</w:t>
      </w:r>
      <w:r>
        <w:rPr>
          <w:rFonts w:hint="default" w:ascii="Times New Roman" w:hAnsi="Times New Roman" w:eastAsia="方正仿宋_GBK" w:cs="Times New Roman"/>
          <w:color w:val="auto"/>
          <w:sz w:val="32"/>
          <w:highlight w:val="none"/>
          <w:lang w:eastAsia="zh-CN"/>
        </w:rPr>
        <w:t>费支出0</w:t>
      </w:r>
      <w:r>
        <w:rPr>
          <w:rFonts w:hint="default" w:ascii="Times New Roman" w:hAnsi="Times New Roman" w:eastAsia="方正仿宋_GBK" w:cs="Times New Roman"/>
          <w:color w:val="auto"/>
          <w:sz w:val="32"/>
          <w:highlight w:val="none"/>
          <w:lang w:val="en-US" w:eastAsia="zh-CN"/>
        </w:rPr>
        <w:t>万元，</w:t>
      </w:r>
      <w:r>
        <w:rPr>
          <w:rFonts w:hint="default" w:ascii="Times New Roman" w:hAnsi="Times New Roman" w:eastAsia="方正仿宋_GBK" w:cs="Times New Roman"/>
          <w:color w:val="auto"/>
          <w:sz w:val="32"/>
          <w:highlight w:val="none"/>
        </w:rPr>
        <w:t>占</w:t>
      </w:r>
      <w:r>
        <w:rPr>
          <w:rFonts w:hint="default" w:ascii="Times New Roman" w:hAnsi="Times New Roman" w:eastAsia="方正仿宋_GBK" w:cs="Times New Roman"/>
          <w:color w:val="auto"/>
          <w:sz w:val="32"/>
          <w:highlight w:val="none"/>
          <w:lang w:eastAsia="zh-CN"/>
        </w:rPr>
        <w:t>0</w:t>
      </w:r>
      <w:r>
        <w:rPr>
          <w:rFonts w:hint="default" w:ascii="Times New Roman" w:hAnsi="Times New Roman" w:eastAsia="方正仿宋_GBK" w:cs="Times New Roman"/>
          <w:color w:val="auto"/>
          <w:sz w:val="32"/>
          <w:highlight w:val="none"/>
        </w:rPr>
        <w:t>%，比上年增加</w:t>
      </w:r>
      <w:r>
        <w:rPr>
          <w:rFonts w:hint="default" w:ascii="Times New Roman" w:hAnsi="Times New Roman" w:eastAsia="方正仿宋_GBK" w:cs="Times New Roman"/>
          <w:color w:val="auto"/>
          <w:sz w:val="32"/>
          <w:highlight w:val="none"/>
          <w:lang w:eastAsia="zh-CN"/>
        </w:rPr>
        <w:t>0</w:t>
      </w:r>
      <w:r>
        <w:rPr>
          <w:rFonts w:hint="default" w:ascii="Times New Roman" w:hAnsi="Times New Roman" w:eastAsia="方正仿宋_GBK" w:cs="Times New Roman"/>
          <w:color w:val="auto"/>
          <w:sz w:val="32"/>
          <w:highlight w:val="none"/>
        </w:rPr>
        <w:t>万元，增长</w:t>
      </w:r>
      <w:r>
        <w:rPr>
          <w:rFonts w:hint="default" w:ascii="Times New Roman" w:hAnsi="Times New Roman" w:eastAsia="方正仿宋_GBK" w:cs="Times New Roman"/>
          <w:color w:val="auto"/>
          <w:sz w:val="32"/>
          <w:highlight w:val="none"/>
          <w:lang w:eastAsia="zh-CN"/>
        </w:rPr>
        <w:t>0</w:t>
      </w:r>
      <w:r>
        <w:rPr>
          <w:rFonts w:hint="default" w:ascii="Times New Roman" w:hAnsi="Times New Roman" w:eastAsia="方正仿宋_GBK" w:cs="Times New Roman"/>
          <w:color w:val="auto"/>
          <w:sz w:val="32"/>
          <w:highlight w:val="none"/>
        </w:rPr>
        <w:t>%，主要原因是预算未安排，无此项支出</w:t>
      </w:r>
      <w:r>
        <w:rPr>
          <w:rFonts w:hint="default" w:ascii="Times New Roman" w:hAnsi="Times New Roman" w:eastAsia="方正仿宋_GBK" w:cs="Times New Roman"/>
          <w:color w:val="auto"/>
          <w:sz w:val="32"/>
          <w:highlight w:val="none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sz w:val="32"/>
          <w:highlight w:val="none"/>
        </w:rPr>
        <w:t>公务用车运行维护费</w:t>
      </w:r>
      <w:r>
        <w:rPr>
          <w:rFonts w:hint="default" w:ascii="Times New Roman" w:hAnsi="Times New Roman" w:eastAsia="方正仿宋_GBK" w:cs="Times New Roman"/>
          <w:color w:val="auto"/>
          <w:sz w:val="32"/>
          <w:highlight w:val="none"/>
          <w:lang w:eastAsia="zh-CN"/>
        </w:rPr>
        <w:t>支出</w:t>
      </w:r>
      <w:r>
        <w:rPr>
          <w:rFonts w:hint="default" w:ascii="Times New Roman" w:hAnsi="Times New Roman" w:eastAsia="方正仿宋_GBK" w:cs="Times New Roman"/>
          <w:color w:val="auto"/>
          <w:sz w:val="32"/>
          <w:highlight w:val="none"/>
          <w:lang w:val="en-US" w:eastAsia="zh-CN"/>
        </w:rPr>
        <w:t>405.50万元，占94.59%，比上年减少73.29万元，下降15.31%，</w:t>
      </w:r>
      <w:bookmarkStart w:id="2" w:name="_GoBack"/>
      <w:bookmarkEnd w:id="2"/>
      <w:r>
        <w:rPr>
          <w:rFonts w:hint="default" w:ascii="Times New Roman" w:hAnsi="Times New Roman" w:eastAsia="方正仿宋_GBK" w:cs="Times New Roman"/>
          <w:color w:val="auto"/>
          <w:sz w:val="32"/>
          <w:highlight w:val="none"/>
        </w:rPr>
        <w:t>主要原因是严格执行中央八项规定，厉行节约，公务用车运行维护费减少；公务接待费支出23.21万元，占5.41%，比上年增加0.43万元，增长1.89%，主要原因是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本年度各单位检查较多，公务接待费增加</w:t>
      </w:r>
      <w:r>
        <w:rPr>
          <w:rFonts w:hint="default" w:ascii="Times New Roman" w:hAnsi="Times New Roman" w:eastAsia="方正仿宋_GBK" w:cs="Times New Roman"/>
          <w:color w:val="auto"/>
          <w:sz w:val="32"/>
          <w:highlight w:val="none"/>
        </w:rPr>
        <w:t>。具体情况如下：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highlight w:val="none"/>
        </w:rPr>
        <w:t>因公出国（境）费支出0万元，开支内容包括：预算未安排，无此项支出。单位全年安排的因公出国（境）团组0个，因公出国（境）0人次。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highlight w:val="none"/>
        </w:rPr>
        <w:t>公务用车购置及运行维护费405.50万元，其中：公务用车购置费</w:t>
      </w:r>
      <w:r>
        <w:rPr>
          <w:rFonts w:hint="default" w:ascii="Times New Roman" w:hAnsi="Times New Roman" w:eastAsia="方正仿宋_GBK" w:cs="Times New Roman"/>
          <w:color w:val="auto"/>
          <w:sz w:val="32"/>
          <w:highlight w:val="none"/>
          <w:lang w:eastAsia="zh-CN"/>
        </w:rPr>
        <w:t>0</w:t>
      </w:r>
      <w:r>
        <w:rPr>
          <w:rFonts w:hint="default" w:ascii="Times New Roman" w:hAnsi="Times New Roman" w:eastAsia="方正仿宋_GBK" w:cs="Times New Roman"/>
          <w:color w:val="auto"/>
          <w:sz w:val="32"/>
          <w:highlight w:val="none"/>
        </w:rPr>
        <w:t>万元，公务用车运行维护费405.50万元。公务用车运行维护费开支内容包括燃油费、维修维护费、保险费、审验费、过路费、停车费等。公务用车购置数0辆，公务用车保有量</w:t>
      </w:r>
      <w:r>
        <w:rPr>
          <w:rFonts w:hint="default" w:ascii="Times New Roman" w:hAnsi="Times New Roman" w:eastAsia="方正仿宋_GBK" w:cs="Times New Roman"/>
          <w:color w:val="auto"/>
          <w:sz w:val="32"/>
          <w:highlight w:val="none"/>
          <w:lang w:val="en-US" w:eastAsia="zh-CN"/>
        </w:rPr>
        <w:t>306</w:t>
      </w:r>
      <w:r>
        <w:rPr>
          <w:rFonts w:hint="default" w:ascii="Times New Roman" w:hAnsi="Times New Roman" w:eastAsia="方正仿宋_GBK" w:cs="Times New Roman"/>
          <w:color w:val="auto"/>
          <w:sz w:val="32"/>
          <w:highlight w:val="none"/>
        </w:rPr>
        <w:t>辆。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highlight w:val="none"/>
        </w:rPr>
        <w:t>公务接待费</w:t>
      </w:r>
      <w:r>
        <w:rPr>
          <w:rFonts w:hint="default" w:ascii="Times New Roman" w:hAnsi="Times New Roman" w:eastAsia="方正仿宋_GBK" w:cs="Times New Roman"/>
          <w:color w:val="auto"/>
          <w:sz w:val="32"/>
          <w:highlight w:val="none"/>
          <w:lang w:val="en-US" w:eastAsia="zh-CN"/>
        </w:rPr>
        <w:t>23.21</w:t>
      </w:r>
      <w:r>
        <w:rPr>
          <w:rFonts w:hint="default" w:ascii="Times New Roman" w:hAnsi="Times New Roman" w:eastAsia="方正仿宋_GBK" w:cs="Times New Roman"/>
          <w:color w:val="auto"/>
          <w:sz w:val="32"/>
          <w:highlight w:val="none"/>
        </w:rPr>
        <w:t>万元，开支内容包括国内公务接待支出</w:t>
      </w:r>
      <w:r>
        <w:rPr>
          <w:rFonts w:hint="default" w:ascii="Times New Roman" w:hAnsi="Times New Roman" w:eastAsia="方正仿宋_GBK" w:cs="Times New Roman"/>
          <w:color w:val="auto"/>
          <w:sz w:val="32"/>
          <w:highlight w:val="none"/>
          <w:lang w:val="en-US" w:eastAsia="zh-CN"/>
        </w:rPr>
        <w:t>23.21</w:t>
      </w:r>
      <w:r>
        <w:rPr>
          <w:rFonts w:hint="default" w:ascii="Times New Roman" w:hAnsi="Times New Roman" w:eastAsia="方正仿宋_GBK" w:cs="Times New Roman"/>
          <w:color w:val="auto"/>
          <w:sz w:val="32"/>
          <w:highlight w:val="none"/>
        </w:rPr>
        <w:t>万元。单位全年安排的国内公务接待180批次，1,291人次。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highlight w:val="none"/>
        </w:rPr>
        <w:t>与全年预算数相比情况：“三公”经费支出全年预算数448.13万元，决算数428.71万元，预决算差异率-4.33%，主要原因是：严格执行中央八项规定，厉行节约，压减经费。因公出国（境）费全年预算数</w:t>
      </w:r>
      <w:r>
        <w:rPr>
          <w:rFonts w:hint="default" w:ascii="Times New Roman" w:hAnsi="Times New Roman" w:eastAsia="方正仿宋_GBK" w:cs="Times New Roman"/>
          <w:color w:val="auto"/>
          <w:sz w:val="32"/>
          <w:highlight w:val="none"/>
          <w:lang w:eastAsia="zh-CN"/>
        </w:rPr>
        <w:t>0</w:t>
      </w:r>
      <w:r>
        <w:rPr>
          <w:rFonts w:hint="default" w:ascii="Times New Roman" w:hAnsi="Times New Roman" w:eastAsia="方正仿宋_GBK" w:cs="Times New Roman"/>
          <w:color w:val="auto"/>
          <w:sz w:val="32"/>
          <w:highlight w:val="none"/>
        </w:rPr>
        <w:t>万元，决算数</w:t>
      </w:r>
      <w:r>
        <w:rPr>
          <w:rFonts w:hint="default" w:ascii="Times New Roman" w:hAnsi="Times New Roman" w:eastAsia="方正仿宋_GBK" w:cs="Times New Roman"/>
          <w:color w:val="auto"/>
          <w:sz w:val="32"/>
          <w:highlight w:val="none"/>
          <w:lang w:eastAsia="zh-CN"/>
        </w:rPr>
        <w:t>0</w:t>
      </w:r>
      <w:r>
        <w:rPr>
          <w:rFonts w:hint="default" w:ascii="Times New Roman" w:hAnsi="Times New Roman" w:eastAsia="方正仿宋_GBK" w:cs="Times New Roman"/>
          <w:color w:val="auto"/>
          <w:sz w:val="32"/>
          <w:highlight w:val="none"/>
        </w:rPr>
        <w:t>万元，预决算差异率</w:t>
      </w:r>
      <w:r>
        <w:rPr>
          <w:rFonts w:hint="default" w:ascii="Times New Roman" w:hAnsi="Times New Roman" w:eastAsia="方正仿宋_GBK" w:cs="Times New Roman"/>
          <w:color w:val="auto"/>
          <w:sz w:val="32"/>
          <w:highlight w:val="none"/>
          <w:lang w:eastAsia="zh-CN"/>
        </w:rPr>
        <w:t>0</w:t>
      </w:r>
      <w:r>
        <w:rPr>
          <w:rFonts w:hint="default" w:ascii="Times New Roman" w:hAnsi="Times New Roman" w:eastAsia="方正仿宋_GBK" w:cs="Times New Roman"/>
          <w:color w:val="auto"/>
          <w:sz w:val="32"/>
          <w:highlight w:val="none"/>
        </w:rPr>
        <w:t>%，主要原因是：预算未安排，无此项支出；公务用车购置费全年预算数</w:t>
      </w:r>
      <w:r>
        <w:rPr>
          <w:rFonts w:hint="default" w:ascii="Times New Roman" w:hAnsi="Times New Roman" w:eastAsia="方正仿宋_GBK" w:cs="Times New Roman"/>
          <w:color w:val="auto"/>
          <w:sz w:val="32"/>
          <w:highlight w:val="none"/>
          <w:lang w:eastAsia="zh-CN"/>
        </w:rPr>
        <w:t>0</w:t>
      </w:r>
      <w:r>
        <w:rPr>
          <w:rFonts w:hint="default" w:ascii="Times New Roman" w:hAnsi="Times New Roman" w:eastAsia="方正仿宋_GBK" w:cs="Times New Roman"/>
          <w:color w:val="auto"/>
          <w:sz w:val="32"/>
          <w:highlight w:val="none"/>
        </w:rPr>
        <w:t>万元，决算数</w:t>
      </w:r>
      <w:r>
        <w:rPr>
          <w:rFonts w:hint="default" w:ascii="Times New Roman" w:hAnsi="Times New Roman" w:eastAsia="方正仿宋_GBK" w:cs="Times New Roman"/>
          <w:color w:val="auto"/>
          <w:sz w:val="32"/>
          <w:highlight w:val="none"/>
          <w:lang w:eastAsia="zh-CN"/>
        </w:rPr>
        <w:t>0</w:t>
      </w:r>
      <w:r>
        <w:rPr>
          <w:rFonts w:hint="default" w:ascii="Times New Roman" w:hAnsi="Times New Roman" w:eastAsia="方正仿宋_GBK" w:cs="Times New Roman"/>
          <w:color w:val="auto"/>
          <w:sz w:val="32"/>
          <w:highlight w:val="none"/>
        </w:rPr>
        <w:t>万元，预决算差异率</w:t>
      </w:r>
      <w:r>
        <w:rPr>
          <w:rFonts w:hint="default" w:ascii="Times New Roman" w:hAnsi="Times New Roman" w:eastAsia="方正仿宋_GBK" w:cs="Times New Roman"/>
          <w:color w:val="auto"/>
          <w:sz w:val="32"/>
          <w:highlight w:val="none"/>
          <w:lang w:eastAsia="zh-CN"/>
        </w:rPr>
        <w:t>0</w:t>
      </w:r>
      <w:r>
        <w:rPr>
          <w:rFonts w:hint="default" w:ascii="Times New Roman" w:hAnsi="Times New Roman" w:eastAsia="方正仿宋_GBK" w:cs="Times New Roman"/>
          <w:color w:val="auto"/>
          <w:sz w:val="32"/>
          <w:highlight w:val="none"/>
        </w:rPr>
        <w:t>%，主要原因是：预算未安排，无此项支出；公务用车运行费全年预算数424.92万元，决算数405.50万元，预决算差异率-4.57%，主要原因是：严格执行中央八项规定，厉行节约，公务用车运行维护费减少；公务接待费全年预算数23.21万元，决算数23.21万元，预决算差异率</w:t>
      </w:r>
      <w:r>
        <w:rPr>
          <w:rFonts w:hint="default" w:ascii="Times New Roman" w:hAnsi="Times New Roman" w:eastAsia="方正仿宋_GBK" w:cs="Times New Roman"/>
          <w:color w:val="auto"/>
          <w:sz w:val="32"/>
          <w:highlight w:val="none"/>
          <w:lang w:eastAsia="zh-CN"/>
        </w:rPr>
        <w:t>0</w:t>
      </w:r>
      <w:r>
        <w:rPr>
          <w:rFonts w:hint="default" w:ascii="Times New Roman" w:hAnsi="Times New Roman" w:eastAsia="方正仿宋_GBK" w:cs="Times New Roman"/>
          <w:color w:val="auto"/>
          <w:sz w:val="32"/>
          <w:highlight w:val="none"/>
        </w:rPr>
        <w:t>%，主要原因是：严格按照预算执行，预决算无差异。</w:t>
      </w:r>
    </w:p>
    <w:p>
      <w:pPr>
        <w:pStyle w:val="8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570" w:lineRule="atLeast"/>
        <w:ind w:left="0" w:right="0" w:firstLine="640"/>
        <w:jc w:val="both"/>
        <w:rPr>
          <w:rFonts w:hint="default" w:ascii="Times New Roman" w:hAnsi="Times New Roman" w:eastAsia="方正黑体_GBK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  <w:t>三、名词解释</w:t>
      </w:r>
    </w:p>
    <w:p>
      <w:pPr>
        <w:pStyle w:val="8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570" w:lineRule="atLeast"/>
        <w:ind w:left="0" w:right="0" w:firstLine="640"/>
        <w:jc w:val="both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  <w:t>因公出国（境）费：反映单位公务出国（境）的国际旅费、国外城市间交通费、住宿费、伙食费、培训费、公杂费等支出。</w:t>
      </w:r>
    </w:p>
    <w:p>
      <w:pPr>
        <w:pStyle w:val="8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570" w:lineRule="atLeast"/>
        <w:ind w:left="0" w:right="0" w:firstLine="640"/>
        <w:jc w:val="both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  <w:t>公务用车购置及运行维护费：公务用车购置反映公务用车车辆购置支出（含车辆购置税、牌照费）；公务用车运行维护费反映部门单位按规定保留的公务用车燃料费、维修费、过桥过路费、保险费、安全奖励费用等支出。</w:t>
      </w:r>
    </w:p>
    <w:p>
      <w:pPr>
        <w:pStyle w:val="8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570" w:lineRule="atLeast"/>
        <w:ind w:left="0" w:right="0" w:firstLine="640"/>
        <w:jc w:val="both"/>
        <w:rPr>
          <w:rFonts w:hint="eastAsia" w:ascii="方正仿宋_GBK" w:hAnsi="方正仿宋_GBK" w:eastAsia="方正仿宋_GBK" w:cs="方正仿宋_GBK"/>
          <w:bCs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24"/>
          <w:highlight w:val="none"/>
          <w:lang w:val="en-US" w:eastAsia="zh-CN" w:bidi="ar-SA"/>
        </w:rPr>
        <w:t>公务接待费用：反映单位按规定开支的各类公务接待（含外宾接待）费用。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OqXm5zwAAAAUBAAAPAAAAAAAAAAEAIAAAACIAAABkcnMvZG93bnJldi54&#10;bWxQSwECFAAUAAAACACHTuJA5STQfgMCAAAEBAAADgAAAAAAAAABACAAAAAeAQAAZHJzL2Uyb0Rv&#10;Yy54bWxQSwUGAAAAAAYABgBZAQAAk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8E2833"/>
    <w:multiLevelType w:val="singleLevel"/>
    <w:tmpl w:val="238E2833"/>
    <w:lvl w:ilvl="0" w:tentative="0">
      <w:start w:val="1"/>
      <w:numFmt w:val="chineseCounting"/>
      <w:suff w:val="nothing"/>
      <w:lvlText w:val="%1、"/>
      <w:lvlJc w:val="left"/>
      <w:pPr>
        <w:ind w:left="80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dit="comment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MxNDY3Y2VjOTI5NTZmMzYyZTA4OWE0YmYyOGM4ZjgifQ=="/>
  </w:docVars>
  <w:rsids>
    <w:rsidRoot w:val="001C6E66"/>
    <w:rsid w:val="000033EF"/>
    <w:rsid w:val="00004533"/>
    <w:rsid w:val="00005A21"/>
    <w:rsid w:val="0004063C"/>
    <w:rsid w:val="000701A7"/>
    <w:rsid w:val="00082456"/>
    <w:rsid w:val="000A663A"/>
    <w:rsid w:val="000B5514"/>
    <w:rsid w:val="000B57B8"/>
    <w:rsid w:val="000B69AB"/>
    <w:rsid w:val="000F01B7"/>
    <w:rsid w:val="000F6705"/>
    <w:rsid w:val="001111D4"/>
    <w:rsid w:val="001128A8"/>
    <w:rsid w:val="001130AE"/>
    <w:rsid w:val="001237CF"/>
    <w:rsid w:val="00125A6F"/>
    <w:rsid w:val="0014029C"/>
    <w:rsid w:val="00144642"/>
    <w:rsid w:val="00146FA3"/>
    <w:rsid w:val="001573AA"/>
    <w:rsid w:val="00162E66"/>
    <w:rsid w:val="001826D1"/>
    <w:rsid w:val="001848EE"/>
    <w:rsid w:val="00186B3B"/>
    <w:rsid w:val="001C2D35"/>
    <w:rsid w:val="001C5BE8"/>
    <w:rsid w:val="001C6E66"/>
    <w:rsid w:val="001D3634"/>
    <w:rsid w:val="001D37EF"/>
    <w:rsid w:val="001E4D79"/>
    <w:rsid w:val="001F29A9"/>
    <w:rsid w:val="001F777A"/>
    <w:rsid w:val="002122DE"/>
    <w:rsid w:val="00227229"/>
    <w:rsid w:val="002328AF"/>
    <w:rsid w:val="00233021"/>
    <w:rsid w:val="0024217C"/>
    <w:rsid w:val="00243E6C"/>
    <w:rsid w:val="00246EBC"/>
    <w:rsid w:val="00265F92"/>
    <w:rsid w:val="00272845"/>
    <w:rsid w:val="00282550"/>
    <w:rsid w:val="00287829"/>
    <w:rsid w:val="0029171A"/>
    <w:rsid w:val="00292B7F"/>
    <w:rsid w:val="00292C0A"/>
    <w:rsid w:val="002B072F"/>
    <w:rsid w:val="002B37DA"/>
    <w:rsid w:val="002B7A04"/>
    <w:rsid w:val="002D187F"/>
    <w:rsid w:val="002F1732"/>
    <w:rsid w:val="003106FF"/>
    <w:rsid w:val="00327986"/>
    <w:rsid w:val="003314E6"/>
    <w:rsid w:val="00340AE7"/>
    <w:rsid w:val="00354737"/>
    <w:rsid w:val="0037159F"/>
    <w:rsid w:val="00377EC6"/>
    <w:rsid w:val="003920B8"/>
    <w:rsid w:val="003A44F0"/>
    <w:rsid w:val="003C3EF4"/>
    <w:rsid w:val="003D1DD1"/>
    <w:rsid w:val="003E5F70"/>
    <w:rsid w:val="003F60E1"/>
    <w:rsid w:val="00400D8F"/>
    <w:rsid w:val="004161A5"/>
    <w:rsid w:val="00430E56"/>
    <w:rsid w:val="004318F5"/>
    <w:rsid w:val="00456820"/>
    <w:rsid w:val="00471387"/>
    <w:rsid w:val="00471BBD"/>
    <w:rsid w:val="0047268F"/>
    <w:rsid w:val="004A41CF"/>
    <w:rsid w:val="004A44C9"/>
    <w:rsid w:val="004B2E7F"/>
    <w:rsid w:val="004B3B3F"/>
    <w:rsid w:val="004D35C0"/>
    <w:rsid w:val="004E519F"/>
    <w:rsid w:val="004F1D2D"/>
    <w:rsid w:val="004F506B"/>
    <w:rsid w:val="00531503"/>
    <w:rsid w:val="00534ECA"/>
    <w:rsid w:val="005358C2"/>
    <w:rsid w:val="005474EB"/>
    <w:rsid w:val="005506DD"/>
    <w:rsid w:val="005529D0"/>
    <w:rsid w:val="00553FB5"/>
    <w:rsid w:val="00554A58"/>
    <w:rsid w:val="00560394"/>
    <w:rsid w:val="0056525F"/>
    <w:rsid w:val="005B1DE6"/>
    <w:rsid w:val="005C11EB"/>
    <w:rsid w:val="006032AE"/>
    <w:rsid w:val="00684E46"/>
    <w:rsid w:val="0068591E"/>
    <w:rsid w:val="00690F22"/>
    <w:rsid w:val="00693012"/>
    <w:rsid w:val="006B0B73"/>
    <w:rsid w:val="006D2B94"/>
    <w:rsid w:val="006D3853"/>
    <w:rsid w:val="006E0721"/>
    <w:rsid w:val="0070295D"/>
    <w:rsid w:val="00725755"/>
    <w:rsid w:val="0075023C"/>
    <w:rsid w:val="00750D8A"/>
    <w:rsid w:val="00764051"/>
    <w:rsid w:val="00772611"/>
    <w:rsid w:val="007741F8"/>
    <w:rsid w:val="007B0022"/>
    <w:rsid w:val="007E2E4F"/>
    <w:rsid w:val="007E3BFD"/>
    <w:rsid w:val="00807B4B"/>
    <w:rsid w:val="008144CF"/>
    <w:rsid w:val="00822EED"/>
    <w:rsid w:val="00827663"/>
    <w:rsid w:val="00847CE1"/>
    <w:rsid w:val="00852D88"/>
    <w:rsid w:val="00857132"/>
    <w:rsid w:val="00862395"/>
    <w:rsid w:val="008853A8"/>
    <w:rsid w:val="00887778"/>
    <w:rsid w:val="008A54C1"/>
    <w:rsid w:val="008D5B57"/>
    <w:rsid w:val="008F7D99"/>
    <w:rsid w:val="0090080D"/>
    <w:rsid w:val="00922FA7"/>
    <w:rsid w:val="00927301"/>
    <w:rsid w:val="009351E1"/>
    <w:rsid w:val="0094423A"/>
    <w:rsid w:val="0095219B"/>
    <w:rsid w:val="00963E2E"/>
    <w:rsid w:val="009774AD"/>
    <w:rsid w:val="00980F6F"/>
    <w:rsid w:val="00993788"/>
    <w:rsid w:val="009A173F"/>
    <w:rsid w:val="009C479E"/>
    <w:rsid w:val="009F4245"/>
    <w:rsid w:val="009F594D"/>
    <w:rsid w:val="00A009B3"/>
    <w:rsid w:val="00A239E7"/>
    <w:rsid w:val="00A34EDA"/>
    <w:rsid w:val="00A77ECE"/>
    <w:rsid w:val="00AA13D0"/>
    <w:rsid w:val="00AC0B18"/>
    <w:rsid w:val="00AC1D87"/>
    <w:rsid w:val="00AC2605"/>
    <w:rsid w:val="00AE136F"/>
    <w:rsid w:val="00AE6C82"/>
    <w:rsid w:val="00AE7A56"/>
    <w:rsid w:val="00AF0871"/>
    <w:rsid w:val="00AF530E"/>
    <w:rsid w:val="00AF5DFE"/>
    <w:rsid w:val="00B006E5"/>
    <w:rsid w:val="00B24234"/>
    <w:rsid w:val="00B3219F"/>
    <w:rsid w:val="00B42062"/>
    <w:rsid w:val="00B64D13"/>
    <w:rsid w:val="00B76725"/>
    <w:rsid w:val="00BC38D2"/>
    <w:rsid w:val="00BC65E4"/>
    <w:rsid w:val="00BE0A9F"/>
    <w:rsid w:val="00BF4880"/>
    <w:rsid w:val="00C01003"/>
    <w:rsid w:val="00C2317E"/>
    <w:rsid w:val="00C87860"/>
    <w:rsid w:val="00C92609"/>
    <w:rsid w:val="00C974A0"/>
    <w:rsid w:val="00CA0969"/>
    <w:rsid w:val="00CB7A14"/>
    <w:rsid w:val="00CC66CE"/>
    <w:rsid w:val="00CD1E0A"/>
    <w:rsid w:val="00CE40E2"/>
    <w:rsid w:val="00CE4AEB"/>
    <w:rsid w:val="00CE74CB"/>
    <w:rsid w:val="00D00B68"/>
    <w:rsid w:val="00D04E19"/>
    <w:rsid w:val="00D6644C"/>
    <w:rsid w:val="00D71F68"/>
    <w:rsid w:val="00D767F4"/>
    <w:rsid w:val="00DA07A0"/>
    <w:rsid w:val="00DB4A9A"/>
    <w:rsid w:val="00DB6F81"/>
    <w:rsid w:val="00DD3B82"/>
    <w:rsid w:val="00E02851"/>
    <w:rsid w:val="00E43F43"/>
    <w:rsid w:val="00E76594"/>
    <w:rsid w:val="00EA656B"/>
    <w:rsid w:val="00EB1FF2"/>
    <w:rsid w:val="00EB42AF"/>
    <w:rsid w:val="00EB49C8"/>
    <w:rsid w:val="00EE3598"/>
    <w:rsid w:val="00EE791B"/>
    <w:rsid w:val="00EF3292"/>
    <w:rsid w:val="00F040C7"/>
    <w:rsid w:val="00F04DC0"/>
    <w:rsid w:val="00F24BA1"/>
    <w:rsid w:val="00F45607"/>
    <w:rsid w:val="00F552F7"/>
    <w:rsid w:val="00F57EE2"/>
    <w:rsid w:val="00F67C07"/>
    <w:rsid w:val="00F777E1"/>
    <w:rsid w:val="00F80266"/>
    <w:rsid w:val="00F83E19"/>
    <w:rsid w:val="00FB3828"/>
    <w:rsid w:val="00FC7A52"/>
    <w:rsid w:val="00FE0761"/>
    <w:rsid w:val="00FF5166"/>
    <w:rsid w:val="01BF0E2A"/>
    <w:rsid w:val="049405CD"/>
    <w:rsid w:val="06792773"/>
    <w:rsid w:val="11726843"/>
    <w:rsid w:val="16A64991"/>
    <w:rsid w:val="18871DF4"/>
    <w:rsid w:val="18C36CE5"/>
    <w:rsid w:val="1DAF458D"/>
    <w:rsid w:val="229E16E9"/>
    <w:rsid w:val="24391464"/>
    <w:rsid w:val="26932D48"/>
    <w:rsid w:val="2A053397"/>
    <w:rsid w:val="2D1136DF"/>
    <w:rsid w:val="31C63837"/>
    <w:rsid w:val="3C075062"/>
    <w:rsid w:val="3D5275AC"/>
    <w:rsid w:val="3E5D43DF"/>
    <w:rsid w:val="43BA087F"/>
    <w:rsid w:val="452C2722"/>
    <w:rsid w:val="46901EEE"/>
    <w:rsid w:val="469C74D2"/>
    <w:rsid w:val="50DB5F45"/>
    <w:rsid w:val="51901104"/>
    <w:rsid w:val="51F46160"/>
    <w:rsid w:val="61155738"/>
    <w:rsid w:val="622A308F"/>
    <w:rsid w:val="69AD798C"/>
    <w:rsid w:val="6B68175F"/>
    <w:rsid w:val="6BAD21E0"/>
    <w:rsid w:val="73FB6630"/>
    <w:rsid w:val="77E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toc 3"/>
    <w:basedOn w:val="1"/>
    <w:next w:val="1"/>
    <w:qFormat/>
    <w:uiPriority w:val="0"/>
    <w:pPr>
      <w:ind w:left="840" w:leftChars="4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oc 1"/>
    <w:basedOn w:val="1"/>
    <w:next w:val="1"/>
    <w:qFormat/>
    <w:uiPriority w:val="0"/>
  </w:style>
  <w:style w:type="paragraph" w:styleId="7">
    <w:name w:val="toc 2"/>
    <w:basedOn w:val="1"/>
    <w:next w:val="1"/>
    <w:qFormat/>
    <w:uiPriority w:val="0"/>
    <w:pPr>
      <w:ind w:left="420" w:leftChars="200"/>
    </w:pPr>
  </w:style>
  <w:style w:type="paragraph" w:styleId="8">
    <w:name w:val="Normal (Web)"/>
    <w:basedOn w:val="1"/>
    <w:qFormat/>
    <w:uiPriority w:val="0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1">
    <w:name w:val="WPSOffice手动目录 3"/>
    <w:qFormat/>
    <w:uiPriority w:val="0"/>
    <w:pPr>
      <w:ind w:left="400" w:leftChars="4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2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3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1127</Words>
  <Characters>1279</Characters>
  <Lines>49</Lines>
  <Paragraphs>13</Paragraphs>
  <TotalTime>8</TotalTime>
  <ScaleCrop>false</ScaleCrop>
  <LinksUpToDate>false</LinksUpToDate>
  <CharactersWithSpaces>1279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2020-09-08T14:04:00Z</dcterms:created>
  <dc:creator>GXR</dc:creator>
  <cp:lastModifiedBy>Administrator</cp:lastModifiedBy>
  <dcterms:modified xsi:type="dcterms:W3CDTF">2023-09-11T12:58:35Z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889B23EE9AD2405DA5A7EC81C778BADB_13</vt:lpwstr>
  </property>
</Properties>
</file>