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16"/>
        <w:pBdr/>
        <w:spacing/>
        <w:ind/>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 xml:space="preserve">喀什市</w:t>
      </w:r>
      <w:r>
        <w:rPr>
          <w:rFonts w:hint="eastAsia" w:ascii="方正小标宋简体" w:hAnsi="方正小标宋简体" w:eastAsia="方正小标宋简体" w:cs="方正小标宋简体"/>
          <w:sz w:val="44"/>
          <w:szCs w:val="44"/>
          <w:lang w:val="en-US" w:eastAsia="zh-CN"/>
        </w:rPr>
        <w:t xml:space="preserve">2017年</w:t>
      </w:r>
      <w:r>
        <w:rPr>
          <w:rFonts w:hint="eastAsia" w:ascii="方正小标宋简体" w:hAnsi="方正小标宋简体" w:eastAsia="方正小标宋简体" w:cs="方正小标宋简体"/>
          <w:sz w:val="44"/>
          <w:szCs w:val="44"/>
        </w:rPr>
        <w:t xml:space="preserve">预算绩效工作开展情况说明</w:t>
      </w:r>
      <w:r>
        <w:rPr>
          <w:rFonts w:hint="eastAsia" w:ascii="方正小标宋简体" w:hAnsi="方正小标宋简体" w:eastAsia="方正小标宋简体" w:cs="方正小标宋简体"/>
          <w:sz w:val="44"/>
          <w:szCs w:val="44"/>
        </w:rPr>
      </w:r>
      <w:r>
        <w:rPr>
          <w:rFonts w:hint="eastAsia" w:ascii="方正小标宋简体" w:hAnsi="方正小标宋简体" w:eastAsia="方正小标宋简体" w:cs="方正小标宋简体"/>
          <w:sz w:val="44"/>
          <w:szCs w:val="44"/>
        </w:rPr>
      </w:r>
    </w:p>
    <w:p>
      <w:pPr>
        <w:pStyle w:val="616"/>
        <w:keepNext w:val="false"/>
        <w:keepLines w:val="false"/>
        <w:pageBreakBefore w:val="false"/>
        <w:widowControl w:val="false"/>
        <w:suppressLineNumbers w:val="false"/>
        <w:pBdr/>
        <w:spacing w:afterAutospacing="0" w:beforeAutospacing="0" w:line="560" w:lineRule="exact"/>
        <w:ind w:right="0" w:firstLine="640" w:left="0"/>
        <w:jc w:val="both"/>
        <w:outlineLvl w:val="9"/>
        <w:rPr>
          <w:rFonts w:hint="eastAsia" w:ascii="仿宋_GB2312" w:hAnsi="仿宋_GB2312" w:eastAsia="仿宋_GB2312" w:cs="仿宋_GB2312"/>
          <w:b w:val="0"/>
          <w:i w:val="0"/>
          <w:color w:val="363636"/>
          <w:sz w:val="32"/>
          <w:szCs w:val="32"/>
          <w:u w:val="none"/>
          <w:shd w:val="clear" w:color="auto" w:fill="ffffff"/>
          <w:lang w:val="en-US" w:eastAsia="zh-CN" w:bidi="ar"/>
        </w:rPr>
      </w:pPr>
      <w:r>
        <w:rPr>
          <w:rFonts w:hint="eastAsia" w:ascii="仿宋_GB2312" w:hAnsi="仿宋_GB2312" w:eastAsia="仿宋_GB2312" w:cs="仿宋_GB2312"/>
          <w:b w:val="0"/>
          <w:i w:val="0"/>
          <w:color w:val="363636"/>
          <w:sz w:val="32"/>
          <w:szCs w:val="32"/>
          <w:u w:val="none"/>
          <w:shd w:val="clear" w:color="auto" w:fill="ffffff"/>
          <w:lang w:val="en-US" w:eastAsia="zh-CN" w:bidi="ar"/>
        </w:rPr>
        <w:t xml:space="preserve">按照《中华人民共和国预算法》规定和上级财政部门相关要求，喀什市积极开展预算绩效管理工作，进一步提高财政资金使用效益，提升预算绩效管理科学化、精细化水平。现就主要工作做如下说明：</w:t>
      </w:r>
      <w:r>
        <w:rPr>
          <w:rFonts w:hint="eastAsia" w:ascii="仿宋_GB2312" w:hAnsi="仿宋_GB2312" w:eastAsia="仿宋_GB2312" w:cs="仿宋_GB2312"/>
          <w:b w:val="0"/>
          <w:i w:val="0"/>
          <w:color w:val="363636"/>
          <w:sz w:val="32"/>
          <w:szCs w:val="32"/>
          <w:u w:val="none"/>
          <w:shd w:val="clear" w:color="auto" w:fill="ffffff"/>
          <w:lang w:val="en-US" w:eastAsia="zh-CN" w:bidi="ar"/>
        </w:rPr>
      </w:r>
      <w:r>
        <w:rPr>
          <w:rFonts w:hint="eastAsia" w:ascii="仿宋_GB2312" w:hAnsi="仿宋_GB2312" w:eastAsia="仿宋_GB2312" w:cs="仿宋_GB2312"/>
          <w:b w:val="0"/>
          <w:i w:val="0"/>
          <w:color w:val="363636"/>
          <w:sz w:val="32"/>
          <w:szCs w:val="32"/>
          <w:u w:val="none"/>
          <w:shd w:val="clear" w:color="auto" w:fill="ffffff"/>
          <w:lang w:val="en-US" w:eastAsia="zh-CN" w:bidi="ar"/>
        </w:rPr>
      </w:r>
    </w:p>
    <w:p>
      <w:pPr>
        <w:pStyle w:val="616"/>
        <w:keepNext w:val="false"/>
        <w:keepLines w:val="false"/>
        <w:pageBreakBefore w:val="false"/>
        <w:widowControl w:val="false"/>
        <w:suppressLineNumbers w:val="false"/>
        <w:pBdr/>
        <w:spacing w:afterAutospacing="0" w:beforeAutospacing="0" w:line="560" w:lineRule="exact"/>
        <w:ind w:right="0" w:firstLine="643" w:left="0"/>
        <w:jc w:val="both"/>
        <w:outlineLvl w:val="9"/>
        <w:rPr>
          <w:rFonts w:hint="eastAsia" w:ascii="仿宋_GB2312" w:hAnsi="仿宋_GB2312" w:eastAsia="仿宋_GB2312" w:cs="仿宋_GB2312"/>
          <w:b w:val="0"/>
          <w:i w:val="0"/>
          <w:color w:val="363636"/>
          <w:sz w:val="32"/>
          <w:szCs w:val="32"/>
          <w:u w:val="none"/>
          <w:shd w:val="clear" w:color="auto" w:fill="ffffff"/>
          <w:lang w:val="en-US" w:eastAsia="zh-CN" w:bidi="ar"/>
        </w:rPr>
      </w:pPr>
      <w:r>
        <w:rPr>
          <w:rFonts w:hint="eastAsia" w:ascii="仿宋_GB2312" w:hAnsi="仿宋_GB2312" w:eastAsia="仿宋_GB2312" w:cs="仿宋_GB2312"/>
          <w:b/>
          <w:bCs/>
          <w:i w:val="0"/>
          <w:color w:val="363636"/>
          <w:sz w:val="32"/>
          <w:szCs w:val="32"/>
          <w:u w:val="none"/>
          <w:shd w:val="clear" w:color="auto" w:fill="ffffff"/>
          <w:lang w:val="en-US" w:eastAsia="zh-CN" w:bidi="ar"/>
        </w:rPr>
        <w:t xml:space="preserve">一是</w:t>
      </w:r>
      <w:r>
        <w:rPr>
          <w:rFonts w:hint="eastAsia" w:ascii="仿宋_GB2312" w:hAnsi="仿宋_GB2312" w:eastAsia="仿宋_GB2312" w:cs="仿宋_GB2312"/>
          <w:b w:val="0"/>
          <w:i w:val="0"/>
          <w:color w:val="363636"/>
          <w:sz w:val="32"/>
          <w:szCs w:val="32"/>
          <w:u w:val="none"/>
          <w:shd w:val="clear" w:color="auto" w:fill="ffffff"/>
          <w:lang w:val="en-US" w:eastAsia="zh-CN" w:bidi="ar"/>
        </w:rPr>
        <w:t xml:space="preserve">制定《喀什市财政支出绩效评价管理（暂行办法）》，加强财政支出绩效评价管理。在部门预算编制中增加项目绩效目标，要求预算单位上报项目时必须同时申报预算绩效目标和其它相关佐证资料，包括立项依据、项目实施方案、资金管理办法和经费明细测算等。</w:t>
      </w:r>
      <w:r>
        <w:rPr>
          <w:rFonts w:hint="eastAsia" w:ascii="仿宋_GB2312" w:hAnsi="仿宋_GB2312" w:eastAsia="仿宋_GB2312" w:cs="仿宋_GB2312"/>
          <w:b w:val="0"/>
          <w:i w:val="0"/>
          <w:color w:val="363636"/>
          <w:sz w:val="32"/>
          <w:szCs w:val="32"/>
          <w:u w:val="none"/>
          <w:shd w:val="clear" w:color="auto" w:fill="ffffff"/>
          <w:lang w:val="en-US" w:eastAsia="zh-CN" w:bidi="ar"/>
        </w:rPr>
      </w:r>
      <w:r>
        <w:rPr>
          <w:rFonts w:hint="eastAsia" w:ascii="仿宋_GB2312" w:hAnsi="仿宋_GB2312" w:eastAsia="仿宋_GB2312" w:cs="仿宋_GB2312"/>
          <w:b w:val="0"/>
          <w:i w:val="0"/>
          <w:color w:val="363636"/>
          <w:sz w:val="32"/>
          <w:szCs w:val="32"/>
          <w:u w:val="none"/>
          <w:shd w:val="clear" w:color="auto" w:fill="ffffff"/>
          <w:lang w:val="en-US" w:eastAsia="zh-CN" w:bidi="ar"/>
        </w:rPr>
      </w:r>
    </w:p>
    <w:p>
      <w:pPr>
        <w:pStyle w:val="616"/>
        <w:keepNext w:val="false"/>
        <w:keepLines w:val="false"/>
        <w:pageBreakBefore w:val="false"/>
        <w:widowControl w:val="false"/>
        <w:pBdr/>
        <w:spacing w:line="560" w:lineRule="exact"/>
        <w:ind w:right="0" w:firstLine="643" w:left="0"/>
        <w:jc w:val="both"/>
        <w:outlineLvl w:val="9"/>
        <w:rPr>
          <w:rFonts w:hint="eastAsia" w:ascii="仿宋_GB2312" w:hAnsi="仿宋_GB2312" w:eastAsia="仿宋_GB2312" w:cs="仿宋_GB2312"/>
          <w:b w:val="0"/>
          <w:bCs w:val="0"/>
          <w:i w:val="0"/>
          <w:color w:val="363636"/>
          <w:sz w:val="32"/>
          <w:szCs w:val="32"/>
          <w:u w:val="none"/>
          <w:shd w:val="clear" w:color="auto" w:fill="ffffff"/>
          <w:lang w:val="en-US" w:eastAsia="zh-CN" w:bidi="ar"/>
        </w:rPr>
      </w:pPr>
      <w:r>
        <w:rPr>
          <w:rFonts w:hint="eastAsia" w:ascii="仿宋_GB2312" w:hAnsi="仿宋_GB2312" w:eastAsia="仿宋_GB2312" w:cs="仿宋_GB2312"/>
          <w:b/>
          <w:bCs/>
          <w:i w:val="0"/>
          <w:color w:val="363636"/>
          <w:sz w:val="32"/>
          <w:szCs w:val="32"/>
          <w:u w:val="none"/>
          <w:shd w:val="clear" w:color="auto" w:fill="ffffff"/>
          <w:lang w:val="en-US" w:eastAsia="zh-CN" w:bidi="ar"/>
        </w:rPr>
        <w:t xml:space="preserve">二是</w:t>
      </w:r>
      <w:r>
        <w:rPr>
          <w:rFonts w:hint="eastAsia" w:ascii="仿宋_GB2312" w:hAnsi="仿宋_GB2312" w:eastAsia="仿宋_GB2312" w:cs="仿宋_GB2312"/>
          <w:b w:val="0"/>
          <w:bCs w:val="0"/>
          <w:i w:val="0"/>
          <w:color w:val="363636"/>
          <w:sz w:val="32"/>
          <w:szCs w:val="32"/>
          <w:u w:val="none"/>
          <w:shd w:val="clear" w:color="auto" w:fill="ffffff"/>
          <w:lang w:val="en-US" w:eastAsia="zh-CN" w:bidi="ar"/>
        </w:rPr>
        <w:t xml:space="preserve">强化收入征管措施，努力完成目标任务。</w:t>
      </w:r>
      <w:r>
        <w:rPr>
          <w:rFonts w:hint="eastAsia" w:ascii="仿宋_GB2312" w:eastAsia="仿宋_GB2312"/>
          <w:bCs/>
          <w:sz w:val="32"/>
          <w:szCs w:val="32"/>
          <w:u w:val="none"/>
          <w:lang w:eastAsia="zh-CN"/>
        </w:rPr>
        <w:t xml:space="preserve">召集税务部门召开财税联席会议，总结分析当前财政收入执行情况，提出针对性措施，强化收入征管，确保各项收入应收尽收，努力完成目标任务。</w:t>
      </w:r>
      <w:r>
        <w:rPr>
          <w:rFonts w:hint="eastAsia" w:ascii="仿宋_GB2312" w:hAnsi="仿宋_GB2312" w:eastAsia="仿宋_GB2312" w:cs="仿宋_GB2312"/>
          <w:b w:val="0"/>
          <w:bCs w:val="0"/>
          <w:i w:val="0"/>
          <w:color w:val="363636"/>
          <w:sz w:val="32"/>
          <w:szCs w:val="32"/>
          <w:u w:val="none"/>
          <w:shd w:val="clear" w:color="auto" w:fill="ffffff"/>
          <w:lang w:val="en-US" w:eastAsia="zh-CN" w:bidi="ar"/>
        </w:rPr>
      </w:r>
      <w:r>
        <w:rPr>
          <w:rFonts w:hint="eastAsia" w:ascii="仿宋_GB2312" w:hAnsi="仿宋_GB2312" w:eastAsia="仿宋_GB2312" w:cs="仿宋_GB2312"/>
          <w:b w:val="0"/>
          <w:bCs w:val="0"/>
          <w:i w:val="0"/>
          <w:color w:val="363636"/>
          <w:sz w:val="32"/>
          <w:szCs w:val="32"/>
          <w:u w:val="none"/>
          <w:shd w:val="clear" w:color="auto" w:fill="ffffff"/>
          <w:lang w:val="en-US" w:eastAsia="zh-CN" w:bidi="ar"/>
        </w:rPr>
      </w:r>
    </w:p>
    <w:p>
      <w:pPr>
        <w:pStyle w:val="616"/>
        <w:keepNext w:val="false"/>
        <w:keepLines w:val="false"/>
        <w:pageBreakBefore w:val="false"/>
        <w:widowControl w:val="false"/>
        <w:suppressLineNumbers w:val="false"/>
        <w:pBdr/>
        <w:spacing w:afterAutospacing="0" w:beforeAutospacing="0" w:line="560" w:lineRule="exact"/>
        <w:ind w:right="0" w:firstLine="643" w:left="0"/>
        <w:jc w:val="both"/>
        <w:outlineLvl w:val="9"/>
        <w:rPr>
          <w:rFonts w:hint="eastAsia" w:ascii="仿宋_GB2312" w:hAnsi="仿宋_GB2312" w:eastAsia="仿宋_GB2312" w:cs="仿宋_GB2312"/>
          <w:b w:val="0"/>
          <w:bCs w:val="0"/>
          <w:i w:val="0"/>
          <w:color w:val="363636"/>
          <w:sz w:val="32"/>
          <w:szCs w:val="32"/>
          <w:u w:val="none"/>
          <w:shd w:val="clear" w:color="auto" w:fill="ffffff"/>
          <w:lang w:val="en-US" w:eastAsia="zh-CN" w:bidi="ar"/>
        </w:rPr>
      </w:pPr>
      <w:r>
        <w:rPr>
          <w:rFonts w:hint="eastAsia" w:ascii="仿宋_GB2312" w:hAnsi="仿宋_GB2312" w:eastAsia="仿宋_GB2312" w:cs="仿宋_GB2312"/>
          <w:b/>
          <w:bCs/>
          <w:i w:val="0"/>
          <w:color w:val="363636"/>
          <w:sz w:val="32"/>
          <w:szCs w:val="32"/>
          <w:u w:val="none"/>
          <w:shd w:val="clear" w:color="auto" w:fill="ffffff"/>
          <w:lang w:val="en-US" w:eastAsia="zh-CN" w:bidi="ar"/>
        </w:rPr>
        <w:t xml:space="preserve">三是</w:t>
      </w:r>
      <w:r>
        <w:rPr>
          <w:rFonts w:hint="eastAsia" w:ascii="仿宋_GB2312" w:hAnsi="仿宋_GB2312" w:eastAsia="仿宋_GB2312" w:cs="仿宋_GB2312"/>
          <w:b w:val="0"/>
          <w:bCs w:val="0"/>
          <w:i w:val="0"/>
          <w:color w:val="363636"/>
          <w:sz w:val="32"/>
          <w:szCs w:val="32"/>
          <w:u w:val="none"/>
          <w:shd w:val="clear" w:color="auto" w:fill="ffffff"/>
          <w:lang w:val="en-US" w:eastAsia="zh-CN" w:bidi="ar"/>
        </w:rPr>
        <w:t xml:space="preserve">持续抓好财政支出序时进度。按照地委持续加快支出进度的工作部署，结合库款结余和已拨付资金情况，</w:t>
      </w:r>
      <w:r>
        <w:rPr>
          <w:rFonts w:hint="eastAsia" w:ascii="仿宋_GB2312" w:eastAsia="仿宋_GB2312"/>
          <w:sz w:val="32"/>
          <w:szCs w:val="32"/>
          <w:lang w:val="en-US" w:eastAsia="zh-CN"/>
        </w:rPr>
        <w:t xml:space="preserve">多措并举持续抓好财政支出序时进度工作。</w:t>
      </w:r>
      <w:r>
        <w:rPr>
          <w:rFonts w:hint="eastAsia" w:ascii="仿宋_GB2312" w:hAnsi="仿宋_GB2312" w:eastAsia="仿宋_GB2312" w:cs="仿宋_GB2312"/>
          <w:b w:val="0"/>
          <w:bCs w:val="0"/>
          <w:i w:val="0"/>
          <w:color w:val="363636"/>
          <w:sz w:val="32"/>
          <w:szCs w:val="32"/>
          <w:u w:val="none"/>
          <w:shd w:val="clear" w:color="auto" w:fill="ffffff"/>
          <w:lang w:val="en-US" w:eastAsia="zh-CN" w:bidi="ar"/>
        </w:rPr>
      </w:r>
      <w:r>
        <w:rPr>
          <w:rFonts w:hint="eastAsia" w:ascii="仿宋_GB2312" w:hAnsi="仿宋_GB2312" w:eastAsia="仿宋_GB2312" w:cs="仿宋_GB2312"/>
          <w:b w:val="0"/>
          <w:bCs w:val="0"/>
          <w:i w:val="0"/>
          <w:color w:val="363636"/>
          <w:sz w:val="32"/>
          <w:szCs w:val="32"/>
          <w:u w:val="none"/>
          <w:shd w:val="clear" w:color="auto" w:fill="ffffff"/>
          <w:lang w:val="en-US" w:eastAsia="zh-CN" w:bidi="ar"/>
        </w:rPr>
      </w:r>
    </w:p>
    <w:p>
      <w:pPr>
        <w:pStyle w:val="616"/>
        <w:keepNext w:val="false"/>
        <w:keepLines w:val="false"/>
        <w:pageBreakBefore w:val="false"/>
        <w:widowControl w:val="false"/>
        <w:pBdr/>
        <w:spacing w:line="560" w:lineRule="exact"/>
        <w:ind w:right="0" w:firstLine="643" w:left="0"/>
        <w:jc w:val="both"/>
        <w:outlineLvl w:val="9"/>
        <w:rPr>
          <w:rFonts w:hint="eastAsia" w:ascii="仿宋_GB2312" w:eastAsia="仿宋_GB2312"/>
          <w:b w:val="0"/>
          <w:bCs w:val="0"/>
          <w:sz w:val="32"/>
          <w:szCs w:val="32"/>
          <w:lang w:val="en-US" w:eastAsia="zh-CN"/>
        </w:rPr>
      </w:pPr>
      <w:r>
        <w:rPr>
          <w:rFonts w:hint="eastAsia" w:ascii="仿宋_GB2312" w:eastAsia="仿宋_GB2312"/>
          <w:b/>
          <w:bCs/>
          <w:sz w:val="32"/>
          <w:szCs w:val="32"/>
          <w:lang w:val="en-US" w:eastAsia="zh-CN"/>
        </w:rPr>
        <w:t xml:space="preserve">四是</w:t>
      </w:r>
      <w:r>
        <w:rPr>
          <w:rFonts w:hint="eastAsia" w:ascii="仿宋_GB2312" w:eastAsia="仿宋_GB2312"/>
          <w:b w:val="0"/>
          <w:bCs w:val="0"/>
          <w:sz w:val="32"/>
          <w:szCs w:val="32"/>
          <w:lang w:val="en-US" w:eastAsia="zh-CN"/>
        </w:rPr>
        <w:t xml:space="preserve">落实好盘活财政存量资金。严格落实盘活存量自今年的范围和政策规定，实行存量资金清理常态化管理，对结余结转2年以上的收回财政总预算，补充预算稳定基金管理，对不到2年的，明确支出时限，在时限内未形成支出的收回财政总预算，补充预算稳定调节基金。</w:t>
      </w:r>
      <w:r>
        <w:rPr>
          <w:rFonts w:hint="eastAsia" w:ascii="仿宋_GB2312" w:eastAsia="仿宋_GB2312"/>
          <w:b w:val="0"/>
          <w:bCs w:val="0"/>
          <w:sz w:val="32"/>
          <w:szCs w:val="32"/>
          <w:lang w:val="en-US" w:eastAsia="zh-CN"/>
        </w:rPr>
      </w:r>
      <w:r>
        <w:rPr>
          <w:rFonts w:hint="eastAsia" w:ascii="仿宋_GB2312" w:eastAsia="仿宋_GB2312"/>
          <w:b w:val="0"/>
          <w:bCs w:val="0"/>
          <w:sz w:val="32"/>
          <w:szCs w:val="32"/>
          <w:lang w:val="en-US" w:eastAsia="zh-CN"/>
        </w:rPr>
      </w:r>
    </w:p>
    <w:p>
      <w:pPr>
        <w:pStyle w:val="616"/>
        <w:keepNext w:val="false"/>
        <w:keepLines w:val="false"/>
        <w:pageBreakBefore w:val="false"/>
        <w:pBdr/>
        <w:spacing w:line="560" w:lineRule="exact"/>
        <w:ind w:right="0" w:firstLine="643" w:left="0"/>
        <w:outlineLvl w:val="9"/>
        <w:rPr>
          <w:rFonts w:hint="eastAsia" w:ascii="仿宋_GB2312" w:hAnsi="仿宋_GB2312" w:eastAsia="仿宋_GB2312" w:cs="仿宋_GB2312"/>
          <w:sz w:val="32"/>
          <w:szCs w:val="32"/>
        </w:rPr>
      </w:pPr>
      <w:r>
        <w:rPr>
          <w:rFonts w:hint="eastAsia" w:ascii="仿宋_GB2312" w:eastAsia="仿宋_GB2312"/>
          <w:b/>
          <w:bCs/>
          <w:sz w:val="32"/>
          <w:szCs w:val="32"/>
          <w:lang w:val="en-US" w:eastAsia="zh-CN"/>
        </w:rPr>
        <w:t xml:space="preserve">五是</w:t>
      </w:r>
      <w:r>
        <w:rPr>
          <w:rFonts w:hint="eastAsia" w:ascii="仿宋_GB2312" w:eastAsia="仿宋_GB2312"/>
          <w:b w:val="0"/>
          <w:bCs w:val="0"/>
          <w:sz w:val="32"/>
          <w:szCs w:val="32"/>
          <w:lang w:val="en-US" w:eastAsia="zh-CN"/>
        </w:rPr>
        <w:t xml:space="preserve">加强地方财政库款管理工作。</w:t>
      </w:r>
      <w:r>
        <w:rPr>
          <w:rFonts w:hint="eastAsia" w:ascii="仿宋_GB2312" w:hAnsi="微软雅黑" w:eastAsia="仿宋_GB2312" w:cs="宋体"/>
          <w:sz w:val="32"/>
          <w:szCs w:val="32"/>
        </w:rPr>
        <w:t xml:space="preserve">成立喀什市库款管理</w:t>
      </w:r>
      <w:r>
        <w:rPr>
          <w:rFonts w:ascii="仿宋_GB2312" w:hAnsi="微软雅黑" w:eastAsia="仿宋_GB2312" w:cs="宋体"/>
          <w:sz w:val="32"/>
          <w:szCs w:val="32"/>
        </w:rPr>
        <w:t xml:space="preserve">领导小组</w:t>
      </w:r>
      <w:r>
        <w:rPr>
          <w:rFonts w:hint="eastAsia" w:ascii="仿宋_GB2312" w:hAnsi="微软雅黑" w:eastAsia="仿宋_GB2312" w:cs="宋体"/>
          <w:sz w:val="32"/>
          <w:szCs w:val="32"/>
        </w:rPr>
        <w:t xml:space="preserve">，</w:t>
      </w:r>
      <w:r>
        <w:rPr>
          <w:rFonts w:hint="eastAsia" w:ascii="仿宋_GB2312" w:hAnsi="仿宋_GB2312" w:eastAsia="仿宋_GB2312" w:cs="仿宋_GB2312"/>
          <w:sz w:val="32"/>
          <w:szCs w:val="32"/>
        </w:rPr>
        <w:t xml:space="preserve">建立地方财政库款</w:t>
      </w:r>
      <w:r>
        <w:rPr>
          <w:rFonts w:hint="eastAsia" w:ascii="仿宋_GB2312" w:hAnsi="仿宋_GB2312" w:eastAsia="仿宋_GB2312" w:cs="仿宋_GB2312"/>
          <w:sz w:val="32"/>
          <w:szCs w:val="32"/>
          <w:lang w:eastAsia="zh-CN"/>
        </w:rPr>
        <w:t xml:space="preserve">考核</w:t>
      </w:r>
      <w:r>
        <w:rPr>
          <w:rFonts w:hint="eastAsia" w:ascii="仿宋_GB2312" w:hAnsi="仿宋_GB2312" w:eastAsia="仿宋_GB2312" w:cs="仿宋_GB2312"/>
          <w:sz w:val="32"/>
          <w:szCs w:val="32"/>
        </w:rPr>
        <w:t xml:space="preserve">机制</w:t>
      </w:r>
      <w:r>
        <w:rPr>
          <w:rFonts w:hint="eastAsia" w:ascii="仿宋_GB2312" w:hAnsi="仿宋_GB2312" w:eastAsia="仿宋_GB2312" w:cs="仿宋_GB2312"/>
          <w:sz w:val="32"/>
          <w:szCs w:val="32"/>
          <w:lang w:eastAsia="zh-CN"/>
        </w:rPr>
        <w:t xml:space="preserve">，</w:t>
      </w:r>
      <w:r>
        <w:rPr>
          <w:rFonts w:hint="eastAsia" w:ascii="仿宋_GB2312" w:hAnsi="仿宋_GB2312" w:eastAsia="仿宋_GB2312" w:cs="仿宋_GB2312"/>
          <w:sz w:val="32"/>
          <w:szCs w:val="32"/>
        </w:rPr>
        <w:t xml:space="preserve">密切关注库款</w:t>
      </w:r>
      <w:r>
        <w:rPr>
          <w:rFonts w:hint="eastAsia" w:ascii="仿宋_GB2312" w:hAnsi="仿宋_GB2312" w:eastAsia="仿宋_GB2312" w:cs="仿宋_GB2312"/>
          <w:sz w:val="32"/>
          <w:szCs w:val="32"/>
          <w:lang w:eastAsia="zh-CN"/>
        </w:rPr>
        <w:t xml:space="preserve">流入流出变动</w:t>
      </w:r>
      <w:r>
        <w:rPr>
          <w:rFonts w:hint="eastAsia" w:ascii="仿宋_GB2312" w:hAnsi="仿宋_GB2312" w:eastAsia="仿宋_GB2312" w:cs="仿宋_GB2312"/>
          <w:sz w:val="32"/>
          <w:szCs w:val="32"/>
        </w:rPr>
        <w:t xml:space="preserve">情况，</w:t>
      </w:r>
      <w:r>
        <w:rPr>
          <w:rFonts w:hint="eastAsia" w:ascii="仿宋_GB2312" w:hAnsi="仿宋_GB2312" w:eastAsia="仿宋_GB2312" w:cs="仿宋_GB2312"/>
          <w:sz w:val="32"/>
          <w:szCs w:val="32"/>
          <w:lang w:eastAsia="zh-CN"/>
        </w:rPr>
        <w:t xml:space="preserve">结合</w:t>
      </w:r>
      <w:r>
        <w:rPr>
          <w:rFonts w:hint="eastAsia" w:ascii="仿宋_GB2312" w:hAnsi="仿宋_GB2312" w:eastAsia="仿宋_GB2312" w:cs="仿宋_GB2312"/>
          <w:sz w:val="32"/>
          <w:szCs w:val="32"/>
        </w:rPr>
        <w:t xml:space="preserve">库款</w:t>
      </w:r>
      <w:r>
        <w:rPr>
          <w:rFonts w:hint="eastAsia" w:ascii="仿宋_GB2312" w:hAnsi="仿宋_GB2312" w:eastAsia="仿宋_GB2312" w:cs="仿宋_GB2312"/>
          <w:sz w:val="32"/>
          <w:szCs w:val="32"/>
          <w:lang w:eastAsia="zh-CN"/>
        </w:rPr>
        <w:t xml:space="preserve">余额</w:t>
      </w:r>
      <w:r>
        <w:rPr>
          <w:rFonts w:hint="eastAsia" w:ascii="仿宋_GB2312" w:hAnsi="仿宋_GB2312" w:eastAsia="仿宋_GB2312" w:cs="仿宋_GB2312"/>
          <w:sz w:val="32"/>
          <w:szCs w:val="32"/>
        </w:rPr>
        <w:t xml:space="preserve">，加快</w:t>
      </w:r>
      <w:r>
        <w:rPr>
          <w:rFonts w:hint="eastAsia" w:ascii="仿宋_GB2312" w:hAnsi="仿宋_GB2312" w:eastAsia="仿宋_GB2312" w:cs="仿宋_GB2312"/>
          <w:sz w:val="32"/>
          <w:szCs w:val="32"/>
          <w:lang w:eastAsia="zh-CN"/>
        </w:rPr>
        <w:t xml:space="preserve">项目支出进度</w:t>
      </w:r>
      <w:r>
        <w:rPr>
          <w:rFonts w:hint="eastAsia" w:ascii="仿宋_GB2312" w:hAnsi="仿宋_GB2312" w:eastAsia="仿宋_GB2312" w:cs="仿宋_GB2312"/>
          <w:sz w:val="32"/>
          <w:szCs w:val="32"/>
        </w:rPr>
        <w:t xml:space="preserve">，确保</w:t>
      </w:r>
      <w:r>
        <w:rPr>
          <w:rFonts w:hint="eastAsia" w:ascii="仿宋_GB2312" w:hAnsi="仿宋_GB2312" w:eastAsia="仿宋_GB2312" w:cs="仿宋_GB2312"/>
          <w:color w:val="000000"/>
          <w:sz w:val="32"/>
          <w:szCs w:val="32"/>
          <w:highlight w:val="none"/>
          <w:lang w:eastAsia="zh-CN"/>
        </w:rPr>
        <w:t xml:space="preserve">库款考核各项指标控制</w:t>
      </w:r>
      <w:r>
        <w:rPr>
          <w:rFonts w:hint="eastAsia" w:ascii="仿宋_GB2312" w:hAnsi="仿宋_GB2312" w:eastAsia="仿宋_GB2312" w:cs="仿宋_GB2312"/>
          <w:sz w:val="32"/>
          <w:szCs w:val="32"/>
        </w:rPr>
        <w:t xml:space="preserve">在合理区间。</w:t>
      </w:r>
      <w:r>
        <w:rPr>
          <w:rFonts w:hint="eastAsia" w:ascii="仿宋_GB2312" w:hAnsi="仿宋_GB2312" w:eastAsia="仿宋_GB2312" w:cs="仿宋_GB2312"/>
          <w:sz w:val="32"/>
          <w:szCs w:val="32"/>
        </w:rPr>
      </w:r>
      <w:r>
        <w:rPr>
          <w:rFonts w:hint="eastAsia" w:ascii="仿宋_GB2312" w:hAnsi="仿宋_GB2312" w:eastAsia="仿宋_GB2312" w:cs="仿宋_GB2312"/>
          <w:sz w:val="32"/>
          <w:szCs w:val="32"/>
        </w:rPr>
      </w:r>
    </w:p>
    <w:p>
      <w:pPr>
        <w:pStyle w:val="616"/>
        <w:keepNext w:val="false"/>
        <w:keepLines w:val="false"/>
        <w:pageBreakBefore w:val="false"/>
        <w:widowControl w:val="false"/>
        <w:pBdr/>
        <w:spacing w:line="560" w:lineRule="exact"/>
        <w:ind w:right="0" w:firstLine="720" w:left="0"/>
        <w:jc w:val="both"/>
        <w:outlineLvl w:val="9"/>
        <w:rPr>
          <w:rFonts w:hint="eastAsia" w:ascii="宋体" w:hAnsi="宋体" w:eastAsia="宋体" w:cs="宋体"/>
          <w:b w:val="0"/>
          <w:bCs w:val="0"/>
          <w:sz w:val="36"/>
          <w:szCs w:val="36"/>
        </w:rPr>
      </w:pPr>
      <w:r>
        <w:rPr>
          <w:rFonts w:hint="eastAsia" w:ascii="宋体" w:hAnsi="宋体" w:eastAsia="宋体" w:cs="宋体"/>
          <w:b w:val="0"/>
          <w:bCs w:val="0"/>
          <w:sz w:val="36"/>
          <w:szCs w:val="36"/>
        </w:rPr>
      </w:r>
      <w:r>
        <w:rPr>
          <w:rFonts w:hint="eastAsia" w:ascii="宋体" w:hAnsi="宋体" w:eastAsia="宋体" w:cs="宋体"/>
          <w:b w:val="0"/>
          <w:bCs w:val="0"/>
          <w:sz w:val="36"/>
          <w:szCs w:val="36"/>
        </w:rPr>
      </w:r>
    </w:p>
    <w:sectPr>
      <w:footnotePr/>
      <w:endnotePr/>
      <w:type w:val="nextPage"/>
      <w:pgSz w:h="16838" w:orient="landscape" w:w="11906"/>
      <w:pgMar w:top="2041" w:right="1474" w:bottom="1474" w:left="1474" w:header="851" w:footer="992"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小标宋简体">
    <w:panose1 w:val="02010601030101010101"/>
  </w:font>
  <w:font w:name="微软雅黑">
    <w:panose1 w:val="020B0503020204020204"/>
  </w:font>
  <w:font w:name="Arial">
    <w:panose1 w:val="020B0604020202020204"/>
  </w:font>
  <w:font w:name="宋体">
    <w:panose1 w:val="02010600030101010101"/>
  </w:font>
  <w:font w:name="Times New Roman">
    <w:panose1 w:val="02020603050405020304"/>
  </w:font>
  <w:font w:name="等线">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16"/>
    <w:next w:val="616"/>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16"/>
    <w:next w:val="616"/>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16"/>
    <w:next w:val="616"/>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16"/>
    <w:next w:val="616"/>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16"/>
    <w:next w:val="616"/>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16"/>
    <w:next w:val="616"/>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16"/>
    <w:next w:val="616"/>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16"/>
    <w:next w:val="616"/>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16"/>
    <w:next w:val="616"/>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16"/>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16"/>
    <w:next w:val="616"/>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16"/>
    <w:next w:val="616"/>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16"/>
    <w:next w:val="616"/>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16"/>
    <w:next w:val="616"/>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16"/>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16"/>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16"/>
    <w:next w:val="616"/>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16"/>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16"/>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16"/>
    <w:next w:val="616"/>
    <w:uiPriority w:val="39"/>
    <w:unhideWhenUsed/>
    <w:pPr>
      <w:pBdr/>
      <w:spacing w:after="57"/>
      <w:ind w:right="0" w:firstLine="0" w:left="0"/>
    </w:pPr>
  </w:style>
  <w:style w:type="paragraph" w:styleId="182">
    <w:name w:val="toc 2"/>
    <w:basedOn w:val="616"/>
    <w:next w:val="616"/>
    <w:uiPriority w:val="39"/>
    <w:unhideWhenUsed/>
    <w:pPr>
      <w:pBdr/>
      <w:spacing w:after="57"/>
      <w:ind w:right="0" w:firstLine="0" w:left="283"/>
    </w:pPr>
  </w:style>
  <w:style w:type="paragraph" w:styleId="183">
    <w:name w:val="toc 3"/>
    <w:basedOn w:val="616"/>
    <w:next w:val="616"/>
    <w:uiPriority w:val="39"/>
    <w:unhideWhenUsed/>
    <w:pPr>
      <w:pBdr/>
      <w:spacing w:after="57"/>
      <w:ind w:right="0" w:firstLine="0" w:left="567"/>
    </w:pPr>
  </w:style>
  <w:style w:type="paragraph" w:styleId="184">
    <w:name w:val="toc 4"/>
    <w:basedOn w:val="616"/>
    <w:next w:val="616"/>
    <w:uiPriority w:val="39"/>
    <w:unhideWhenUsed/>
    <w:pPr>
      <w:pBdr/>
      <w:spacing w:after="57"/>
      <w:ind w:right="0" w:firstLine="0" w:left="850"/>
    </w:pPr>
  </w:style>
  <w:style w:type="paragraph" w:styleId="185">
    <w:name w:val="toc 5"/>
    <w:basedOn w:val="616"/>
    <w:next w:val="616"/>
    <w:uiPriority w:val="39"/>
    <w:unhideWhenUsed/>
    <w:pPr>
      <w:pBdr/>
      <w:spacing w:after="57"/>
      <w:ind w:right="0" w:firstLine="0" w:left="1134"/>
    </w:pPr>
  </w:style>
  <w:style w:type="paragraph" w:styleId="186">
    <w:name w:val="toc 6"/>
    <w:basedOn w:val="616"/>
    <w:next w:val="616"/>
    <w:uiPriority w:val="39"/>
    <w:unhideWhenUsed/>
    <w:pPr>
      <w:pBdr/>
      <w:spacing w:after="57"/>
      <w:ind w:right="0" w:firstLine="0" w:left="1417"/>
    </w:pPr>
  </w:style>
  <w:style w:type="paragraph" w:styleId="187">
    <w:name w:val="toc 7"/>
    <w:basedOn w:val="616"/>
    <w:next w:val="616"/>
    <w:uiPriority w:val="39"/>
    <w:unhideWhenUsed/>
    <w:pPr>
      <w:pBdr/>
      <w:spacing w:after="57"/>
      <w:ind w:right="0" w:firstLine="0" w:left="1701"/>
    </w:pPr>
  </w:style>
  <w:style w:type="paragraph" w:styleId="188">
    <w:name w:val="toc 8"/>
    <w:basedOn w:val="616"/>
    <w:next w:val="616"/>
    <w:uiPriority w:val="39"/>
    <w:unhideWhenUsed/>
    <w:pPr>
      <w:pBdr/>
      <w:spacing w:after="57"/>
      <w:ind w:right="0" w:firstLine="0" w:left="1984"/>
    </w:pPr>
  </w:style>
  <w:style w:type="paragraph" w:styleId="189">
    <w:name w:val="toc 9"/>
    <w:basedOn w:val="616"/>
    <w:next w:val="616"/>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16"/>
    <w:next w:val="616"/>
    <w:uiPriority w:val="99"/>
    <w:unhideWhenUsed/>
    <w:pPr>
      <w:pBdr/>
      <w:spacing w:after="0" w:afterAutospacing="0"/>
      <w:ind/>
    </w:pPr>
  </w:style>
  <w:style w:type="paragraph" w:styleId="616" w:default="1">
    <w:name w:val="Normal"/>
    <w:next w:val="616"/>
    <w:link w:val="616"/>
    <w:qFormat/>
    <w:pPr>
      <w:widowControl w:val="false"/>
      <w:pBdr/>
      <w:spacing/>
      <w:ind/>
      <w:jc w:val="both"/>
    </w:pPr>
    <w:rPr>
      <w:rFonts w:ascii="Calibri" w:hAnsi="Calibri" w:eastAsia="宋体" w:cs="Times New Roman"/>
      <w:sz w:val="21"/>
      <w:szCs w:val="24"/>
      <w:lang w:val="en-US" w:eastAsia="zh-CN" w:bidi="ar-SA"/>
    </w:rPr>
  </w:style>
  <w:style w:type="character" w:styleId="617">
    <w:name w:val="默认段落字体"/>
    <w:next w:val="617"/>
    <w:link w:val="616"/>
    <w:semiHidden/>
    <w:pPr>
      <w:pBdr/>
      <w:spacing/>
      <w:ind/>
    </w:pPr>
  </w:style>
  <w:style w:type="table" w:styleId="618">
    <w:name w:val="普通表格"/>
    <w:next w:val="618"/>
    <w:link w:val="616"/>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685" w:default="1">
    <w:name w:val="Default Paragraph Font"/>
    <w:uiPriority w:val="1"/>
    <w:semiHidden/>
    <w:unhideWhenUsed/>
    <w:pPr>
      <w:pBdr/>
      <w:spacing/>
      <w:ind/>
    </w:pPr>
  </w:style>
  <w:style w:type="numbering" w:styleId="686" w:default="1">
    <w:name w:val="No List"/>
    <w:uiPriority w:val="99"/>
    <w:semiHidden/>
    <w:unhideWhenUsed/>
    <w:pPr>
      <w:pBdr/>
      <w:spacing/>
      <w:ind/>
    </w:pPr>
  </w:style>
  <w:style w:type="table" w:styleId="687"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匿名</cp:lastModifiedBy>
  <cp:revision>1</cp:revision>
  <dcterms:created xsi:type="dcterms:W3CDTF">2014-10-29T12:08:00Z</dcterms:created>
  <dcterms:modified xsi:type="dcterms:W3CDTF">2026-08-26T09:00:20Z</dcterms:modified>
</cp:coreProperties>
</file>