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7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喀什市202</w:t>
      </w:r>
      <w:r>
        <w:rPr>
          <w:rFonts w:hint="eastAsia" w:eastAsia="方正小标宋_GBK" w:cs="Times New Roman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年</w:t>
      </w:r>
      <w:r>
        <w:rPr>
          <w:rFonts w:hint="eastAsia" w:eastAsia="方正小标宋_GBK" w:cs="Times New Roman"/>
          <w:bCs/>
          <w:sz w:val="44"/>
          <w:szCs w:val="44"/>
          <w:lang w:eastAsia="zh-CN"/>
        </w:rPr>
        <w:t>上半年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经济运行情况</w:t>
      </w:r>
    </w:p>
    <w:p w14:paraId="4967E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kern w:val="36"/>
          <w:sz w:val="32"/>
          <w:szCs w:val="32"/>
          <w:lang w:eastAsia="zh-CN"/>
        </w:rPr>
      </w:pPr>
    </w:p>
    <w:p w14:paraId="304AA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4" w:firstLineChars="200"/>
        <w:textAlignment w:val="auto"/>
        <w:rPr>
          <w:rFonts w:hint="default" w:ascii="Times New Roman" w:hAnsi="Times New Roman" w:eastAsia="方正黑体_GBK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6"/>
          <w:sz w:val="32"/>
          <w:szCs w:val="32"/>
        </w:rPr>
        <w:t>一、经济运行总体情况</w:t>
      </w:r>
    </w:p>
    <w:p w14:paraId="5B29B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</w:rPr>
        <w:t>经地区统计局反馈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lang w:val="en-US" w:eastAsia="zh-CN"/>
        </w:rPr>
        <w:t>上半年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lang w:eastAsia="zh-CN"/>
        </w:rPr>
        <w:t>喀什市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lang w:eastAsia="zh-CN"/>
        </w:rPr>
        <w:t>地区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</w:rPr>
        <w:t>生产总值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209.65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亿元，同比增长</w:t>
      </w:r>
      <w:r>
        <w:rPr>
          <w:rFonts w:hint="eastAsia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6.6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 w14:paraId="69A9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spacing w:val="6"/>
          <w:kern w:val="0"/>
          <w:sz w:val="32"/>
          <w:szCs w:val="32"/>
        </w:rPr>
        <w:t>——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eastAsia="zh-CN"/>
        </w:rPr>
        <w:t>工业增加值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12.32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亿元，同比增长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27.5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。其中，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规上工业增加值</w:t>
      </w:r>
      <w:r>
        <w:rPr>
          <w:rFonts w:hint="default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8.27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亿元，同比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增长</w:t>
      </w:r>
      <w:r>
        <w:rPr>
          <w:rFonts w:hint="default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14.2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%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。</w:t>
      </w:r>
    </w:p>
    <w:p w14:paraId="76535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spacing w:val="6"/>
          <w:kern w:val="0"/>
          <w:sz w:val="32"/>
          <w:szCs w:val="32"/>
          <w:highlight w:val="none"/>
        </w:rPr>
        <w:t>——</w:t>
      </w:r>
      <w:r>
        <w:rPr>
          <w:rFonts w:hint="eastAsia" w:eastAsia="方正仿宋_GBK" w:cs="Times New Roman"/>
          <w:snapToGrid w:val="0"/>
          <w:spacing w:val="6"/>
          <w:kern w:val="0"/>
          <w:sz w:val="32"/>
          <w:szCs w:val="32"/>
          <w:highlight w:val="none"/>
          <w:lang w:eastAsia="zh-CN"/>
        </w:rPr>
        <w:t>全社会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固定资产投资（不含农户）</w:t>
      </w:r>
      <w:r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  <w:t>103.99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亿元，同比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下降</w:t>
      </w:r>
      <w:r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  <w:t>7.2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%。</w:t>
      </w:r>
    </w:p>
    <w:p w14:paraId="580FB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spacing w:val="6"/>
          <w:kern w:val="0"/>
          <w:sz w:val="32"/>
          <w:szCs w:val="32"/>
          <w:highlight w:val="none"/>
        </w:rPr>
        <w:t>——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社会消费品零售总额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val="en-US" w:eastAsia="zh-CN"/>
        </w:rPr>
        <w:t>113.49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亿元，同比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val="en-US" w:eastAsia="zh-CN"/>
        </w:rPr>
        <w:t>6.5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%</w:t>
      </w:r>
      <w:r>
        <w:rPr>
          <w:rFonts w:eastAsia="方正仿宋_GBK"/>
          <w:snapToGrid w:val="0"/>
          <w:color w:val="auto"/>
          <w:spacing w:val="6"/>
          <w:kern w:val="0"/>
          <w:sz w:val="32"/>
          <w:szCs w:val="32"/>
          <w:highlight w:val="none"/>
        </w:rPr>
        <w:t>。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其中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eastAsia="zh-CN"/>
        </w:rPr>
        <w:t>，</w:t>
      </w:r>
      <w:r>
        <w:rPr>
          <w:rFonts w:eastAsia="方正仿宋_GBK"/>
          <w:snapToGrid w:val="0"/>
          <w:color w:val="auto"/>
          <w:spacing w:val="6"/>
          <w:kern w:val="0"/>
          <w:sz w:val="32"/>
          <w:szCs w:val="32"/>
          <w:highlight w:val="none"/>
        </w:rPr>
        <w:t>限额以上社会消费品零售总额</w:t>
      </w:r>
      <w:r>
        <w:rPr>
          <w:rFonts w:hint="default" w:eastAsia="方正仿宋_GBK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54.51</w:t>
      </w:r>
      <w:r>
        <w:rPr>
          <w:rFonts w:eastAsia="方正仿宋_GBK"/>
          <w:snapToGrid w:val="0"/>
          <w:color w:val="auto"/>
          <w:spacing w:val="6"/>
          <w:kern w:val="0"/>
          <w:sz w:val="32"/>
          <w:szCs w:val="32"/>
          <w:highlight w:val="none"/>
        </w:rPr>
        <w:t>亿元，同比增长</w:t>
      </w:r>
      <w:r>
        <w:rPr>
          <w:rFonts w:hint="default" w:eastAsia="方正仿宋_GBK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6.9</w:t>
      </w:r>
      <w:r>
        <w:rPr>
          <w:rFonts w:eastAsia="方正仿宋_GBK"/>
          <w:snapToGrid w:val="0"/>
          <w:color w:val="auto"/>
          <w:spacing w:val="6"/>
          <w:kern w:val="0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78DC7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4" w:firstLineChars="200"/>
        <w:textAlignment w:val="auto"/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spacing w:val="6"/>
          <w:kern w:val="0"/>
          <w:sz w:val="32"/>
          <w:szCs w:val="32"/>
          <w:highlight w:val="none"/>
        </w:rPr>
        <w:t>——</w:t>
      </w:r>
      <w:r>
        <w:rPr>
          <w:rFonts w:hint="default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一般公共预算收入</w:t>
      </w:r>
      <w:r>
        <w:rPr>
          <w:rFonts w:hint="default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19.22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亿元，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同比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增长</w:t>
      </w:r>
      <w:r>
        <w:rPr>
          <w:rFonts w:hint="eastAsia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10.0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%</w:t>
      </w:r>
      <w:r>
        <w:rPr>
          <w:rFonts w:hint="default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一般公共预算支出</w:t>
      </w:r>
      <w:r>
        <w:rPr>
          <w:rFonts w:hint="default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59.10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亿元，</w:t>
      </w:r>
      <w:r>
        <w:rPr>
          <w:rFonts w:hint="eastAsia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同比增长</w:t>
      </w:r>
      <w:r>
        <w:rPr>
          <w:rFonts w:hint="default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4.0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%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。</w:t>
      </w:r>
    </w:p>
    <w:p w14:paraId="2A42373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64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金融机构各项存款余额</w:t>
      </w:r>
      <w:r>
        <w:rPr>
          <w:rFonts w:hint="eastAsia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11</w:t>
      </w:r>
      <w:r>
        <w:rPr>
          <w:rFonts w:hint="default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86.29</w:t>
      </w:r>
      <w:r>
        <w:rPr>
          <w:rFonts w:hint="default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亿元</w:t>
      </w:r>
      <w:r>
        <w:rPr>
          <w:rFonts w:hint="eastAsia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，同比增长</w:t>
      </w:r>
      <w:r>
        <w:rPr>
          <w:rFonts w:hint="default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11.7</w:t>
      </w:r>
      <w:r>
        <w:rPr>
          <w:rFonts w:hint="eastAsia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%；</w:t>
      </w:r>
      <w:r>
        <w:rPr>
          <w:rFonts w:hint="default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贷款余额</w:t>
      </w:r>
      <w:r>
        <w:rPr>
          <w:rFonts w:hint="eastAsia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6</w:t>
      </w:r>
      <w:r>
        <w:rPr>
          <w:rFonts w:hint="default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65.07</w:t>
      </w:r>
      <w:r>
        <w:rPr>
          <w:rFonts w:hint="default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亿元，</w:t>
      </w:r>
      <w:r>
        <w:rPr>
          <w:rFonts w:hint="eastAsia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同比增长</w:t>
      </w:r>
      <w:r>
        <w:rPr>
          <w:rFonts w:hint="eastAsia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1</w:t>
      </w:r>
      <w:r>
        <w:rPr>
          <w:rFonts w:hint="default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2.4</w:t>
      </w:r>
      <w:r>
        <w:rPr>
          <w:rFonts w:hint="eastAsia" w:ascii="Times New Roman" w:hAnsi="Times New Roman" w:eastAsia="方正仿宋_GBK" w:cs="Times New Roman"/>
          <w:spacing w:val="0"/>
          <w:kern w:val="0"/>
          <w:sz w:val="32"/>
          <w:szCs w:val="36"/>
          <w:highlight w:val="none"/>
          <w:lang w:val="en-US" w:eastAsia="zh-CN" w:bidi="ar-SA"/>
        </w:rPr>
        <w:t>%。</w:t>
      </w:r>
    </w:p>
    <w:p w14:paraId="205B0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外贸进出口总额</w:t>
      </w:r>
      <w:r>
        <w:rPr>
          <w:rFonts w:hint="default" w:eastAsia="方正仿宋_GBK" w:cs="Times New Roman"/>
          <w:sz w:val="32"/>
          <w:szCs w:val="32"/>
          <w:highlight w:val="none"/>
          <w:lang w:val="en-US" w:eastAsia="zh-CN"/>
        </w:rPr>
        <w:t>104.65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亿元，同比增长</w:t>
      </w:r>
      <w:r>
        <w:rPr>
          <w:rFonts w:hint="default" w:eastAsia="方正仿宋_GBK" w:cs="Times New Roman"/>
          <w:sz w:val="32"/>
          <w:szCs w:val="32"/>
          <w:highlight w:val="none"/>
          <w:lang w:val="en-US" w:eastAsia="zh-CN"/>
        </w:rPr>
        <w:t>3.1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%。其中：出口总额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104.52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元，同比增长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；进口总额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1321.83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。</w:t>
      </w:r>
    </w:p>
    <w:p w14:paraId="62401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——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eastAsia="zh-CN"/>
        </w:rPr>
        <w:t>全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市居民消费价格指数（CPI）同比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eastAsia="zh-CN"/>
        </w:rPr>
        <w:t>上涨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1.4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%。</w:t>
      </w:r>
    </w:p>
    <w:p w14:paraId="33AF4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4" w:firstLineChars="200"/>
        <w:textAlignment w:val="auto"/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zh-CN" w:eastAsia="zh-CN"/>
        </w:rPr>
        <w:t>——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全市市场主体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10.</w:t>
      </w:r>
      <w:r>
        <w:rPr>
          <w:rFonts w:hint="default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eastAsia="方正仿宋_GBK" w:cs="Times New Roman"/>
          <w:b w:val="0"/>
          <w:bCs w:val="0"/>
          <w:color w:val="auto"/>
          <w:spacing w:val="6"/>
          <w:kern w:val="2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户，同比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下降3.</w:t>
      </w:r>
      <w:r>
        <w:rPr>
          <w:rFonts w:hint="default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%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其中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，</w:t>
      </w:r>
    </w:p>
    <w:p w14:paraId="30E98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本年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新注册登记市场主体</w:t>
      </w:r>
      <w:r>
        <w:rPr>
          <w:rFonts w:hint="default" w:eastAsia="方正仿宋_GBK" w:cs="Times New Roman"/>
          <w:b w:val="0"/>
          <w:bCs w:val="0"/>
          <w:color w:val="auto"/>
          <w:spacing w:val="6"/>
          <w:kern w:val="2"/>
          <w:sz w:val="32"/>
          <w:szCs w:val="32"/>
          <w:highlight w:val="none"/>
          <w:lang w:val="en-US" w:eastAsia="zh-CN"/>
        </w:rPr>
        <w:t>8239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户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同比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增长</w:t>
      </w:r>
      <w:r>
        <w:rPr>
          <w:rFonts w:hint="default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7.3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%。</w:t>
      </w:r>
    </w:p>
    <w:p w14:paraId="6B974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0" w:firstLine="664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zh-CN" w:eastAsia="zh-CN"/>
        </w:rPr>
        <w:t>——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zh-CN" w:eastAsia="zh-CN"/>
        </w:rPr>
        <w:t>航空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客运量243.99万人次，同比增长7.4%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货运量10451.59吨，同比增长13.6%。铁路客运量258.92万人次，同比增长7.7%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货运量125.27万吨，同比下降10.3%。</w:t>
      </w:r>
    </w:p>
    <w:p w14:paraId="6004D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4" w:firstLineChars="200"/>
        <w:jc w:val="left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</w:rPr>
        <w:t>——</w:t>
      </w:r>
      <w:r>
        <w:rPr>
          <w:rFonts w:hint="eastAsia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eastAsia="zh-CN"/>
        </w:rPr>
        <w:t>全社会用电量17.83亿千瓦时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，同比增长</w:t>
      </w:r>
      <w:r>
        <w:rPr>
          <w:rFonts w:hint="eastAsia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18.4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其中</w:t>
      </w:r>
      <w:r>
        <w:rPr>
          <w:rFonts w:hint="eastAsia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工业用电量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7.78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亿千瓦时</w:t>
      </w:r>
      <w:r>
        <w:rPr>
          <w:rFonts w:hint="eastAsia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，同比增长3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6.3</w:t>
      </w:r>
      <w:r>
        <w:rPr>
          <w:rFonts w:hint="eastAsia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。</w:t>
      </w:r>
    </w:p>
    <w:p w14:paraId="6DCD6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default" w:ascii="Times New Roman" w:hAnsi="Times New Roman" w:eastAsia="方正黑体_GBK" w:cs="Times New Roman"/>
          <w:bCs/>
          <w:spacing w:val="6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spacing w:val="6"/>
          <w:sz w:val="32"/>
          <w:szCs w:val="32"/>
        </w:rPr>
        <w:t>二、经济运行主要特点</w:t>
      </w:r>
    </w:p>
    <w:p w14:paraId="4F4C3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7" w:firstLineChars="200"/>
        <w:textAlignment w:val="auto"/>
        <w:rPr>
          <w:rFonts w:hint="eastAsia" w:eastAsia="方正楷体_GBK"/>
          <w:b/>
          <w:bCs/>
          <w:snapToGrid w:val="0"/>
          <w:spacing w:val="6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方正楷体_GBK"/>
          <w:b/>
          <w:bCs/>
          <w:snapToGrid w:val="0"/>
          <w:spacing w:val="6"/>
          <w:kern w:val="0"/>
          <w:sz w:val="32"/>
          <w:szCs w:val="32"/>
          <w:highlight w:val="none"/>
        </w:rPr>
        <w:t>（一）</w:t>
      </w:r>
      <w:r>
        <w:rPr>
          <w:rFonts w:hint="eastAsia" w:eastAsia="方正楷体_GBK"/>
          <w:b/>
          <w:bCs/>
          <w:snapToGrid w:val="0"/>
          <w:spacing w:val="6"/>
          <w:kern w:val="0"/>
          <w:sz w:val="32"/>
          <w:szCs w:val="32"/>
          <w:highlight w:val="none"/>
          <w:lang w:eastAsia="zh-CN"/>
        </w:rPr>
        <w:t>三次产业协同发展，</w:t>
      </w:r>
      <w:r>
        <w:rPr>
          <w:rFonts w:hint="eastAsia" w:eastAsia="方正楷体_GBK"/>
          <w:b/>
          <w:bCs/>
          <w:snapToGrid w:val="0"/>
          <w:spacing w:val="6"/>
          <w:kern w:val="0"/>
          <w:sz w:val="32"/>
          <w:szCs w:val="32"/>
          <w:highlight w:val="none"/>
        </w:rPr>
        <w:t>经济</w:t>
      </w:r>
      <w:r>
        <w:rPr>
          <w:rFonts w:hint="eastAsia" w:eastAsia="方正楷体_GBK"/>
          <w:b/>
          <w:bCs/>
          <w:snapToGrid w:val="0"/>
          <w:spacing w:val="6"/>
          <w:kern w:val="0"/>
          <w:sz w:val="32"/>
          <w:szCs w:val="32"/>
          <w:highlight w:val="none"/>
          <w:lang w:eastAsia="zh-CN"/>
        </w:rPr>
        <w:t>基础持续稳固</w:t>
      </w:r>
    </w:p>
    <w:p w14:paraId="49FB0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上半年，全市实现地区生产总值209.65亿元，同比增长 6.6%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从产业运行格局看，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全市形成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一产、二产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支撑不足、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增长承压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放缓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三产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动能强劲、拉动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作用</w:t>
      </w: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highlight w:val="none"/>
          <w:lang w:val="zh-CN" w:eastAsia="zh-CN"/>
        </w:rPr>
        <w:t>凸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显</w:t>
      </w:r>
      <w:r>
        <w:rPr>
          <w:rFonts w:hint="eastAsia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的发展格局。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第一产业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实现增加值9.03亿元，同比增长2.7%</w:t>
      </w:r>
      <w:r>
        <w:rPr>
          <w:rFonts w:hint="eastAsia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对GDP增长的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贡献率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1.9%，拉动经济增长0.1个百分点；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第二产业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实现增加值33.36亿元，同比增长2.6%，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对GDP增长的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贡献率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6.9%，拉动经济增长0.5个百分点；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pacing w:val="0"/>
          <w:kern w:val="0"/>
          <w:sz w:val="32"/>
          <w:szCs w:val="32"/>
          <w:highlight w:val="none"/>
        </w:rPr>
        <w:t>第三产业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</w:rPr>
        <w:t>实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现增加值167.25亿元，同比增长7.8%，对GDP增长</w:t>
      </w:r>
      <w:r>
        <w:rPr>
          <w:rFonts w:hint="eastAsia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贡献率高达91.2%，拉动经济增长6.0个百分点。三次产业结构调整为4.3:15.9:79.8。</w:t>
      </w:r>
    </w:p>
    <w:p w14:paraId="17C003AC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67" w:firstLineChars="200"/>
        <w:jc w:val="both"/>
        <w:textAlignment w:val="auto"/>
        <w:rPr>
          <w:rFonts w:hint="default" w:ascii="方正楷体_GBK" w:hAnsi="方正楷体_GBK" w:eastAsia="方正楷体_GBK" w:cs="方正楷体_GBK"/>
          <w:b/>
          <w:bCs/>
          <w:color w:val="auto"/>
          <w:spacing w:val="6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pacing w:val="6"/>
          <w:sz w:val="32"/>
          <w:szCs w:val="32"/>
          <w:highlight w:val="none"/>
          <w:lang w:val="zh-CN"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pacing w:val="6"/>
          <w:sz w:val="32"/>
          <w:szCs w:val="32"/>
          <w:highlight w:val="none"/>
          <w:lang w:eastAsia="zh-CN"/>
        </w:rPr>
        <w:t>农林牧渔总体稳定，种植业支撑作用凸显</w:t>
      </w:r>
    </w:p>
    <w:p w14:paraId="12F2BC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64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spacing w:val="6"/>
          <w:kern w:val="0"/>
          <w:sz w:val="32"/>
          <w:szCs w:val="32"/>
          <w:highlight w:val="none"/>
          <w:lang w:val="en-US" w:eastAsia="zh-CN" w:bidi="ar-SA"/>
        </w:rPr>
        <w:t>上半年，全市实现农林牧渔业总产值22.56亿元，同比增长4.2%。分行业来看，农业（种植业）产值16.05亿元，同比增长9.1%；林业产值0.29亿元，同比下降1.0%；牧业产值4.23亿元，同比下降11.5%；渔业产值0.22亿元，同比增长4.7%；农林牧渔服务业产值1.76亿元，同比增长0.9%。</w:t>
      </w:r>
    </w:p>
    <w:p w14:paraId="33F20D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Chars="0" w:right="0" w:rightChars="0" w:firstLine="667" w:firstLineChars="200"/>
        <w:jc w:val="left"/>
        <w:textAlignment w:val="auto"/>
        <w:rPr>
          <w:rFonts w:hint="eastAsia" w:ascii="Times New Roman" w:hAnsi="Times New Roman" w:eastAsia="方正楷体_GBK" w:cs="Times New Roman"/>
          <w:b/>
          <w:bCs/>
          <w:color w:val="auto"/>
          <w:spacing w:val="6"/>
          <w:sz w:val="32"/>
          <w:szCs w:val="32"/>
          <w:highlight w:val="green"/>
          <w:lang w:val="en-US" w:eastAsia="zh-CN"/>
        </w:rPr>
      </w:pPr>
      <w:r>
        <w:rPr>
          <w:rFonts w:hint="eastAsia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Times New Roman" w:hAnsi="Times New Roman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  <w:t>工业生产稳步增长，制造业拉动效应显著</w:t>
      </w:r>
    </w:p>
    <w:p w14:paraId="4A56983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590" w:lineRule="exact"/>
        <w:ind w:left="0" w:leftChars="0" w:firstLine="664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</w:pPr>
      <w:r>
        <w:rPr>
          <w:rFonts w:hint="eastAsia" w:eastAsia="方正仿宋_GBK" w:cs="Times New Roman"/>
          <w:spacing w:val="6"/>
          <w:sz w:val="32"/>
          <w:szCs w:val="32"/>
          <w:lang w:val="en-US" w:eastAsia="zh-CN"/>
        </w:rPr>
        <w:t>上半年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全市规上工业增加值</w:t>
      </w:r>
      <w:r>
        <w:rPr>
          <w:rFonts w:hint="default" w:eastAsia="方正仿宋_GBK" w:cs="Times New Roman"/>
          <w:kern w:val="2"/>
          <w:sz w:val="32"/>
          <w:szCs w:val="40"/>
          <w:lang w:val="en-US" w:eastAsia="zh-CN" w:bidi="ar-SA"/>
        </w:rPr>
        <w:t>8.27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亿元，同比增长1</w:t>
      </w:r>
      <w:r>
        <w:rPr>
          <w:rFonts w:hint="default" w:eastAsia="方正仿宋_GBK" w:cs="Times New Roman"/>
          <w:kern w:val="2"/>
          <w:sz w:val="32"/>
          <w:szCs w:val="40"/>
          <w:lang w:val="en-US" w:eastAsia="zh-CN" w:bidi="ar-SA"/>
        </w:rPr>
        <w:t>4.2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%。</w:t>
      </w:r>
      <w:r>
        <w:rPr>
          <w:rFonts w:hint="eastAsia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 xml:space="preserve">   </w:t>
      </w:r>
    </w:p>
    <w:p w14:paraId="3C3FE4F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40"/>
          <w:highlight w:val="none"/>
          <w:lang w:val="en-US" w:eastAsia="zh-CN" w:bidi="ar-SA"/>
        </w:rPr>
        <w:t>分门类看，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规上制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造业增加值3.</w:t>
      </w:r>
      <w:r>
        <w:rPr>
          <w:rFonts w:hint="default" w:eastAsia="方正仿宋_GBK" w:cs="Times New Roman"/>
          <w:kern w:val="2"/>
          <w:sz w:val="32"/>
          <w:szCs w:val="40"/>
          <w:lang w:val="en-US" w:eastAsia="zh-CN" w:bidi="ar-SA"/>
        </w:rPr>
        <w:t>30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亿元，同比增长</w:t>
      </w:r>
      <w:r>
        <w:rPr>
          <w:rFonts w:hint="default" w:eastAsia="方正仿宋_GBK" w:cs="Times New Roman"/>
          <w:kern w:val="2"/>
          <w:sz w:val="32"/>
          <w:szCs w:val="40"/>
          <w:lang w:val="en-US" w:eastAsia="zh-CN" w:bidi="ar-SA"/>
        </w:rPr>
        <w:t>63.2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；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highlight w:val="none"/>
          <w:lang w:eastAsia="zh-CN"/>
        </w:rPr>
        <w:t>规上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highlight w:val="none"/>
        </w:rPr>
        <w:t>电力热力、燃气及水生产和供应业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增加值4.</w:t>
      </w:r>
      <w:r>
        <w:rPr>
          <w:rFonts w:hint="default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44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亿元，同比下降</w:t>
      </w:r>
      <w:r>
        <w:rPr>
          <w:rFonts w:hint="default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8.1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highlight w:val="none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。</w:t>
      </w:r>
    </w:p>
    <w:p w14:paraId="3CA64EF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590" w:lineRule="exact"/>
        <w:ind w:firstLine="667" w:firstLineChars="200"/>
        <w:jc w:val="left"/>
        <w:textAlignment w:val="auto"/>
        <w:rPr>
          <w:rFonts w:hint="eastAsia" w:ascii="Times New Roman" w:hAnsi="Times New Roman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Times New Roman" w:hAnsi="Times New Roman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  <w:t>固定资产投资承压运行</w:t>
      </w:r>
    </w:p>
    <w:p w14:paraId="5955F11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590" w:lineRule="exact"/>
        <w:ind w:firstLine="616" w:firstLineChars="200"/>
        <w:jc w:val="left"/>
        <w:textAlignment w:val="auto"/>
        <w:rPr>
          <w:rFonts w:hint="default" w:ascii="Times New Roman" w:hAnsi="Times New Roman" w:eastAsia="方正楷体" w:cs="Times New Roman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eastAsia="方正仿宋_GBK" w:cs="Times New Roman"/>
          <w:spacing w:val="-6"/>
          <w:kern w:val="2"/>
          <w:sz w:val="32"/>
          <w:szCs w:val="32"/>
          <w:lang w:val="en-US" w:eastAsia="zh-CN" w:bidi="ar-SA"/>
        </w:rPr>
        <w:t>上半年</w:t>
      </w:r>
      <w:r>
        <w:rPr>
          <w:rFonts w:hint="eastAsia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spacing w:val="-6"/>
          <w:kern w:val="2"/>
          <w:sz w:val="32"/>
          <w:szCs w:val="40"/>
          <w:lang w:val="en-US" w:eastAsia="zh-CN" w:bidi="ar-SA"/>
        </w:rPr>
        <w:t>全市固定资产投资完成</w:t>
      </w:r>
      <w:r>
        <w:rPr>
          <w:rFonts w:hint="default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103.99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亿元，同比</w:t>
      </w:r>
      <w:r>
        <w:rPr>
          <w:rFonts w:hint="eastAsia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下降</w:t>
      </w:r>
      <w:r>
        <w:rPr>
          <w:rFonts w:hint="default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7.2%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。</w:t>
      </w:r>
    </w:p>
    <w:p w14:paraId="514E78A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620" w:lineRule="exact"/>
        <w:ind w:left="0" w:leftChars="0" w:firstLine="667" w:firstLineChars="200"/>
        <w:textAlignment w:val="auto"/>
        <w:rPr>
          <w:rFonts w:hint="eastAsia" w:eastAsia="方正楷体_GBK" w:cs="Times New Roman"/>
          <w:b/>
          <w:bCs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bCs/>
          <w:color w:val="auto"/>
          <w:spacing w:val="6"/>
          <w:kern w:val="2"/>
          <w:sz w:val="32"/>
          <w:szCs w:val="32"/>
          <w:highlight w:val="none"/>
          <w:lang w:val="en-US" w:eastAsia="zh-CN" w:bidi="ar-SA"/>
        </w:rPr>
        <w:t>（五）</w:t>
      </w:r>
      <w:r>
        <w:rPr>
          <w:rFonts w:hint="default" w:ascii="Times New Roman" w:hAnsi="Times New Roman" w:eastAsia="方正楷体_GBK" w:cs="Times New Roman"/>
          <w:b/>
          <w:spacing w:val="6"/>
          <w:sz w:val="32"/>
          <w:szCs w:val="32"/>
          <w:highlight w:val="none"/>
        </w:rPr>
        <w:t>消费需求有序释放</w:t>
      </w:r>
      <w:r>
        <w:rPr>
          <w:rFonts w:hint="eastAsia" w:eastAsia="方正楷体_GBK" w:cs="Times New Roman"/>
          <w:b/>
          <w:spacing w:val="6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楷体_GBK" w:cs="Times New Roman"/>
          <w:b/>
          <w:spacing w:val="6"/>
          <w:sz w:val="32"/>
          <w:szCs w:val="32"/>
          <w:highlight w:val="none"/>
        </w:rPr>
        <w:t>重点商品消费支撑有力</w:t>
      </w:r>
    </w:p>
    <w:p w14:paraId="760D18C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620" w:lineRule="exact"/>
        <w:ind w:left="0" w:leftChars="0" w:firstLine="664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eastAsia" w:eastAsia="方正仿宋_GBK" w:cs="Times New Roman"/>
          <w:spacing w:val="6"/>
          <w:sz w:val="32"/>
          <w:szCs w:val="32"/>
          <w:highlight w:val="none"/>
          <w:lang w:val="en-US" w:eastAsia="zh-CN"/>
        </w:rPr>
        <w:t>上半年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highlight w:val="none"/>
          <w:lang w:val="en-US" w:eastAsia="zh-CN"/>
        </w:rPr>
        <w:t>喀什市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社会消费品零售总额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val="en-US" w:eastAsia="zh-CN"/>
        </w:rPr>
        <w:t>113.49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亿元，同比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val="en-US" w:eastAsia="zh-CN"/>
        </w:rPr>
        <w:t>6.5</w:t>
      </w:r>
      <w:r>
        <w:rPr>
          <w:rFonts w:eastAsia="方正仿宋_GBK"/>
          <w:snapToGrid w:val="0"/>
          <w:spacing w:val="6"/>
          <w:kern w:val="0"/>
          <w:sz w:val="32"/>
          <w:szCs w:val="32"/>
          <w:highlight w:val="none"/>
        </w:rPr>
        <w:t>%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eastAsia="方正仿宋_GBK"/>
          <w:snapToGrid w:val="0"/>
          <w:spacing w:val="6"/>
          <w:kern w:val="0"/>
          <w:sz w:val="32"/>
          <w:szCs w:val="32"/>
          <w:lang w:eastAsia="zh-CN"/>
        </w:rPr>
        <w:t>其中，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限额以上社会消费品零售总额</w:t>
      </w:r>
      <w:r>
        <w:rPr>
          <w:rFonts w:hint="default" w:eastAsia="方正仿宋_GBK" w:cs="Times New Roman"/>
          <w:spacing w:val="0"/>
          <w:sz w:val="32"/>
          <w:szCs w:val="32"/>
          <w:highlight w:val="none"/>
          <w:lang w:val="en-US" w:eastAsia="zh-CN"/>
        </w:rPr>
        <w:t>54.51</w:t>
      </w:r>
      <w:r>
        <w:rPr>
          <w:rFonts w:hint="eastAsia" w:eastAsia="方正仿宋_GBK" w:cs="Times New Roman"/>
          <w:spacing w:val="0"/>
          <w:sz w:val="32"/>
          <w:szCs w:val="32"/>
          <w:highlight w:val="none"/>
          <w:lang w:val="en-US" w:eastAsia="zh-CN"/>
        </w:rPr>
        <w:t>亿元，同比增长6.</w:t>
      </w:r>
      <w:r>
        <w:rPr>
          <w:rFonts w:hint="default" w:eastAsia="方正仿宋_GBK" w:cs="Times New Roman"/>
          <w:spacing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eastAsia="方正仿宋_GBK" w:cs="Times New Roman"/>
          <w:spacing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按消费类型分，限额以上商品零售52.08亿元，同比增长7.9%；限额以上餐饮收入2.43亿元，同比下降11.2%。按经营所在地分，城镇限上消费品零售额48.16亿元，同比增长2.6%；乡村限上消费品零售额6.35亿元，同比增长58.1%。</w:t>
      </w:r>
    </w:p>
    <w:p w14:paraId="06C49EA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</w:pPr>
    </w:p>
    <w:p w14:paraId="7336456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FFFFFF" w:sz="0" w:space="31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</w:pPr>
    </w:p>
    <w:p w14:paraId="7C7011D1">
      <w:pPr>
        <w:rPr>
          <w:rFonts w:hint="default"/>
          <w:lang w:val="en-US" w:eastAsia="zh-CN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C578E"/>
    <w:rsid w:val="116C578E"/>
    <w:rsid w:val="196B5DCD"/>
    <w:rsid w:val="1B76566E"/>
    <w:rsid w:val="1EDF1DB0"/>
    <w:rsid w:val="24C35B9E"/>
    <w:rsid w:val="3D213CBC"/>
    <w:rsid w:val="528E5928"/>
    <w:rsid w:val="641044EC"/>
    <w:rsid w:val="64E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"/>
    <w:basedOn w:val="3"/>
    <w:next w:val="6"/>
    <w:qFormat/>
    <w:uiPriority w:val="99"/>
    <w:pPr>
      <w:ind w:firstLine="420" w:firstLineChars="100"/>
    </w:pPr>
  </w:style>
  <w:style w:type="paragraph" w:customStyle="1" w:styleId="6">
    <w:name w:val="text-tag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1111</Words>
  <Characters>1471</Characters>
  <Lines>0</Lines>
  <Paragraphs>0</Paragraphs>
  <TotalTime>8</TotalTime>
  <ScaleCrop>false</ScaleCrop>
  <LinksUpToDate>false</LinksUpToDate>
  <CharactersWithSpaces>1475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2025-05-28T08:23:00Z</dcterms:created>
  <dc:creator>Administrator</dc:creator>
  <cp:lastModifiedBy>CR7</cp:lastModifiedBy>
  <cp:lastPrinted>2025-05-28T08:26:00Z</cp:lastPrinted>
  <dcterms:modified xsi:type="dcterms:W3CDTF">2026-07-28T10:37:45Z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1B4C97C07F30454E8F14B5C8856856FD</vt:lpwstr>
  </property>
  <property fmtid="{D5CDD505-2E9C-101B-9397-08002B2CF9AE}" pid="4" name="KSOTemplateDocerSaveRecord">
    <vt:lpwstr>eyJoZGlkIjoiZjJkMGFjZGYzZTBjY2FlNzg4ZmUzZTEwNWY5YWE1YTkiLCJ1c2VySWQiOiI0MTIxNTE0MjYifQ==</vt:lpwstr>
  </property>
</Properties>
</file>