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8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喀什市202</w:t>
      </w:r>
      <w:r>
        <w:rPr>
          <w:rFonts w:hint="eastAsia" w:eastAsia="方正小标宋_GBK" w:cs="Times New Roman"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一季度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经济运行</w:t>
      </w:r>
      <w:r>
        <w:rPr>
          <w:rFonts w:hint="eastAsia" w:eastAsia="方正小标宋_GBK" w:cs="Times New Roman"/>
          <w:bCs/>
          <w:sz w:val="44"/>
          <w:szCs w:val="44"/>
          <w:highlight w:val="none"/>
          <w:lang w:eastAsia="zh-CN"/>
        </w:rPr>
        <w:t>情况</w:t>
      </w:r>
    </w:p>
    <w:p w14:paraId="0893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36"/>
          <w:sz w:val="32"/>
          <w:szCs w:val="32"/>
          <w:highlight w:val="none"/>
          <w:lang w:eastAsia="zh-CN"/>
        </w:rPr>
      </w:pPr>
    </w:p>
    <w:p w14:paraId="3617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hint="eastAsia" w:ascii="Times New Roman" w:hAnsi="Times New Roman" w:eastAsia="方正楷体_GBK" w:cs="Times New Roman"/>
          <w:b/>
          <w:bCs/>
          <w:spacing w:val="6"/>
          <w:kern w:val="2"/>
          <w:sz w:val="32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一季度，喀什市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坚持以习近平新时代中国特色社会主义思想为指导，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完整准确全面贯彻新发展理念，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加快构建新发展格局，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坚持稳中求进工作总基调，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全市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经济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实现良好开局，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主要经济指标呈现稳定增长态势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。</w:t>
      </w:r>
    </w:p>
    <w:p w14:paraId="6D5A6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64" w:firstLineChars="200"/>
        <w:textAlignment w:val="auto"/>
        <w:rPr>
          <w:rFonts w:hint="default" w:ascii="Times New Roman" w:hAnsi="Times New Roman" w:eastAsia="方正黑体_GBK" w:cs="Times New Roman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pacing w:val="6"/>
          <w:sz w:val="32"/>
          <w:szCs w:val="32"/>
          <w:highlight w:val="none"/>
        </w:rPr>
        <w:t>一、经济运行总体情况</w:t>
      </w:r>
    </w:p>
    <w:p w14:paraId="770B6CB6"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经地区统计局反馈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，喀什市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年一季度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地区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生产总值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102.24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亿元，同比增长6.7%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。</w:t>
      </w:r>
    </w:p>
    <w:p w14:paraId="5E4D0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napToGrid w:val="0"/>
          <w:spacing w:val="6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规上工业增加值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4.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12.7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%</w:t>
      </w:r>
      <w:r>
        <w:rPr>
          <w:rFonts w:hint="default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。</w:t>
      </w:r>
    </w:p>
    <w:p w14:paraId="35C2E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6"/>
          <w:kern w:val="0"/>
          <w:sz w:val="32"/>
          <w:szCs w:val="32"/>
          <w:highlight w:val="none"/>
        </w:rPr>
        <w:t>——</w:t>
      </w:r>
      <w:r>
        <w:rPr>
          <w:rFonts w:hint="eastAsia" w:eastAsia="方正仿宋_GBK" w:cs="Times New Roman"/>
          <w:snapToGrid w:val="0"/>
          <w:spacing w:val="6"/>
          <w:kern w:val="0"/>
          <w:sz w:val="32"/>
          <w:szCs w:val="32"/>
          <w:highlight w:val="none"/>
          <w:lang w:eastAsia="zh-CN"/>
        </w:rPr>
        <w:t>全社会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固定资产投资（不含农户）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16.32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亿元，同比增长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12.2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</w:t>
      </w:r>
    </w:p>
    <w:p w14:paraId="4511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spacing w:val="6"/>
          <w:kern w:val="0"/>
          <w:sz w:val="32"/>
          <w:szCs w:val="32"/>
          <w:highlight w:val="none"/>
        </w:rPr>
        <w:t>——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社会消费品零售总额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49.36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亿元，同比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3.1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%</w:t>
      </w:r>
      <w:r>
        <w:rPr>
          <w:rFonts w:eastAsia="方正仿宋_GBK"/>
          <w:snapToGrid w:val="0"/>
          <w:color w:val="auto"/>
          <w:spacing w:val="6"/>
          <w:kern w:val="0"/>
          <w:sz w:val="32"/>
          <w:szCs w:val="32"/>
          <w:highlight w:val="none"/>
        </w:rPr>
        <w:t>。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其中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eastAsia="zh-CN"/>
        </w:rPr>
        <w:t>：</w:t>
      </w:r>
      <w:r>
        <w:rPr>
          <w:rFonts w:eastAsia="方正仿宋_GBK"/>
          <w:snapToGrid w:val="0"/>
          <w:color w:val="auto"/>
          <w:spacing w:val="6"/>
          <w:kern w:val="0"/>
          <w:sz w:val="32"/>
          <w:szCs w:val="32"/>
          <w:highlight w:val="none"/>
        </w:rPr>
        <w:t>限额以上社会消费品零售总额</w:t>
      </w:r>
      <w:r>
        <w:rPr>
          <w:rFonts w:hint="eastAsia" w:eastAsia="方正仿宋_GBK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23.29</w:t>
      </w:r>
      <w:r>
        <w:rPr>
          <w:rFonts w:eastAsia="方正仿宋_GBK"/>
          <w:snapToGrid w:val="0"/>
          <w:color w:val="auto"/>
          <w:spacing w:val="6"/>
          <w:kern w:val="0"/>
          <w:sz w:val="32"/>
          <w:szCs w:val="32"/>
          <w:highlight w:val="none"/>
        </w:rPr>
        <w:t>亿元，同比增长</w:t>
      </w:r>
      <w:r>
        <w:rPr>
          <w:rFonts w:hint="eastAsia" w:eastAsia="方正仿宋_GBK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eastAsia="方正仿宋_GBK"/>
          <w:snapToGrid w:val="0"/>
          <w:color w:val="auto"/>
          <w:spacing w:val="6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78B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64" w:firstLineChars="200"/>
        <w:textAlignment w:val="auto"/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pacing w:val="6"/>
          <w:kern w:val="0"/>
          <w:sz w:val="32"/>
          <w:szCs w:val="32"/>
          <w:highlight w:val="none"/>
        </w:rPr>
        <w:t>——</w:t>
      </w:r>
      <w:r>
        <w:rPr>
          <w:rFonts w:hint="default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一般公共预算收入</w:t>
      </w:r>
      <w:r>
        <w:rPr>
          <w:rFonts w:hint="eastAsia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8.12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同比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增长</w:t>
      </w:r>
      <w:r>
        <w:rPr>
          <w:rFonts w:hint="eastAsia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10.0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%</w:t>
      </w:r>
      <w:r>
        <w:rPr>
          <w:rFonts w:hint="default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一般公共预算支出</w:t>
      </w:r>
      <w:r>
        <w:rPr>
          <w:rFonts w:hint="eastAsia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26.43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同比增长10.5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。</w:t>
      </w:r>
    </w:p>
    <w:p w14:paraId="59DB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外贸进出口总额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45.78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10.0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其中：出口总额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45.70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元，同比增长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9.9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；进口总额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784.52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。 </w:t>
      </w:r>
    </w:p>
    <w:p w14:paraId="53E120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金融机构各项存款余额</w:t>
      </w:r>
      <w:r>
        <w:rPr>
          <w:rFonts w:hint="eastAsia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1135.65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亿元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，同比增长</w:t>
      </w:r>
      <w:r>
        <w:rPr>
          <w:rFonts w:hint="eastAsia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6.8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%；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贷款余额</w:t>
      </w:r>
      <w:r>
        <w:rPr>
          <w:rFonts w:hint="eastAsia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628.40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亿元，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同比增长</w:t>
      </w:r>
      <w:r>
        <w:rPr>
          <w:rFonts w:hint="eastAsia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14.0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6"/>
          <w:highlight w:val="none"/>
          <w:lang w:val="en-US" w:eastAsia="zh-CN" w:bidi="ar-SA"/>
        </w:rPr>
        <w:t>%。</w:t>
      </w:r>
    </w:p>
    <w:p w14:paraId="42424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64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——招商引资区外到位资金</w:t>
      </w:r>
      <w:r>
        <w:rPr>
          <w:rFonts w:hint="eastAsia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24.17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亿元，同比增长</w:t>
      </w:r>
      <w:r>
        <w:rPr>
          <w:rFonts w:hint="eastAsia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10.0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%。</w:t>
      </w:r>
    </w:p>
    <w:p w14:paraId="51E1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——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全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市居民消费价格指数（CPI）同比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eastAsia="zh-CN"/>
        </w:rPr>
        <w:t>上涨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%。</w:t>
      </w:r>
    </w:p>
    <w:p w14:paraId="4D65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64" w:firstLineChars="200"/>
        <w:textAlignment w:val="auto"/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全市市场主体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10.03</w:t>
      </w:r>
      <w:r>
        <w:rPr>
          <w:rFonts w:hint="eastAsia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户，同比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下降3.6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其中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：</w:t>
      </w:r>
    </w:p>
    <w:p w14:paraId="542EE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1—3月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新注册登记市场主体</w:t>
      </w:r>
      <w:r>
        <w:rPr>
          <w:rFonts w:hint="eastAsia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3747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户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同比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增长5.5</w:t>
      </w:r>
      <w:r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%。</w:t>
      </w:r>
    </w:p>
    <w:p w14:paraId="31EA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right="0" w:firstLine="664" w:firstLineChars="200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zh-CN" w:eastAsia="zh-CN"/>
        </w:rPr>
        <w:t>——</w:t>
      </w:r>
      <w:r>
        <w:rPr>
          <w:rFonts w:hint="eastAsia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zh-CN" w:eastAsia="zh-CN"/>
        </w:rPr>
        <w:t>航空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客运量1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16.99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万人次，同比增长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.1%；货运量4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711.03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吨，同比增长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11.3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%。铁路客运量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zh-CN" w:eastAsia="zh-CN"/>
        </w:rPr>
        <w:t>1</w:t>
      </w:r>
      <w:r>
        <w:rPr>
          <w:rFonts w:hint="eastAsia" w:eastAsia="方正仿宋_GBK" w:cs="Times New Roman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/>
        </w:rPr>
        <w:t>16.63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万人次，同比增长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10.3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；货运量57.26万吨，同比下降37.4%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。</w:t>
      </w:r>
    </w:p>
    <w:p w14:paraId="55F6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pacing w:val="6"/>
          <w:kern w:val="0"/>
          <w:sz w:val="32"/>
          <w:szCs w:val="32"/>
          <w:highlight w:val="none"/>
        </w:rPr>
        <w:t>——全社会用电量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9.58亿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千瓦时，同比增长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18.3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 w14:paraId="07CC5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4" w:firstLineChars="200"/>
        <w:jc w:val="left"/>
        <w:textAlignment w:val="auto"/>
        <w:rPr>
          <w:rFonts w:hint="default" w:ascii="Times New Roman" w:hAnsi="Times New Roman" w:eastAsia="方正黑体_GBK" w:cs="Times New Roman"/>
          <w:bCs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spacing w:val="6"/>
          <w:sz w:val="32"/>
          <w:szCs w:val="32"/>
          <w:highlight w:val="none"/>
        </w:rPr>
        <w:t>二</w:t>
      </w:r>
      <w:r>
        <w:rPr>
          <w:rFonts w:hint="eastAsia" w:eastAsia="方正黑体_GBK" w:cs="Times New Roman"/>
          <w:bCs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黑体_GBK" w:cs="Times New Roman"/>
          <w:bCs/>
          <w:spacing w:val="6"/>
          <w:sz w:val="32"/>
          <w:szCs w:val="32"/>
          <w:highlight w:val="none"/>
          <w:lang w:eastAsia="zh-CN"/>
        </w:rPr>
        <w:t>经济运行主要特点</w:t>
      </w:r>
    </w:p>
    <w:p w14:paraId="0719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67" w:firstLineChars="200"/>
        <w:textAlignment w:val="auto"/>
        <w:rPr>
          <w:rFonts w:hint="default" w:ascii="Times New Roman" w:hAnsi="Times New Roman" w:eastAsia="方正楷体_GBK" w:cs="Times New Roman"/>
          <w:b/>
          <w:bCs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楷体_GBK"/>
          <w:b/>
          <w:bCs/>
          <w:snapToGrid w:val="0"/>
          <w:spacing w:val="6"/>
          <w:kern w:val="0"/>
          <w:sz w:val="32"/>
          <w:szCs w:val="32"/>
          <w:highlight w:val="none"/>
        </w:rPr>
        <w:t>（一）</w:t>
      </w:r>
      <w:r>
        <w:rPr>
          <w:rFonts w:hint="eastAsia" w:eastAsia="方正楷体_GBK"/>
          <w:b/>
          <w:bCs/>
          <w:snapToGrid w:val="0"/>
          <w:spacing w:val="6"/>
          <w:kern w:val="0"/>
          <w:sz w:val="32"/>
          <w:szCs w:val="32"/>
          <w:highlight w:val="none"/>
          <w:lang w:eastAsia="zh-CN"/>
        </w:rPr>
        <w:t>三次产业协同发展，</w:t>
      </w:r>
      <w:r>
        <w:rPr>
          <w:rFonts w:hint="eastAsia" w:eastAsia="方正楷体_GBK"/>
          <w:b/>
          <w:bCs/>
          <w:snapToGrid w:val="0"/>
          <w:spacing w:val="6"/>
          <w:kern w:val="0"/>
          <w:sz w:val="32"/>
          <w:szCs w:val="32"/>
          <w:highlight w:val="none"/>
        </w:rPr>
        <w:t>经济</w:t>
      </w:r>
      <w:r>
        <w:rPr>
          <w:rFonts w:hint="eastAsia" w:eastAsia="方正楷体_GBK"/>
          <w:b/>
          <w:bCs/>
          <w:snapToGrid w:val="0"/>
          <w:spacing w:val="6"/>
          <w:kern w:val="0"/>
          <w:sz w:val="32"/>
          <w:szCs w:val="32"/>
          <w:highlight w:val="none"/>
          <w:lang w:eastAsia="zh-CN"/>
        </w:rPr>
        <w:t>基础持续稳固</w:t>
      </w:r>
    </w:p>
    <w:p w14:paraId="04A6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分产业看，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第一产业增加值1.53亿元，同比增长3.9%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第二产业增加值15.23亿元，同比增长9.9%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第三产业增加值85.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亿元，同比增长6.3%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。三次产业结构为1.5：14.9：83.6</w:t>
      </w:r>
      <w:r>
        <w:rPr>
          <w:rFonts w:hint="eastAsia" w:eastAsia="方正仿宋_GBK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 w14:paraId="48F3C8CD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方正楷体_GBK" w:cs="Times New Roman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2"/>
          <w:szCs w:val="32"/>
          <w:highlight w:val="none"/>
          <w:lang w:eastAsia="zh-CN"/>
        </w:rPr>
        <w:t>农业生产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总体平稳，五大行业协同发展</w:t>
      </w:r>
    </w:p>
    <w:p w14:paraId="7F11F9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农林牧渔业总产值3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.67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。分行业看，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农业（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种植业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产值0.88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增长6.6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林业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产值0.04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增长75.1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牧业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产值2.17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增长1.6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%；渔业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产值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%；农林牧渔服务业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产值0.49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亿元, 同比增长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</w:p>
    <w:p w14:paraId="77B0C1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Chars="0" w:right="0" w:rightChars="0" w:firstLine="643" w:firstLineChars="200"/>
        <w:jc w:val="left"/>
        <w:textAlignment w:val="auto"/>
        <w:rPr>
          <w:rFonts w:ascii="Times New Roman" w:hAnsi="Times New Roman" w:eastAsia="方正楷体_GBK"/>
          <w:b/>
          <w:bCs/>
          <w:color w:val="auto"/>
          <w:sz w:val="32"/>
          <w:szCs w:val="32"/>
          <w:highlight w:val="none"/>
        </w:rPr>
      </w:pPr>
      <w:r>
        <w:rPr>
          <w:rFonts w:hint="eastAsia" w:eastAsia="方正楷体_GBK" w:cs="Times New Roman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工业生产加速回升，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重点行业拉动效应显著</w:t>
      </w:r>
    </w:p>
    <w:p w14:paraId="403CE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after="0" w:line="62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全市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规上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工业增加值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4.18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12.7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</w:rPr>
        <w:t>%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val="en-US" w:eastAsia="zh-CN"/>
        </w:rPr>
        <w:t>制造业增长保持强劲势头，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规上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</w:rPr>
        <w:t>制造业增加值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1.27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128.1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  <w:lang w:eastAsia="zh-CN"/>
        </w:rPr>
        <w:t>；规上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</w:rPr>
        <w:t>电力热力、燃气及水生产和供应业增加值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2.91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</w:rPr>
        <w:t>亿元，同比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  <w:lang w:val="en-US" w:eastAsia="zh-CN"/>
        </w:rPr>
        <w:t>下降5.7</w:t>
      </w:r>
      <w:r>
        <w:rPr>
          <w:rFonts w:hint="eastAsia" w:ascii="Times New Roman" w:hAnsi="Times New Roman" w:eastAsia="方正仿宋_GBK" w:cs="Times New Roman"/>
          <w:b w:val="0"/>
          <w:bCs w:val="0"/>
          <w:spacing w:val="6"/>
          <w:sz w:val="32"/>
          <w:szCs w:val="32"/>
          <w:highlight w:val="none"/>
        </w:rPr>
        <w:t>%。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</w:rPr>
        <w:t>重点行业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val="en-US" w:eastAsia="zh-CN"/>
        </w:rPr>
        <w:t>贡献突出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6"/>
          <w:sz w:val="32"/>
          <w:szCs w:val="32"/>
          <w:highlight w:val="none"/>
          <w:lang w:eastAsia="zh-CN"/>
        </w:rPr>
        <w:t>，其中：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计算机和其他电子设备制造业同比增长43.3倍，非金属矿物制品业同比增长55.9%，电力热力生产和供应业同比增长9.3%。</w:t>
      </w:r>
    </w:p>
    <w:p w14:paraId="7897E2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right="0" w:rightChars="0" w:firstLine="643" w:firstLineChars="200"/>
        <w:jc w:val="left"/>
        <w:textAlignment w:val="auto"/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方正楷体_GBK" w:cs="Times New Roman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固定资产投资</w:t>
      </w:r>
      <w:r>
        <w:rPr>
          <w:rFonts w:hint="eastAsia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增速保持稳定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重大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扎实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推进</w:t>
      </w:r>
    </w:p>
    <w:p w14:paraId="1CD57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20" w:lineRule="exact"/>
        <w:ind w:firstLine="664" w:firstLineChars="200"/>
        <w:textAlignment w:val="auto"/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固定资产投资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（不含农户）</w:t>
      </w:r>
      <w:r>
        <w:rPr>
          <w:rFonts w:hint="eastAsia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16.32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亿元，同比增长</w:t>
      </w:r>
      <w:r>
        <w:rPr>
          <w:rFonts w:hint="eastAsia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12.2</w:t>
      </w:r>
      <w:r>
        <w:rPr>
          <w:rFonts w:hint="default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07B7C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按产业分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第一产业同比增长34.7%；第二产业同比增长42.9%；第三产业同比下降3.</w:t>
      </w:r>
      <w:r>
        <w:rPr>
          <w:rFonts w:hint="eastAsia" w:eastAsia="方正仿宋_GBK" w:cs="Times New Roman"/>
          <w:b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按投资结构分，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2"/>
          <w:szCs w:val="32"/>
          <w:highlight w:val="none"/>
          <w:lang w:val="en-US" w:eastAsia="zh-CN" w:bidi="ar-SA"/>
        </w:rPr>
        <w:t>建筑安装工程同比下降16.5%；设备工器具购置同比增长262.</w:t>
      </w:r>
      <w:r>
        <w:rPr>
          <w:rFonts w:hint="eastAsia" w:eastAsia="方正仿宋_GBK" w:cs="Times New Roman"/>
          <w:b w:val="0"/>
          <w:bCs w:val="0"/>
          <w:spacing w:val="6"/>
          <w:kern w:val="2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pacing w:val="6"/>
          <w:kern w:val="2"/>
          <w:sz w:val="32"/>
          <w:szCs w:val="32"/>
          <w:highlight w:val="none"/>
          <w:lang w:val="en-US" w:eastAsia="zh-CN" w:bidi="ar-SA"/>
        </w:rPr>
        <w:t>%；其他费用同比增长2.7%。</w:t>
      </w:r>
    </w:p>
    <w:p w14:paraId="1DA20C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left="0" w:right="0" w:firstLine="667" w:firstLineChars="200"/>
        <w:jc w:val="left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方正楷体_GBK" w:cs="Times New Roman"/>
          <w:b/>
          <w:spacing w:val="6"/>
          <w:sz w:val="32"/>
          <w:szCs w:val="32"/>
          <w:highlight w:val="none"/>
          <w:lang w:val="en-US" w:eastAsia="zh-CN"/>
        </w:rPr>
        <w:t>（五）</w:t>
      </w:r>
      <w:r>
        <w:rPr>
          <w:rFonts w:hint="default" w:ascii="Times New Roman" w:hAnsi="Times New Roman" w:eastAsia="方正楷体_GBK" w:cs="Times New Roman"/>
          <w:b/>
          <w:spacing w:val="6"/>
          <w:sz w:val="32"/>
          <w:szCs w:val="32"/>
          <w:highlight w:val="none"/>
        </w:rPr>
        <w:t>消费市场</w:t>
      </w:r>
      <w:r>
        <w:rPr>
          <w:rFonts w:hint="eastAsia" w:eastAsia="方正楷体_GBK" w:cs="Times New Roman"/>
          <w:b/>
          <w:spacing w:val="6"/>
          <w:sz w:val="32"/>
          <w:szCs w:val="32"/>
          <w:highlight w:val="none"/>
          <w:lang w:eastAsia="zh-CN"/>
        </w:rPr>
        <w:t>复苏回暖</w:t>
      </w:r>
      <w:r>
        <w:rPr>
          <w:rFonts w:hint="eastAsia" w:eastAsia="方正楷体_GBK" w:cs="Times New Roman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，商品零售稳步回升</w:t>
      </w:r>
    </w:p>
    <w:p w14:paraId="1A21F04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firstLine="667" w:firstLineChars="201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市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社会消费品零售总额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49.36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亿元，同比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val="en-US" w:eastAsia="zh-CN"/>
        </w:rPr>
        <w:t>3.1</w:t>
      </w:r>
      <w:r>
        <w:rPr>
          <w:rFonts w:eastAsia="方正仿宋_GBK"/>
          <w:snapToGrid w:val="0"/>
          <w:spacing w:val="6"/>
          <w:kern w:val="0"/>
          <w:sz w:val="32"/>
          <w:szCs w:val="32"/>
          <w:highlight w:val="none"/>
        </w:rPr>
        <w:t>%</w:t>
      </w:r>
      <w:r>
        <w:rPr>
          <w:rFonts w:hint="eastAsia" w:eastAsia="方正仿宋_GBK"/>
          <w:snapToGrid w:val="0"/>
          <w:spacing w:val="6"/>
          <w:kern w:val="0"/>
          <w:sz w:val="32"/>
          <w:szCs w:val="32"/>
          <w:highlight w:val="none"/>
          <w:lang w:eastAsia="zh-CN"/>
        </w:rPr>
        <w:t>。其中：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限额以上社会消费品零售总额2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3.29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亿元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同比增长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</w:rPr>
        <w:t>%，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分类别看，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zh-CN" w:eastAsia="zh-CN"/>
        </w:rPr>
        <w:t>限额以上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汽车类增长14.0%，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eastAsia="zh-CN"/>
        </w:rPr>
        <w:t>基本生活类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增长14.1%，粮油食品类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19.7%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日用品类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21.1%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烟酒类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18.0%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highlight w:val="none"/>
          <w:lang w:val="en-US" w:eastAsia="zh-CN"/>
        </w:rPr>
        <w:t>中西药品类增长18.0%</w:t>
      </w:r>
      <w:r>
        <w:rPr>
          <w:rFonts w:hint="eastAsia" w:eastAsia="方正仿宋_GBK" w:cs="Times New Roman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zh-CN" w:eastAsia="zh-CN"/>
        </w:rPr>
        <w:t>石油及制品类同比下降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en-US" w:eastAsia="zh-CN"/>
        </w:rPr>
        <w:t>2.8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lang w:val="zh-CN" w:eastAsia="zh-CN"/>
        </w:rPr>
        <w:t>%</w:t>
      </w:r>
      <w:r>
        <w:rPr>
          <w:rFonts w:hint="eastAsia" w:eastAsia="方正仿宋_GBK" w:cs="Times New Roman"/>
          <w:color w:val="auto"/>
          <w:spacing w:val="6"/>
          <w:sz w:val="32"/>
          <w:szCs w:val="32"/>
          <w:highlight w:val="none"/>
          <w:lang w:val="zh-CN" w:eastAsia="zh-CN"/>
        </w:rPr>
        <w:t>。</w:t>
      </w:r>
    </w:p>
    <w:p w14:paraId="3598A1FC">
      <w:pPr>
        <w:rPr>
          <w:rFonts w:hint="default" w:ascii="Times New Roman" w:hAnsi="Times New Roman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0500D"/>
    <w:rsid w:val="17D0500D"/>
    <w:rsid w:val="1DB91E15"/>
    <w:rsid w:val="3240085C"/>
    <w:rsid w:val="583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"/>
    <w:basedOn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2026-04-21T02:33:00Z</dcterms:created>
  <dc:creator>Administrator</dc:creator>
  <cp:lastModifiedBy>Administrator</cp:lastModifiedBy>
  <cp:lastPrinted>2026-04-28T04:17:36Z</cp:lastPrinted>
  <dcterms:modified xsi:type="dcterms:W3CDTF">2026-04-28T04:17:39Z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F4E203111205415ABADECB8FAE664383_13</vt:lpwstr>
  </property>
  <property fmtid="{D5CDD505-2E9C-101B-9397-08002B2CF9AE}" pid="4" name="KSOTemplateDocerSaveRecord">
    <vt:lpwstr>eyJoZGlkIjoiOWEyYjYyODIyOWE3OGIxNzc0NjFjYzRhMjc1MWY5OGUifQ==</vt:lpwstr>
  </property>
</Properties>
</file>