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92390">
      <w:pPr>
        <w:jc w:val="center"/>
        <w:rPr>
          <w:rFonts w:hint="default" w:ascii="Times New Roman" w:hAnsi="Times New Roman" w:eastAsia="方正小标宋简体" w:cs="Times New Roman"/>
          <w:bCs/>
          <w:spacing w:val="0"/>
          <w:sz w:val="36"/>
          <w:szCs w:val="36"/>
        </w:rPr>
      </w:pPr>
    </w:p>
    <w:p w14:paraId="60FA493E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spacing w:val="0"/>
          <w:kern w:val="36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喀什市202</w:t>
      </w:r>
      <w:r>
        <w:rPr>
          <w:rFonts w:hint="eastAsia" w:eastAsia="方正小标宋_GBK" w:cs="Times New Roman"/>
          <w:bCs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年1—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Cs/>
          <w:spacing w:val="0"/>
          <w:sz w:val="44"/>
          <w:szCs w:val="44"/>
        </w:rPr>
        <w:t>月经济运行情况</w:t>
      </w:r>
    </w:p>
    <w:p w14:paraId="4A0FCB5E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</w:rPr>
      </w:pPr>
    </w:p>
    <w:p w14:paraId="21A503C0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sz w:val="32"/>
          <w:szCs w:val="32"/>
        </w:rPr>
        <w:t>一、经济运行总体情况</w:t>
      </w:r>
    </w:p>
    <w:p w14:paraId="793389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规上工业增加值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2.62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亿元，同比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增长6.5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eastAsia="zh-CN"/>
        </w:rPr>
        <w:t>。</w:t>
      </w:r>
    </w:p>
    <w:p w14:paraId="3BB18FAC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beforeLines="0" w:afterLines="0" w:line="62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固定资产投资（不含农户）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2.52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亿元，同比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增长25.4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57FAC0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限额以上社会消费品零售总额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13.43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亿元，同比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下降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7.0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741DCE86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2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一般公共预算收入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5.58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10.0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%；一般公共预算支出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15.85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亿元，同比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下降3.4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%。</w:t>
      </w:r>
    </w:p>
    <w:p w14:paraId="0C1DF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</w:rPr>
        <w:t>进出口总额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22.29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</w:rPr>
        <w:t>元，同比增长</w:t>
      </w:r>
      <w:r>
        <w:rPr>
          <w:rFonts w:hint="eastAsia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22.5%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其中：出口</w:t>
      </w:r>
      <w:r>
        <w:rPr>
          <w:rFonts w:hint="eastAsia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22.25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22.4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；进口429.38万元。</w:t>
      </w:r>
    </w:p>
    <w:p w14:paraId="6BA7F280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620" w:lineRule="exact"/>
        <w:ind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金融机构各项存款余额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1086.72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eastAsia" w:eastAsia="方正仿宋_GBK" w:cs="Times New Roman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10.0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；金融机构各项贷款余额</w:t>
      </w:r>
      <w:r>
        <w:rPr>
          <w:rFonts w:hint="eastAsia" w:eastAsia="方正仿宋_GBK" w:cs="Times New Roman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620.41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eastAsia" w:eastAsia="方正仿宋_GBK" w:cs="Times New Roman"/>
          <w:bCs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16.2</w:t>
      </w:r>
      <w:r>
        <w:rPr>
          <w:rFonts w:hint="default" w:ascii="Times New Roman" w:hAnsi="Times New Roman" w:eastAsia="方正仿宋_GBK" w:cs="Times New Roman"/>
          <w:bCs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</w:p>
    <w:p w14:paraId="2F8457BA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62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——全社会用电量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6.57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千瓦时，同比增长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17.3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7401ED79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62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市居民消费价格指数（CPI）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同比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1.0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。</w:t>
      </w:r>
    </w:p>
    <w:p w14:paraId="2B1B90B2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620" w:lineRule="exact"/>
        <w:ind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全市市场主体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11.53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万户，同比增长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8.6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%。其中：1—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月新注册登记市场主体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2352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户，同比</w:t>
      </w:r>
      <w:r>
        <w:rPr>
          <w:rFonts w:hint="eastAsia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增长21.8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%。 </w:t>
      </w:r>
    </w:p>
    <w:p w14:paraId="262910CC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620" w:lineRule="exact"/>
        <w:ind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民航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客运量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75.79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万人次，同比增长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0.6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%；货运量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3026.29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吨，同比增长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15.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%。铁路客运量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79.74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万人次，同比增长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2.0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，货运量40.43万吨，同比下降31.4</w:t>
      </w:r>
      <w:r>
        <w:rPr>
          <w:rFonts w:hint="default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144D8E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Chars="0" w:right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pacing w:val="0"/>
          <w:sz w:val="32"/>
          <w:szCs w:val="32"/>
          <w:highlight w:val="none"/>
        </w:rPr>
        <w:t>二、经济运行主要特点</w:t>
      </w:r>
    </w:p>
    <w:p w14:paraId="1399156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（一）工业生产开局平稳，</w:t>
      </w:r>
      <w:r>
        <w:rPr>
          <w:rFonts w:hint="eastAsia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制造业支撑有力</w:t>
      </w:r>
    </w:p>
    <w:p w14:paraId="087D55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2月，全市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家规上工业企业完成工业总产值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10.67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亿元，实现增加值2.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亿元，同比增长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6.5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%。</w:t>
      </w:r>
    </w:p>
    <w:p w14:paraId="7326EA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62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按两大门类</w:t>
      </w:r>
      <w:r>
        <w:rPr>
          <w:rFonts w:hint="eastAsia" w:eastAsia="方正仿宋_GBK" w:cs="Times New Roman"/>
          <w:b/>
          <w:bCs/>
          <w:spacing w:val="0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制造业保持高速增长。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全市规模以上制造业实现增加值0.3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亿元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，同比增长70.3%，拉动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规上工业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增加值增长5.3个百分点；规上电、热、气、水的供应业实现增加值2.25亿元，同比增长1.3%，拉动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规上工业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增加值增长1.2个百分点。</w:t>
      </w:r>
    </w:p>
    <w:p w14:paraId="34F502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62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从行业分类看，规上工业企业行业“9增9降”。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其中，“9增”：黑色金属冶炼和压延加工业同比增长294.9%、非金属矿物制品业同比增长157.2%、金属制品业同比增长135.1%、通用设备制造业同比增长55.7%、农副食品加工业同比增长34.8%、电力、热力生产和供应业同比增长13.9%、纺织业同比增长11.8%、橡胶和塑料制品业同比增长0.4%、黑色金属冶炼和压延加工业净增长；“9降”：酒、饮料和精制茶制造业同比下降52.5%、食品制造业同比下降22.4%、电气机械和器材制造业同比下降20.6%、燃气生产和供应业同比下降13.4%，纺织服装、服饰业同比下降12.2%、水的生产和供应业同比下降8.3%、废弃资源综合利用业同比下降0.9%、化学原料和化学制品制造业、计算机和其他电子设备制造业未生产。</w:t>
      </w:r>
    </w:p>
    <w:p w14:paraId="27616023"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供电供热企业支撑效果显著。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电力热力生产和供应业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1—2月实现增加值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1.31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亿元，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占规上工业增加值50.8%，同比增长13.9%，拉动规上工业增加值6.7个百分点。其中：华电喀什热电实现增加值0.89亿元，同比增长14.5%，拉动规上工业增加值4.7个百分点；华兴供热实现增加值0.41亿元，同比增长12.6%，拉动规上工业增加值1.9个百分点。</w:t>
      </w:r>
    </w:p>
    <w:p w14:paraId="0CEE83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eastAsia="方正楷体_GBK" w:cs="Times New Roman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楷体_GBK" w:cs="Times New Roman"/>
          <w:b/>
          <w:bCs/>
          <w:spacing w:val="0"/>
          <w:sz w:val="32"/>
          <w:szCs w:val="32"/>
          <w:highlight w:val="none"/>
          <w:lang w:val="en-US" w:eastAsia="zh-CN"/>
        </w:rPr>
        <w:t>（二）固定资产投资稳健起步，保持良好增长态势</w:t>
      </w:r>
    </w:p>
    <w:p w14:paraId="44F620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auto"/>
        <w:rPr>
          <w:rFonts w:hint="eastAsia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2月</w:t>
      </w:r>
      <w:r>
        <w:rPr>
          <w:rFonts w:hint="eastAsia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，全市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固定资产投资（不含农户）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2.52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亿元，同比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增长25.4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6"/>
          <w:highlight w:val="none"/>
          <w:lang w:val="en-US" w:eastAsia="zh-CN"/>
        </w:rPr>
        <w:t>。</w:t>
      </w:r>
      <w:r>
        <w:rPr>
          <w:rFonts w:hint="eastAsia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 xml:space="preserve"> </w:t>
      </w:r>
    </w:p>
    <w:p w14:paraId="662FF0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afterLines="0"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按</w:t>
      </w:r>
      <w:r>
        <w:rPr>
          <w:rFonts w:hint="default" w:ascii="方正仿宋_GBK" w:hAnsi="方正仿宋_GBK" w:eastAsia="方正仿宋_GBK" w:cs="方正仿宋_GBK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投资结构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分，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第二产业投资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额1.96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亿元，同比增长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21.0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%；第三产业投资</w:t>
      </w:r>
      <w:r>
        <w:rPr>
          <w:rFonts w:hint="eastAsia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额</w:t>
      </w:r>
      <w:r>
        <w:rPr>
          <w:rFonts w:hint="eastAsia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0.56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亿元，同比</w:t>
      </w:r>
      <w:r>
        <w:rPr>
          <w:rFonts w:hint="eastAsia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增长43.7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7AFC2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afterLines="0" w:line="62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按投资类型分，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政府投资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0.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44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zh-CN" w:eastAsia="zh-CN" w:bidi="ar-SA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增长8</w:t>
      </w:r>
      <w:r>
        <w:rPr>
          <w:rFonts w:hint="eastAsia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.3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zh-CN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社会投资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2.08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亿元，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zh-CN" w:eastAsia="zh-CN" w:bidi="ar-SA"/>
        </w:rPr>
        <w:t>同比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18.0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zh-CN" w:eastAsia="zh-CN" w:bidi="ar-SA"/>
        </w:rPr>
        <w:t>%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zh-CN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其中：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房地产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zh-CN" w:eastAsia="zh-CN" w:bidi="ar-SA"/>
        </w:rPr>
        <w:t>投资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 w:bidi="ar-SA"/>
        </w:rPr>
        <w:t>0.12亿元。</w:t>
      </w:r>
    </w:p>
    <w:p w14:paraId="7C560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afterLines="0"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按投资构成分，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建筑安装工程投资额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0.</w:t>
      </w:r>
      <w:r>
        <w:rPr>
          <w:rFonts w:hint="eastAsia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54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亿元，同比下降</w:t>
      </w:r>
      <w:r>
        <w:rPr>
          <w:rFonts w:hint="eastAsia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55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.0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%；设备工器具购置投资额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1.96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亿元，同比增长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161.3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%；其他费用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0.02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亿元，同比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下降60.0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16391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从在库项目数量看</w:t>
      </w:r>
      <w:r>
        <w:rPr>
          <w:rFonts w:hint="eastAsia" w:eastAsia="方正仿宋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在库项目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285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个，其中：政府投资类项目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107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个、社会投资类项目1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78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highlight w:val="none"/>
          <w:lang w:val="en-US" w:eastAsia="zh-CN" w:bidi="ar-SA"/>
        </w:rPr>
        <w:t>个。</w:t>
      </w:r>
    </w:p>
    <w:p w14:paraId="51B4B3B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商品房销售</w:t>
      </w:r>
      <w:r>
        <w:rPr>
          <w:rFonts w:hint="eastAsia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延续增长势头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商品房销售面积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5.99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万平方米，同比增长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17.5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%；商品房销售额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3.99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7.5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%。其中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住宅销售面积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5.6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万平方米，同比增长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83.9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%，销售额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3.52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129.3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%。</w:t>
      </w:r>
    </w:p>
    <w:p w14:paraId="0E8F0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Chars="0"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（三）消费市场</w:t>
      </w:r>
      <w:r>
        <w:rPr>
          <w:rFonts w:hint="eastAsia" w:eastAsia="方正楷体_GBK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承压明显，市场信心有待进一步提升</w:t>
      </w:r>
    </w:p>
    <w:p w14:paraId="3A5344C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Lines="0" w:afterLines="0" w:line="620" w:lineRule="exact"/>
        <w:ind w:firstLine="624" w:firstLineChars="195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月，</w:t>
      </w:r>
      <w:r>
        <w:rPr>
          <w:rFonts w:hint="eastAsia" w:eastAsia="方正仿宋_GBK" w:cs="Times New Roman"/>
          <w:spacing w:val="0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市限额以上社会消费品零售总额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13.43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亿元，同比</w:t>
      </w:r>
      <w:r>
        <w:rPr>
          <w:rFonts w:hint="eastAsia" w:eastAsia="方正仿宋_GBK" w:cs="Times New Roman"/>
          <w:spacing w:val="0"/>
          <w:sz w:val="32"/>
          <w:szCs w:val="32"/>
          <w:lang w:eastAsia="zh-CN"/>
        </w:rPr>
        <w:t>下降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7.0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%。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zh-CN"/>
        </w:rPr>
        <w:t>其中：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zh-CN"/>
        </w:rPr>
        <w:t>城镇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限额以上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社零总额12.62亿元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zh-CN"/>
        </w:rPr>
        <w:t>，同比下降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6.9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zh-CN"/>
        </w:rPr>
        <w:t>%；乡村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限额以上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社零总额0.81亿元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zh-CN"/>
        </w:rPr>
        <w:t>，同比下降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11.7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zh-CN"/>
        </w:rPr>
        <w:t>%。</w:t>
      </w:r>
    </w:p>
    <w:p w14:paraId="3D00C5F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粮油食品类、烟酒类等基本生活品类保持增长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限额以上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粮油、食品类实现零售额0.62亿元，同比增长21.7%，拉动限额以上消费品零售额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0.8个百分点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烟酒类实现零售额0.38亿元，同比增长20.8%，拉动限额以上消费品零售额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0.5个百分点。</w:t>
      </w:r>
    </w:p>
    <w:p w14:paraId="6766F6B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中西药品类健康消费稳步增长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限额以上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中西药品类实现零售额0.72亿元，同比增长14.2%，拉动限额以上消费品零售额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0.6个百分点。</w:t>
      </w:r>
    </w:p>
    <w:p w14:paraId="406D1B6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四大行业呈现“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增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降”趋势</w:t>
      </w:r>
      <w:r>
        <w:rPr>
          <w:rFonts w:hint="eastAsia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限额以上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zh-CN"/>
        </w:rPr>
        <w:t>住宿业实现营业额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0.33亿元，同比增长16.8%；限额以上餐饮业实现营业额0.78亿元，同比增长8.0%；限额以上批发业实现商品销售额25.0亿元，同比下降6.3%；限额以上零售业实现商品销售额6.3亿元，同比下降9.3%。</w:t>
      </w:r>
    </w:p>
    <w:p w14:paraId="09498051">
      <w:pPr>
        <w:pStyle w:val="3"/>
        <w:rPr>
          <w:color w:val="auto"/>
          <w:spacing w:val="0"/>
          <w:highlight w:val="none"/>
        </w:rPr>
      </w:pPr>
    </w:p>
    <w:p w14:paraId="444897BC">
      <w:pPr>
        <w:pStyle w:val="3"/>
        <w:rPr>
          <w:color w:val="auto"/>
          <w:spacing w:val="0"/>
          <w:highlight w:val="none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253D2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937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C2F587F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CDC20E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937"/>
                      <w:docPartObj>
                        <w:docPartGallery w:val="autotext"/>
                      </w:docPartObj>
                    </w:sdtPr>
                    <w:sdtContent>
                      <w:p w14:paraId="4C2F587F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4CDC20E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.</w:t>
    </w:r>
  </w:p>
  <w:p w14:paraId="5EB25DB2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YmNlNTJkNDMzNTA5ZTU0NjYyNGE0YzM4ZjZhMDUifQ=="/>
  </w:docVars>
  <w:rsids>
    <w:rsidRoot w:val="00172A27"/>
    <w:rsid w:val="00022B7C"/>
    <w:rsid w:val="000245D2"/>
    <w:rsid w:val="0004401A"/>
    <w:rsid w:val="000465CC"/>
    <w:rsid w:val="00061B88"/>
    <w:rsid w:val="00074205"/>
    <w:rsid w:val="00087A49"/>
    <w:rsid w:val="00095A67"/>
    <w:rsid w:val="000A0615"/>
    <w:rsid w:val="001A62FC"/>
    <w:rsid w:val="001B1162"/>
    <w:rsid w:val="001C34B4"/>
    <w:rsid w:val="001F7D8A"/>
    <w:rsid w:val="00207852"/>
    <w:rsid w:val="00222B70"/>
    <w:rsid w:val="00225284"/>
    <w:rsid w:val="00237B68"/>
    <w:rsid w:val="002707C9"/>
    <w:rsid w:val="002D1E0E"/>
    <w:rsid w:val="002D2E49"/>
    <w:rsid w:val="002D47F5"/>
    <w:rsid w:val="00337FFD"/>
    <w:rsid w:val="00355691"/>
    <w:rsid w:val="00373DB4"/>
    <w:rsid w:val="003852EA"/>
    <w:rsid w:val="003912DC"/>
    <w:rsid w:val="003E19B2"/>
    <w:rsid w:val="003E3E1C"/>
    <w:rsid w:val="003F0C06"/>
    <w:rsid w:val="003F1869"/>
    <w:rsid w:val="00440EE7"/>
    <w:rsid w:val="00450A26"/>
    <w:rsid w:val="004709D1"/>
    <w:rsid w:val="0049371E"/>
    <w:rsid w:val="004A5328"/>
    <w:rsid w:val="004F41D3"/>
    <w:rsid w:val="00517A07"/>
    <w:rsid w:val="005651DE"/>
    <w:rsid w:val="0059573F"/>
    <w:rsid w:val="005A2CB4"/>
    <w:rsid w:val="005D029C"/>
    <w:rsid w:val="005E5E35"/>
    <w:rsid w:val="005E7CCF"/>
    <w:rsid w:val="005F1513"/>
    <w:rsid w:val="005F1D9D"/>
    <w:rsid w:val="005F6C5D"/>
    <w:rsid w:val="00641D97"/>
    <w:rsid w:val="0069585E"/>
    <w:rsid w:val="006D260A"/>
    <w:rsid w:val="006D2B0B"/>
    <w:rsid w:val="006D3316"/>
    <w:rsid w:val="006D6C60"/>
    <w:rsid w:val="00733257"/>
    <w:rsid w:val="0074476D"/>
    <w:rsid w:val="007551F3"/>
    <w:rsid w:val="007614DA"/>
    <w:rsid w:val="00767201"/>
    <w:rsid w:val="00785E1E"/>
    <w:rsid w:val="007A1D7D"/>
    <w:rsid w:val="007B3294"/>
    <w:rsid w:val="007B6023"/>
    <w:rsid w:val="007C0CDA"/>
    <w:rsid w:val="00802C02"/>
    <w:rsid w:val="00804B44"/>
    <w:rsid w:val="008067B1"/>
    <w:rsid w:val="00806FA6"/>
    <w:rsid w:val="00847332"/>
    <w:rsid w:val="008511A8"/>
    <w:rsid w:val="00852DA9"/>
    <w:rsid w:val="00891950"/>
    <w:rsid w:val="008E197F"/>
    <w:rsid w:val="008F1B83"/>
    <w:rsid w:val="008F5D6B"/>
    <w:rsid w:val="00962852"/>
    <w:rsid w:val="009813EC"/>
    <w:rsid w:val="00987723"/>
    <w:rsid w:val="009E34F9"/>
    <w:rsid w:val="009F5378"/>
    <w:rsid w:val="00A246BB"/>
    <w:rsid w:val="00A27C10"/>
    <w:rsid w:val="00A71462"/>
    <w:rsid w:val="00A85937"/>
    <w:rsid w:val="00A92C24"/>
    <w:rsid w:val="00A9605F"/>
    <w:rsid w:val="00AA0F10"/>
    <w:rsid w:val="00AA1A92"/>
    <w:rsid w:val="00AF464E"/>
    <w:rsid w:val="00B17D8F"/>
    <w:rsid w:val="00B23638"/>
    <w:rsid w:val="00B238BA"/>
    <w:rsid w:val="00B24AE9"/>
    <w:rsid w:val="00B80824"/>
    <w:rsid w:val="00BA66A8"/>
    <w:rsid w:val="00BB7082"/>
    <w:rsid w:val="00BD7B06"/>
    <w:rsid w:val="00BE5E87"/>
    <w:rsid w:val="00C400CF"/>
    <w:rsid w:val="00C45E6B"/>
    <w:rsid w:val="00C76F81"/>
    <w:rsid w:val="00CD0AB1"/>
    <w:rsid w:val="00CD21B5"/>
    <w:rsid w:val="00CF1CBA"/>
    <w:rsid w:val="00CF43BC"/>
    <w:rsid w:val="00CF4724"/>
    <w:rsid w:val="00D0719B"/>
    <w:rsid w:val="00D1361C"/>
    <w:rsid w:val="00D23DD7"/>
    <w:rsid w:val="00D244E8"/>
    <w:rsid w:val="00D340DA"/>
    <w:rsid w:val="00D53E49"/>
    <w:rsid w:val="00DE492B"/>
    <w:rsid w:val="00E2443F"/>
    <w:rsid w:val="00E60DC2"/>
    <w:rsid w:val="00E846E5"/>
    <w:rsid w:val="00EC738C"/>
    <w:rsid w:val="00F06228"/>
    <w:rsid w:val="00F22F81"/>
    <w:rsid w:val="00F6721A"/>
    <w:rsid w:val="00F91028"/>
    <w:rsid w:val="00F943CF"/>
    <w:rsid w:val="00FA61AB"/>
    <w:rsid w:val="00FA73E4"/>
    <w:rsid w:val="00FC0C20"/>
    <w:rsid w:val="00FD378C"/>
    <w:rsid w:val="00FE5C65"/>
    <w:rsid w:val="00FF140F"/>
    <w:rsid w:val="010356B7"/>
    <w:rsid w:val="011D7094"/>
    <w:rsid w:val="01204800"/>
    <w:rsid w:val="013019FE"/>
    <w:rsid w:val="01566F04"/>
    <w:rsid w:val="01702AEB"/>
    <w:rsid w:val="018C4458"/>
    <w:rsid w:val="01C12AA5"/>
    <w:rsid w:val="01E73082"/>
    <w:rsid w:val="0215534B"/>
    <w:rsid w:val="021F0C30"/>
    <w:rsid w:val="025A29ED"/>
    <w:rsid w:val="026D52D1"/>
    <w:rsid w:val="02791377"/>
    <w:rsid w:val="02971E9A"/>
    <w:rsid w:val="02A017CD"/>
    <w:rsid w:val="02E60D90"/>
    <w:rsid w:val="036B231B"/>
    <w:rsid w:val="03A57713"/>
    <w:rsid w:val="03AA388C"/>
    <w:rsid w:val="03AA740D"/>
    <w:rsid w:val="03EE17E5"/>
    <w:rsid w:val="046E64D9"/>
    <w:rsid w:val="04771E50"/>
    <w:rsid w:val="04AF4FE7"/>
    <w:rsid w:val="04FB27B8"/>
    <w:rsid w:val="054A6B6E"/>
    <w:rsid w:val="05A66A98"/>
    <w:rsid w:val="05B82A6C"/>
    <w:rsid w:val="05E415E6"/>
    <w:rsid w:val="06104606"/>
    <w:rsid w:val="061C13ED"/>
    <w:rsid w:val="06300BB7"/>
    <w:rsid w:val="067B371F"/>
    <w:rsid w:val="06C77F87"/>
    <w:rsid w:val="06CA0956"/>
    <w:rsid w:val="06EB477D"/>
    <w:rsid w:val="07465257"/>
    <w:rsid w:val="07476C05"/>
    <w:rsid w:val="07735B52"/>
    <w:rsid w:val="07C02D12"/>
    <w:rsid w:val="07CD02C0"/>
    <w:rsid w:val="07CD0324"/>
    <w:rsid w:val="07CE489A"/>
    <w:rsid w:val="08251704"/>
    <w:rsid w:val="08452439"/>
    <w:rsid w:val="084866A6"/>
    <w:rsid w:val="086246C9"/>
    <w:rsid w:val="08634938"/>
    <w:rsid w:val="087851BD"/>
    <w:rsid w:val="08974D92"/>
    <w:rsid w:val="08C7583A"/>
    <w:rsid w:val="08DA7138"/>
    <w:rsid w:val="08FA3D47"/>
    <w:rsid w:val="0937562C"/>
    <w:rsid w:val="0939025B"/>
    <w:rsid w:val="09611CF3"/>
    <w:rsid w:val="09686355"/>
    <w:rsid w:val="098F4B50"/>
    <w:rsid w:val="0998380C"/>
    <w:rsid w:val="09983C56"/>
    <w:rsid w:val="099A4CE1"/>
    <w:rsid w:val="099A7D7D"/>
    <w:rsid w:val="09E209EF"/>
    <w:rsid w:val="0A8C67B1"/>
    <w:rsid w:val="0AA0240E"/>
    <w:rsid w:val="0AEC47C7"/>
    <w:rsid w:val="0B1161B7"/>
    <w:rsid w:val="0B311478"/>
    <w:rsid w:val="0B911F88"/>
    <w:rsid w:val="0BF13235"/>
    <w:rsid w:val="0BFB5B42"/>
    <w:rsid w:val="0C2171E4"/>
    <w:rsid w:val="0C7F18C2"/>
    <w:rsid w:val="0CC1058D"/>
    <w:rsid w:val="0CC212AA"/>
    <w:rsid w:val="0CDB70BD"/>
    <w:rsid w:val="0CE86E9D"/>
    <w:rsid w:val="0D293256"/>
    <w:rsid w:val="0D2E3D2F"/>
    <w:rsid w:val="0D475A00"/>
    <w:rsid w:val="0D66668B"/>
    <w:rsid w:val="0D9E1765"/>
    <w:rsid w:val="0DB6770F"/>
    <w:rsid w:val="0DBE0BFA"/>
    <w:rsid w:val="0DF421E4"/>
    <w:rsid w:val="0E1E25B6"/>
    <w:rsid w:val="0E5463FC"/>
    <w:rsid w:val="0E62685F"/>
    <w:rsid w:val="0E6733E2"/>
    <w:rsid w:val="0E727B92"/>
    <w:rsid w:val="0E83445F"/>
    <w:rsid w:val="0E864841"/>
    <w:rsid w:val="0E920B67"/>
    <w:rsid w:val="0EA01582"/>
    <w:rsid w:val="0F2D49CA"/>
    <w:rsid w:val="0F3F2073"/>
    <w:rsid w:val="0F4C2412"/>
    <w:rsid w:val="0F867082"/>
    <w:rsid w:val="0FB156C8"/>
    <w:rsid w:val="0FB2203C"/>
    <w:rsid w:val="0FBF1CE2"/>
    <w:rsid w:val="0FC61928"/>
    <w:rsid w:val="0FF24DE1"/>
    <w:rsid w:val="0FF705D0"/>
    <w:rsid w:val="10226851"/>
    <w:rsid w:val="103C483C"/>
    <w:rsid w:val="10605D95"/>
    <w:rsid w:val="108941D6"/>
    <w:rsid w:val="10A14650"/>
    <w:rsid w:val="10BB0CF6"/>
    <w:rsid w:val="111438F5"/>
    <w:rsid w:val="114371CC"/>
    <w:rsid w:val="11512479"/>
    <w:rsid w:val="117537FE"/>
    <w:rsid w:val="119F6C75"/>
    <w:rsid w:val="11E92473"/>
    <w:rsid w:val="120F5345"/>
    <w:rsid w:val="122272BC"/>
    <w:rsid w:val="126173D1"/>
    <w:rsid w:val="12961F0E"/>
    <w:rsid w:val="12972F3E"/>
    <w:rsid w:val="12DE5103"/>
    <w:rsid w:val="12FD4861"/>
    <w:rsid w:val="13343F4A"/>
    <w:rsid w:val="13C206F9"/>
    <w:rsid w:val="13ED4F5B"/>
    <w:rsid w:val="1417508B"/>
    <w:rsid w:val="14206D94"/>
    <w:rsid w:val="148A52DB"/>
    <w:rsid w:val="148A5A4C"/>
    <w:rsid w:val="14D20CC4"/>
    <w:rsid w:val="14D93C74"/>
    <w:rsid w:val="14EF22A8"/>
    <w:rsid w:val="152D3D33"/>
    <w:rsid w:val="1588593C"/>
    <w:rsid w:val="15AB67A9"/>
    <w:rsid w:val="15BC7298"/>
    <w:rsid w:val="15F56AC3"/>
    <w:rsid w:val="16080702"/>
    <w:rsid w:val="162C51BE"/>
    <w:rsid w:val="16306774"/>
    <w:rsid w:val="16396396"/>
    <w:rsid w:val="167871CD"/>
    <w:rsid w:val="169812D9"/>
    <w:rsid w:val="16EC1B89"/>
    <w:rsid w:val="16FD540D"/>
    <w:rsid w:val="17267F85"/>
    <w:rsid w:val="174817BF"/>
    <w:rsid w:val="175355D1"/>
    <w:rsid w:val="17CB1D98"/>
    <w:rsid w:val="17D35CE5"/>
    <w:rsid w:val="17ED4F18"/>
    <w:rsid w:val="17EF2A76"/>
    <w:rsid w:val="182638A0"/>
    <w:rsid w:val="18294A65"/>
    <w:rsid w:val="183C15D5"/>
    <w:rsid w:val="185F0877"/>
    <w:rsid w:val="18640C92"/>
    <w:rsid w:val="1864455A"/>
    <w:rsid w:val="18662AF0"/>
    <w:rsid w:val="18A83A5B"/>
    <w:rsid w:val="18AF730E"/>
    <w:rsid w:val="190A66E8"/>
    <w:rsid w:val="19484788"/>
    <w:rsid w:val="194F4FD8"/>
    <w:rsid w:val="19713568"/>
    <w:rsid w:val="198C2191"/>
    <w:rsid w:val="198E149C"/>
    <w:rsid w:val="19C61883"/>
    <w:rsid w:val="19CA0765"/>
    <w:rsid w:val="19CB14DE"/>
    <w:rsid w:val="1A366074"/>
    <w:rsid w:val="1A653582"/>
    <w:rsid w:val="1A671840"/>
    <w:rsid w:val="1AB24EA8"/>
    <w:rsid w:val="1AFA4F99"/>
    <w:rsid w:val="1B0302E1"/>
    <w:rsid w:val="1B487AE6"/>
    <w:rsid w:val="1B6579F5"/>
    <w:rsid w:val="1B6B27F0"/>
    <w:rsid w:val="1B721452"/>
    <w:rsid w:val="1BCD4BF8"/>
    <w:rsid w:val="1BE3087D"/>
    <w:rsid w:val="1BF129ED"/>
    <w:rsid w:val="1BFB6CEB"/>
    <w:rsid w:val="1C044240"/>
    <w:rsid w:val="1C0C6545"/>
    <w:rsid w:val="1C2E27C8"/>
    <w:rsid w:val="1C56533A"/>
    <w:rsid w:val="1C8C4095"/>
    <w:rsid w:val="1C923D15"/>
    <w:rsid w:val="1CB8293F"/>
    <w:rsid w:val="1D1E4E6E"/>
    <w:rsid w:val="1D2270A1"/>
    <w:rsid w:val="1D7C3677"/>
    <w:rsid w:val="1D7C63EB"/>
    <w:rsid w:val="1D967E78"/>
    <w:rsid w:val="1DAA0F18"/>
    <w:rsid w:val="1DAE7EBF"/>
    <w:rsid w:val="1DB47B00"/>
    <w:rsid w:val="1DC20D31"/>
    <w:rsid w:val="1DD040FD"/>
    <w:rsid w:val="1E05197A"/>
    <w:rsid w:val="1E1957C5"/>
    <w:rsid w:val="1E6D7BDA"/>
    <w:rsid w:val="1E9D751B"/>
    <w:rsid w:val="1EA639EE"/>
    <w:rsid w:val="1EC94A97"/>
    <w:rsid w:val="1EF117D0"/>
    <w:rsid w:val="1F265D0D"/>
    <w:rsid w:val="1F300465"/>
    <w:rsid w:val="1F320926"/>
    <w:rsid w:val="1F5B33FE"/>
    <w:rsid w:val="1F5C7276"/>
    <w:rsid w:val="1F6877E9"/>
    <w:rsid w:val="1F696B14"/>
    <w:rsid w:val="1F7D56A7"/>
    <w:rsid w:val="1FA371CB"/>
    <w:rsid w:val="1FB769F2"/>
    <w:rsid w:val="1FBA3372"/>
    <w:rsid w:val="1FBE0F24"/>
    <w:rsid w:val="1FE56DE3"/>
    <w:rsid w:val="207E2F12"/>
    <w:rsid w:val="20A4289F"/>
    <w:rsid w:val="20AC2BA2"/>
    <w:rsid w:val="20AF1FB5"/>
    <w:rsid w:val="20B802BE"/>
    <w:rsid w:val="20FC63AD"/>
    <w:rsid w:val="215C1C4A"/>
    <w:rsid w:val="215F72D9"/>
    <w:rsid w:val="21B76FF3"/>
    <w:rsid w:val="21DF6F4A"/>
    <w:rsid w:val="2202315A"/>
    <w:rsid w:val="22037D44"/>
    <w:rsid w:val="22062BD8"/>
    <w:rsid w:val="220E3C6C"/>
    <w:rsid w:val="224820A4"/>
    <w:rsid w:val="22492E00"/>
    <w:rsid w:val="2279119E"/>
    <w:rsid w:val="22BA7A65"/>
    <w:rsid w:val="22D80CBB"/>
    <w:rsid w:val="22F753EF"/>
    <w:rsid w:val="23070424"/>
    <w:rsid w:val="23075B4C"/>
    <w:rsid w:val="234E2497"/>
    <w:rsid w:val="23555603"/>
    <w:rsid w:val="23760EA9"/>
    <w:rsid w:val="23D834C8"/>
    <w:rsid w:val="23DA4A7A"/>
    <w:rsid w:val="24092AE9"/>
    <w:rsid w:val="241912CA"/>
    <w:rsid w:val="2445457F"/>
    <w:rsid w:val="248F3D0B"/>
    <w:rsid w:val="248F5340"/>
    <w:rsid w:val="24BF1C6A"/>
    <w:rsid w:val="24E04983"/>
    <w:rsid w:val="24FB0431"/>
    <w:rsid w:val="255743F7"/>
    <w:rsid w:val="25644FE8"/>
    <w:rsid w:val="25B54A1C"/>
    <w:rsid w:val="25D664C0"/>
    <w:rsid w:val="26044368"/>
    <w:rsid w:val="261B209F"/>
    <w:rsid w:val="26391864"/>
    <w:rsid w:val="26A749B1"/>
    <w:rsid w:val="26A83737"/>
    <w:rsid w:val="26DE3447"/>
    <w:rsid w:val="26E4165A"/>
    <w:rsid w:val="26FB6182"/>
    <w:rsid w:val="2717462E"/>
    <w:rsid w:val="27195933"/>
    <w:rsid w:val="272A5160"/>
    <w:rsid w:val="2737754E"/>
    <w:rsid w:val="27703DFF"/>
    <w:rsid w:val="278834E5"/>
    <w:rsid w:val="279C7162"/>
    <w:rsid w:val="279E2682"/>
    <w:rsid w:val="27B31DCF"/>
    <w:rsid w:val="27EF21E2"/>
    <w:rsid w:val="28287688"/>
    <w:rsid w:val="28443D9B"/>
    <w:rsid w:val="28447CD2"/>
    <w:rsid w:val="28B27C52"/>
    <w:rsid w:val="28E46A8F"/>
    <w:rsid w:val="28FA38CA"/>
    <w:rsid w:val="28FB5631"/>
    <w:rsid w:val="28FF035C"/>
    <w:rsid w:val="290676DC"/>
    <w:rsid w:val="29287D2F"/>
    <w:rsid w:val="29681BF4"/>
    <w:rsid w:val="296F013F"/>
    <w:rsid w:val="29CD5E21"/>
    <w:rsid w:val="2A007296"/>
    <w:rsid w:val="2A0A5C85"/>
    <w:rsid w:val="2A100273"/>
    <w:rsid w:val="2A1244B9"/>
    <w:rsid w:val="2A1845FE"/>
    <w:rsid w:val="2A285533"/>
    <w:rsid w:val="2A9710B7"/>
    <w:rsid w:val="2AB17941"/>
    <w:rsid w:val="2ADF4D10"/>
    <w:rsid w:val="2B35476C"/>
    <w:rsid w:val="2B433460"/>
    <w:rsid w:val="2B4E0CC3"/>
    <w:rsid w:val="2B856F5D"/>
    <w:rsid w:val="2B88197A"/>
    <w:rsid w:val="2BAC65B4"/>
    <w:rsid w:val="2BDE1084"/>
    <w:rsid w:val="2C0D4B46"/>
    <w:rsid w:val="2C144687"/>
    <w:rsid w:val="2C161ADC"/>
    <w:rsid w:val="2C26775F"/>
    <w:rsid w:val="2C3C3ED8"/>
    <w:rsid w:val="2C643555"/>
    <w:rsid w:val="2C651EA4"/>
    <w:rsid w:val="2CA84A4F"/>
    <w:rsid w:val="2CC10CAE"/>
    <w:rsid w:val="2CDE4D65"/>
    <w:rsid w:val="2D23180B"/>
    <w:rsid w:val="2D406ACD"/>
    <w:rsid w:val="2D60110A"/>
    <w:rsid w:val="2D7A1515"/>
    <w:rsid w:val="2D8B59B6"/>
    <w:rsid w:val="2D9918CD"/>
    <w:rsid w:val="2E032259"/>
    <w:rsid w:val="2E26409B"/>
    <w:rsid w:val="2E3C4974"/>
    <w:rsid w:val="2E5431F3"/>
    <w:rsid w:val="2E7D5AE7"/>
    <w:rsid w:val="2E822C77"/>
    <w:rsid w:val="2EB561E9"/>
    <w:rsid w:val="2EEA022F"/>
    <w:rsid w:val="2EF27E76"/>
    <w:rsid w:val="2F79530A"/>
    <w:rsid w:val="2F955DAD"/>
    <w:rsid w:val="2F956CEE"/>
    <w:rsid w:val="2FB34011"/>
    <w:rsid w:val="2FCD23DC"/>
    <w:rsid w:val="2FD3235B"/>
    <w:rsid w:val="2FDC3A55"/>
    <w:rsid w:val="2FFB2D37"/>
    <w:rsid w:val="30351FA2"/>
    <w:rsid w:val="303F06DA"/>
    <w:rsid w:val="30451475"/>
    <w:rsid w:val="30457B76"/>
    <w:rsid w:val="306C3781"/>
    <w:rsid w:val="309F2833"/>
    <w:rsid w:val="30AA79E3"/>
    <w:rsid w:val="30C30C93"/>
    <w:rsid w:val="30DB5F60"/>
    <w:rsid w:val="30DB6CFA"/>
    <w:rsid w:val="30DC0DD7"/>
    <w:rsid w:val="30E941DC"/>
    <w:rsid w:val="30FB26D8"/>
    <w:rsid w:val="31AC768C"/>
    <w:rsid w:val="32006A2F"/>
    <w:rsid w:val="321408FD"/>
    <w:rsid w:val="3241106B"/>
    <w:rsid w:val="32466D3E"/>
    <w:rsid w:val="325657A2"/>
    <w:rsid w:val="3265451D"/>
    <w:rsid w:val="32A63A63"/>
    <w:rsid w:val="32BD739B"/>
    <w:rsid w:val="32EA3CFD"/>
    <w:rsid w:val="33391030"/>
    <w:rsid w:val="335C7DD3"/>
    <w:rsid w:val="33713466"/>
    <w:rsid w:val="338308B9"/>
    <w:rsid w:val="33B470C2"/>
    <w:rsid w:val="34400034"/>
    <w:rsid w:val="344130BC"/>
    <w:rsid w:val="346F1641"/>
    <w:rsid w:val="35407CF3"/>
    <w:rsid w:val="35501E84"/>
    <w:rsid w:val="355D101B"/>
    <w:rsid w:val="36273F67"/>
    <w:rsid w:val="362819E9"/>
    <w:rsid w:val="363B67FE"/>
    <w:rsid w:val="364552F3"/>
    <w:rsid w:val="3654461E"/>
    <w:rsid w:val="36711887"/>
    <w:rsid w:val="367A1088"/>
    <w:rsid w:val="36843FC9"/>
    <w:rsid w:val="36E157B3"/>
    <w:rsid w:val="37086CB7"/>
    <w:rsid w:val="373F637F"/>
    <w:rsid w:val="37523AEF"/>
    <w:rsid w:val="377B46F5"/>
    <w:rsid w:val="37C55D56"/>
    <w:rsid w:val="381D289C"/>
    <w:rsid w:val="38372745"/>
    <w:rsid w:val="38386094"/>
    <w:rsid w:val="383F676E"/>
    <w:rsid w:val="387D3F8A"/>
    <w:rsid w:val="387E6AA8"/>
    <w:rsid w:val="3880787E"/>
    <w:rsid w:val="38A37DA5"/>
    <w:rsid w:val="38A453FD"/>
    <w:rsid w:val="38AF2451"/>
    <w:rsid w:val="38F3764F"/>
    <w:rsid w:val="39124959"/>
    <w:rsid w:val="39476592"/>
    <w:rsid w:val="3991389C"/>
    <w:rsid w:val="39AB1EEB"/>
    <w:rsid w:val="39B23684"/>
    <w:rsid w:val="39FA1623"/>
    <w:rsid w:val="3A2A785A"/>
    <w:rsid w:val="3A2D4F75"/>
    <w:rsid w:val="3A3C5316"/>
    <w:rsid w:val="3A3D3154"/>
    <w:rsid w:val="3A5F212C"/>
    <w:rsid w:val="3A7A7238"/>
    <w:rsid w:val="3AA105A1"/>
    <w:rsid w:val="3AA1689E"/>
    <w:rsid w:val="3AAB2064"/>
    <w:rsid w:val="3ABD1C5D"/>
    <w:rsid w:val="3AE72594"/>
    <w:rsid w:val="3AEA275F"/>
    <w:rsid w:val="3AEF610A"/>
    <w:rsid w:val="3B553864"/>
    <w:rsid w:val="3B8F73AA"/>
    <w:rsid w:val="3B991BA3"/>
    <w:rsid w:val="3BAE714B"/>
    <w:rsid w:val="3BCD2D2A"/>
    <w:rsid w:val="3BEC505C"/>
    <w:rsid w:val="3C1324CB"/>
    <w:rsid w:val="3C160A9D"/>
    <w:rsid w:val="3C7677D5"/>
    <w:rsid w:val="3C8B7104"/>
    <w:rsid w:val="3CAE057E"/>
    <w:rsid w:val="3CCA034E"/>
    <w:rsid w:val="3CCC1215"/>
    <w:rsid w:val="3CDF4EB9"/>
    <w:rsid w:val="3D42389D"/>
    <w:rsid w:val="3D5806FB"/>
    <w:rsid w:val="3D5F502C"/>
    <w:rsid w:val="3D8E3847"/>
    <w:rsid w:val="3DB92B61"/>
    <w:rsid w:val="3DC457F3"/>
    <w:rsid w:val="3DE1162A"/>
    <w:rsid w:val="3DFA2BBE"/>
    <w:rsid w:val="3E0746C0"/>
    <w:rsid w:val="3E294E8D"/>
    <w:rsid w:val="3E5A1A15"/>
    <w:rsid w:val="3E6E5F19"/>
    <w:rsid w:val="3EA54534"/>
    <w:rsid w:val="3EAD21C5"/>
    <w:rsid w:val="3ECC4E08"/>
    <w:rsid w:val="3ED356C0"/>
    <w:rsid w:val="3EE34035"/>
    <w:rsid w:val="3EE64EAB"/>
    <w:rsid w:val="3EF002A6"/>
    <w:rsid w:val="3F0C717D"/>
    <w:rsid w:val="3F0D3B6D"/>
    <w:rsid w:val="3F1C59E2"/>
    <w:rsid w:val="3F5D20A4"/>
    <w:rsid w:val="3F777BAF"/>
    <w:rsid w:val="3F984C15"/>
    <w:rsid w:val="3FA45BE1"/>
    <w:rsid w:val="3FC337AF"/>
    <w:rsid w:val="3FD8434D"/>
    <w:rsid w:val="3FF13F2B"/>
    <w:rsid w:val="402661E4"/>
    <w:rsid w:val="402B3740"/>
    <w:rsid w:val="404B2600"/>
    <w:rsid w:val="409E13A8"/>
    <w:rsid w:val="40B23121"/>
    <w:rsid w:val="40E2329B"/>
    <w:rsid w:val="415F71CF"/>
    <w:rsid w:val="418C0F42"/>
    <w:rsid w:val="418C2D04"/>
    <w:rsid w:val="41B24ED8"/>
    <w:rsid w:val="41E022CB"/>
    <w:rsid w:val="420658BE"/>
    <w:rsid w:val="42125C76"/>
    <w:rsid w:val="42174BFC"/>
    <w:rsid w:val="422A33FF"/>
    <w:rsid w:val="424720EA"/>
    <w:rsid w:val="426E0222"/>
    <w:rsid w:val="42713AC2"/>
    <w:rsid w:val="429B1BF4"/>
    <w:rsid w:val="429D61A2"/>
    <w:rsid w:val="42D91AF7"/>
    <w:rsid w:val="42E836AC"/>
    <w:rsid w:val="42F20300"/>
    <w:rsid w:val="43175B59"/>
    <w:rsid w:val="431E612D"/>
    <w:rsid w:val="433F3D0A"/>
    <w:rsid w:val="43895303"/>
    <w:rsid w:val="43A86026"/>
    <w:rsid w:val="43AB7A1F"/>
    <w:rsid w:val="43EF6AC2"/>
    <w:rsid w:val="44080A27"/>
    <w:rsid w:val="441F7EFA"/>
    <w:rsid w:val="442360B9"/>
    <w:rsid w:val="4429750C"/>
    <w:rsid w:val="44411D57"/>
    <w:rsid w:val="44490CB3"/>
    <w:rsid w:val="444C6D9A"/>
    <w:rsid w:val="445603B2"/>
    <w:rsid w:val="44565DEB"/>
    <w:rsid w:val="44711F7E"/>
    <w:rsid w:val="44825223"/>
    <w:rsid w:val="4488337C"/>
    <w:rsid w:val="44DA7986"/>
    <w:rsid w:val="44DB0C67"/>
    <w:rsid w:val="45440EBA"/>
    <w:rsid w:val="45526E04"/>
    <w:rsid w:val="45F82F92"/>
    <w:rsid w:val="45FD36CC"/>
    <w:rsid w:val="4650489E"/>
    <w:rsid w:val="46C24BA5"/>
    <w:rsid w:val="46E0785B"/>
    <w:rsid w:val="46E83D9C"/>
    <w:rsid w:val="46EC36BD"/>
    <w:rsid w:val="46F53476"/>
    <w:rsid w:val="46F63A09"/>
    <w:rsid w:val="46FF4863"/>
    <w:rsid w:val="470E352E"/>
    <w:rsid w:val="473641AD"/>
    <w:rsid w:val="47377DE6"/>
    <w:rsid w:val="477C543C"/>
    <w:rsid w:val="479E3EE6"/>
    <w:rsid w:val="47D46E82"/>
    <w:rsid w:val="47E73285"/>
    <w:rsid w:val="47FF2F62"/>
    <w:rsid w:val="48054941"/>
    <w:rsid w:val="48142C4F"/>
    <w:rsid w:val="481A105A"/>
    <w:rsid w:val="48245082"/>
    <w:rsid w:val="48847404"/>
    <w:rsid w:val="48BD5CAE"/>
    <w:rsid w:val="49324B00"/>
    <w:rsid w:val="493F33BB"/>
    <w:rsid w:val="49607B4C"/>
    <w:rsid w:val="496D2D7B"/>
    <w:rsid w:val="498A51E1"/>
    <w:rsid w:val="49B62383"/>
    <w:rsid w:val="49B66A8C"/>
    <w:rsid w:val="49B90325"/>
    <w:rsid w:val="49C85340"/>
    <w:rsid w:val="49C85784"/>
    <w:rsid w:val="4A35443A"/>
    <w:rsid w:val="4A9670D8"/>
    <w:rsid w:val="4AE3615D"/>
    <w:rsid w:val="4B8A76E0"/>
    <w:rsid w:val="4B962CD4"/>
    <w:rsid w:val="4B9C0C9C"/>
    <w:rsid w:val="4BF82861"/>
    <w:rsid w:val="4C1C7990"/>
    <w:rsid w:val="4C233EDC"/>
    <w:rsid w:val="4C5D32D8"/>
    <w:rsid w:val="4C7B1F31"/>
    <w:rsid w:val="4CE71F87"/>
    <w:rsid w:val="4CFD3BA9"/>
    <w:rsid w:val="4DA64A5C"/>
    <w:rsid w:val="4DAF5A6E"/>
    <w:rsid w:val="4DC31516"/>
    <w:rsid w:val="4E1830AF"/>
    <w:rsid w:val="4E1E6326"/>
    <w:rsid w:val="4E2D5919"/>
    <w:rsid w:val="4E3450DC"/>
    <w:rsid w:val="4E3A6D68"/>
    <w:rsid w:val="4E4D5C6F"/>
    <w:rsid w:val="4E4E2F43"/>
    <w:rsid w:val="4E734094"/>
    <w:rsid w:val="4E85719F"/>
    <w:rsid w:val="4E947CD5"/>
    <w:rsid w:val="4E957DFA"/>
    <w:rsid w:val="4EB04E00"/>
    <w:rsid w:val="4ED37FE8"/>
    <w:rsid w:val="4ED7626B"/>
    <w:rsid w:val="4F3E443F"/>
    <w:rsid w:val="4F8026B6"/>
    <w:rsid w:val="4F860D61"/>
    <w:rsid w:val="4FBE5489"/>
    <w:rsid w:val="4FD3598F"/>
    <w:rsid w:val="4FE47521"/>
    <w:rsid w:val="50146B9B"/>
    <w:rsid w:val="501C5AEE"/>
    <w:rsid w:val="502B49AA"/>
    <w:rsid w:val="50464B24"/>
    <w:rsid w:val="504E480B"/>
    <w:rsid w:val="505A0D2E"/>
    <w:rsid w:val="508B13AF"/>
    <w:rsid w:val="5098005E"/>
    <w:rsid w:val="50B63AB3"/>
    <w:rsid w:val="50C21AA1"/>
    <w:rsid w:val="50D16F68"/>
    <w:rsid w:val="51067FCA"/>
    <w:rsid w:val="517A6A1E"/>
    <w:rsid w:val="51CD587B"/>
    <w:rsid w:val="51F31FFB"/>
    <w:rsid w:val="51F95414"/>
    <w:rsid w:val="524902FB"/>
    <w:rsid w:val="526432CB"/>
    <w:rsid w:val="52720072"/>
    <w:rsid w:val="528F2C05"/>
    <w:rsid w:val="528F4183"/>
    <w:rsid w:val="529F1036"/>
    <w:rsid w:val="52AC469F"/>
    <w:rsid w:val="52B87D24"/>
    <w:rsid w:val="52CE2A5D"/>
    <w:rsid w:val="52E203B7"/>
    <w:rsid w:val="52E30E23"/>
    <w:rsid w:val="52E922BB"/>
    <w:rsid w:val="52EB0E55"/>
    <w:rsid w:val="52FF74F8"/>
    <w:rsid w:val="533078FB"/>
    <w:rsid w:val="53697625"/>
    <w:rsid w:val="53815DF0"/>
    <w:rsid w:val="53B23623"/>
    <w:rsid w:val="53BD4695"/>
    <w:rsid w:val="53C50A69"/>
    <w:rsid w:val="53C84157"/>
    <w:rsid w:val="53CA0F06"/>
    <w:rsid w:val="53E93C10"/>
    <w:rsid w:val="53ED595B"/>
    <w:rsid w:val="540015F9"/>
    <w:rsid w:val="542F6D56"/>
    <w:rsid w:val="54350756"/>
    <w:rsid w:val="54411E49"/>
    <w:rsid w:val="54506BE0"/>
    <w:rsid w:val="54747148"/>
    <w:rsid w:val="54766C98"/>
    <w:rsid w:val="54790E9F"/>
    <w:rsid w:val="54CB5C85"/>
    <w:rsid w:val="54DD7AC9"/>
    <w:rsid w:val="54EA1566"/>
    <w:rsid w:val="54F51B9E"/>
    <w:rsid w:val="550378F6"/>
    <w:rsid w:val="553B0DFE"/>
    <w:rsid w:val="554E1DF8"/>
    <w:rsid w:val="555A02BE"/>
    <w:rsid w:val="556D7121"/>
    <w:rsid w:val="55947113"/>
    <w:rsid w:val="55E62701"/>
    <w:rsid w:val="55E7662C"/>
    <w:rsid w:val="561E73D9"/>
    <w:rsid w:val="56356D29"/>
    <w:rsid w:val="56521244"/>
    <w:rsid w:val="56594A37"/>
    <w:rsid w:val="56886E24"/>
    <w:rsid w:val="569F4439"/>
    <w:rsid w:val="56E00193"/>
    <w:rsid w:val="56E23965"/>
    <w:rsid w:val="56E92FCC"/>
    <w:rsid w:val="56EE7C36"/>
    <w:rsid w:val="56F75896"/>
    <w:rsid w:val="57B87FC2"/>
    <w:rsid w:val="57E71EFD"/>
    <w:rsid w:val="581077F2"/>
    <w:rsid w:val="58282A33"/>
    <w:rsid w:val="584C7F5A"/>
    <w:rsid w:val="58570280"/>
    <w:rsid w:val="58751026"/>
    <w:rsid w:val="58ED49F0"/>
    <w:rsid w:val="590C0CB0"/>
    <w:rsid w:val="59905904"/>
    <w:rsid w:val="59E14224"/>
    <w:rsid w:val="5A5053F0"/>
    <w:rsid w:val="5A5F1F64"/>
    <w:rsid w:val="5A755438"/>
    <w:rsid w:val="5A98452F"/>
    <w:rsid w:val="5AE379E3"/>
    <w:rsid w:val="5AFF3314"/>
    <w:rsid w:val="5B076642"/>
    <w:rsid w:val="5B116199"/>
    <w:rsid w:val="5B360C87"/>
    <w:rsid w:val="5B504ED1"/>
    <w:rsid w:val="5B6907DC"/>
    <w:rsid w:val="5B7233A1"/>
    <w:rsid w:val="5B7318E2"/>
    <w:rsid w:val="5B757C30"/>
    <w:rsid w:val="5B906203"/>
    <w:rsid w:val="5B9F5A0F"/>
    <w:rsid w:val="5BA36AF0"/>
    <w:rsid w:val="5BAC38D5"/>
    <w:rsid w:val="5BAC3EE2"/>
    <w:rsid w:val="5BBF2B2D"/>
    <w:rsid w:val="5BD370A5"/>
    <w:rsid w:val="5C005E07"/>
    <w:rsid w:val="5C0A7659"/>
    <w:rsid w:val="5C306592"/>
    <w:rsid w:val="5C63081F"/>
    <w:rsid w:val="5C63750E"/>
    <w:rsid w:val="5C750952"/>
    <w:rsid w:val="5CE01D6B"/>
    <w:rsid w:val="5CF85AE4"/>
    <w:rsid w:val="5D017466"/>
    <w:rsid w:val="5D0317CD"/>
    <w:rsid w:val="5D0A1E55"/>
    <w:rsid w:val="5D230C5E"/>
    <w:rsid w:val="5D3569EE"/>
    <w:rsid w:val="5D7A3956"/>
    <w:rsid w:val="5DA60631"/>
    <w:rsid w:val="5E1E4085"/>
    <w:rsid w:val="5E21579D"/>
    <w:rsid w:val="5E216181"/>
    <w:rsid w:val="5E6574A8"/>
    <w:rsid w:val="5E6D0BC1"/>
    <w:rsid w:val="5EC16098"/>
    <w:rsid w:val="5EC51EED"/>
    <w:rsid w:val="5EDE6E0F"/>
    <w:rsid w:val="5EEE5A04"/>
    <w:rsid w:val="5EF04172"/>
    <w:rsid w:val="5F1A793B"/>
    <w:rsid w:val="5F1C2437"/>
    <w:rsid w:val="5F212CA2"/>
    <w:rsid w:val="5F291CB0"/>
    <w:rsid w:val="5F504DA4"/>
    <w:rsid w:val="5F627379"/>
    <w:rsid w:val="5F9B4A88"/>
    <w:rsid w:val="5FA036D0"/>
    <w:rsid w:val="5FC4638A"/>
    <w:rsid w:val="5FDA259A"/>
    <w:rsid w:val="5FE12250"/>
    <w:rsid w:val="60160F27"/>
    <w:rsid w:val="601B2AEB"/>
    <w:rsid w:val="601F7EA8"/>
    <w:rsid w:val="604138AC"/>
    <w:rsid w:val="607C1044"/>
    <w:rsid w:val="608102DF"/>
    <w:rsid w:val="60A9459B"/>
    <w:rsid w:val="60B51848"/>
    <w:rsid w:val="610F56EC"/>
    <w:rsid w:val="61120401"/>
    <w:rsid w:val="6127006F"/>
    <w:rsid w:val="61393311"/>
    <w:rsid w:val="613B2F91"/>
    <w:rsid w:val="614D3C48"/>
    <w:rsid w:val="61673DE4"/>
    <w:rsid w:val="61690122"/>
    <w:rsid w:val="61790877"/>
    <w:rsid w:val="618D40AF"/>
    <w:rsid w:val="61952BF2"/>
    <w:rsid w:val="61B4278C"/>
    <w:rsid w:val="61C45474"/>
    <w:rsid w:val="61D17D64"/>
    <w:rsid w:val="61F0242E"/>
    <w:rsid w:val="621012A9"/>
    <w:rsid w:val="62294CB2"/>
    <w:rsid w:val="62365E27"/>
    <w:rsid w:val="624B6A4F"/>
    <w:rsid w:val="624C6817"/>
    <w:rsid w:val="625834B9"/>
    <w:rsid w:val="626C7161"/>
    <w:rsid w:val="626F25AB"/>
    <w:rsid w:val="6271740B"/>
    <w:rsid w:val="62764951"/>
    <w:rsid w:val="629448B3"/>
    <w:rsid w:val="62E36F1F"/>
    <w:rsid w:val="62F720D6"/>
    <w:rsid w:val="63761068"/>
    <w:rsid w:val="63773D98"/>
    <w:rsid w:val="63A32E81"/>
    <w:rsid w:val="6416251C"/>
    <w:rsid w:val="64262C4B"/>
    <w:rsid w:val="644E4B1D"/>
    <w:rsid w:val="64A94345"/>
    <w:rsid w:val="64B65AF8"/>
    <w:rsid w:val="64BF1319"/>
    <w:rsid w:val="64CE4172"/>
    <w:rsid w:val="64FB6B7E"/>
    <w:rsid w:val="65264D15"/>
    <w:rsid w:val="654057C3"/>
    <w:rsid w:val="658B1981"/>
    <w:rsid w:val="65943BA5"/>
    <w:rsid w:val="65993A8F"/>
    <w:rsid w:val="65CD4095"/>
    <w:rsid w:val="65DC085E"/>
    <w:rsid w:val="65EA0C43"/>
    <w:rsid w:val="65FC5E46"/>
    <w:rsid w:val="65FF07DE"/>
    <w:rsid w:val="66142CFC"/>
    <w:rsid w:val="662272C7"/>
    <w:rsid w:val="663B2A17"/>
    <w:rsid w:val="664D02BD"/>
    <w:rsid w:val="664D3D3F"/>
    <w:rsid w:val="664E2064"/>
    <w:rsid w:val="665D05BA"/>
    <w:rsid w:val="666749A1"/>
    <w:rsid w:val="666F1350"/>
    <w:rsid w:val="66B94F97"/>
    <w:rsid w:val="66E4313B"/>
    <w:rsid w:val="66F76FE9"/>
    <w:rsid w:val="6701538B"/>
    <w:rsid w:val="670500C4"/>
    <w:rsid w:val="674D7A09"/>
    <w:rsid w:val="67DB1982"/>
    <w:rsid w:val="67EA5309"/>
    <w:rsid w:val="68323937"/>
    <w:rsid w:val="683B3E0E"/>
    <w:rsid w:val="6851207B"/>
    <w:rsid w:val="686568D3"/>
    <w:rsid w:val="68A70A33"/>
    <w:rsid w:val="68EB6B91"/>
    <w:rsid w:val="691C1A16"/>
    <w:rsid w:val="69494560"/>
    <w:rsid w:val="697D42A2"/>
    <w:rsid w:val="69D01E4C"/>
    <w:rsid w:val="69D26D4E"/>
    <w:rsid w:val="69DE3085"/>
    <w:rsid w:val="69E22AF3"/>
    <w:rsid w:val="69F279FE"/>
    <w:rsid w:val="69F94B25"/>
    <w:rsid w:val="6A0E7D56"/>
    <w:rsid w:val="6A122B00"/>
    <w:rsid w:val="6A1B135E"/>
    <w:rsid w:val="6A3B7641"/>
    <w:rsid w:val="6A452135"/>
    <w:rsid w:val="6A5E1C1E"/>
    <w:rsid w:val="6A6765B0"/>
    <w:rsid w:val="6A911D64"/>
    <w:rsid w:val="6AA35D3F"/>
    <w:rsid w:val="6AA400AC"/>
    <w:rsid w:val="6B0E7D36"/>
    <w:rsid w:val="6B223085"/>
    <w:rsid w:val="6B2F4300"/>
    <w:rsid w:val="6B46104B"/>
    <w:rsid w:val="6B672589"/>
    <w:rsid w:val="6B89721B"/>
    <w:rsid w:val="6B9C2BFF"/>
    <w:rsid w:val="6BBC31B2"/>
    <w:rsid w:val="6BC06753"/>
    <w:rsid w:val="6BD617FE"/>
    <w:rsid w:val="6C25560F"/>
    <w:rsid w:val="6C4059B6"/>
    <w:rsid w:val="6C4A515A"/>
    <w:rsid w:val="6C5C7B9D"/>
    <w:rsid w:val="6C5D753C"/>
    <w:rsid w:val="6CB605AC"/>
    <w:rsid w:val="6CE028A0"/>
    <w:rsid w:val="6CF24C8F"/>
    <w:rsid w:val="6D401380"/>
    <w:rsid w:val="6D4202B1"/>
    <w:rsid w:val="6D7C6310"/>
    <w:rsid w:val="6D85604F"/>
    <w:rsid w:val="6DB6135F"/>
    <w:rsid w:val="6E43008A"/>
    <w:rsid w:val="6E8C4BC7"/>
    <w:rsid w:val="6EAC4123"/>
    <w:rsid w:val="6EB815F0"/>
    <w:rsid w:val="6ED400E1"/>
    <w:rsid w:val="6EDA0B33"/>
    <w:rsid w:val="6F134DCC"/>
    <w:rsid w:val="6F3E1EA1"/>
    <w:rsid w:val="6FB6769E"/>
    <w:rsid w:val="6FC35E69"/>
    <w:rsid w:val="6FF87998"/>
    <w:rsid w:val="704F4C06"/>
    <w:rsid w:val="706C47E1"/>
    <w:rsid w:val="707D5BC4"/>
    <w:rsid w:val="70976A2B"/>
    <w:rsid w:val="70D90FF6"/>
    <w:rsid w:val="711063B0"/>
    <w:rsid w:val="71251616"/>
    <w:rsid w:val="71417BC0"/>
    <w:rsid w:val="71581782"/>
    <w:rsid w:val="718779FC"/>
    <w:rsid w:val="72097843"/>
    <w:rsid w:val="722630D5"/>
    <w:rsid w:val="722F17E6"/>
    <w:rsid w:val="724643E0"/>
    <w:rsid w:val="726F0F4A"/>
    <w:rsid w:val="72700E9F"/>
    <w:rsid w:val="72902B04"/>
    <w:rsid w:val="729B5E04"/>
    <w:rsid w:val="72F81BB1"/>
    <w:rsid w:val="73012412"/>
    <w:rsid w:val="73065FC6"/>
    <w:rsid w:val="735D50A0"/>
    <w:rsid w:val="73693FF1"/>
    <w:rsid w:val="736A4391"/>
    <w:rsid w:val="73735AE5"/>
    <w:rsid w:val="738B621F"/>
    <w:rsid w:val="73A2296C"/>
    <w:rsid w:val="73B361E8"/>
    <w:rsid w:val="73D60EC2"/>
    <w:rsid w:val="73FA0392"/>
    <w:rsid w:val="740759A7"/>
    <w:rsid w:val="74077D67"/>
    <w:rsid w:val="741B2C62"/>
    <w:rsid w:val="742A3911"/>
    <w:rsid w:val="74350716"/>
    <w:rsid w:val="74846437"/>
    <w:rsid w:val="74A0486E"/>
    <w:rsid w:val="74BE1A94"/>
    <w:rsid w:val="750835D4"/>
    <w:rsid w:val="752F6DB2"/>
    <w:rsid w:val="753E7990"/>
    <w:rsid w:val="755C0699"/>
    <w:rsid w:val="755F6FEB"/>
    <w:rsid w:val="75FC7811"/>
    <w:rsid w:val="76116EC2"/>
    <w:rsid w:val="762010EE"/>
    <w:rsid w:val="76572C6A"/>
    <w:rsid w:val="76602CA0"/>
    <w:rsid w:val="7693567A"/>
    <w:rsid w:val="769B465E"/>
    <w:rsid w:val="76A83942"/>
    <w:rsid w:val="76A95AD2"/>
    <w:rsid w:val="76AC6F6B"/>
    <w:rsid w:val="76D25C7C"/>
    <w:rsid w:val="76DB3CFD"/>
    <w:rsid w:val="76FD0D45"/>
    <w:rsid w:val="771A2B35"/>
    <w:rsid w:val="77251582"/>
    <w:rsid w:val="772C2A50"/>
    <w:rsid w:val="77355978"/>
    <w:rsid w:val="77881F27"/>
    <w:rsid w:val="77AC46E5"/>
    <w:rsid w:val="77AE74FD"/>
    <w:rsid w:val="77E67A8B"/>
    <w:rsid w:val="77F63FB7"/>
    <w:rsid w:val="78390BB2"/>
    <w:rsid w:val="783F2B57"/>
    <w:rsid w:val="78793171"/>
    <w:rsid w:val="78B262BC"/>
    <w:rsid w:val="78C433F1"/>
    <w:rsid w:val="78C90208"/>
    <w:rsid w:val="78D47BB5"/>
    <w:rsid w:val="78E12B7A"/>
    <w:rsid w:val="79215475"/>
    <w:rsid w:val="79255E1C"/>
    <w:rsid w:val="7939784C"/>
    <w:rsid w:val="79577F7E"/>
    <w:rsid w:val="796157E4"/>
    <w:rsid w:val="79627585"/>
    <w:rsid w:val="7967266C"/>
    <w:rsid w:val="79ED2C54"/>
    <w:rsid w:val="7A517093"/>
    <w:rsid w:val="7A564BD7"/>
    <w:rsid w:val="7A5D7D01"/>
    <w:rsid w:val="7AD53C42"/>
    <w:rsid w:val="7AD75058"/>
    <w:rsid w:val="7AF7746D"/>
    <w:rsid w:val="7AFE1241"/>
    <w:rsid w:val="7B0434E3"/>
    <w:rsid w:val="7B162EAA"/>
    <w:rsid w:val="7B1C6288"/>
    <w:rsid w:val="7B1F1F75"/>
    <w:rsid w:val="7B7A1EF0"/>
    <w:rsid w:val="7BB27E53"/>
    <w:rsid w:val="7BB846E6"/>
    <w:rsid w:val="7BBA55F9"/>
    <w:rsid w:val="7BDF6E26"/>
    <w:rsid w:val="7BE10C22"/>
    <w:rsid w:val="7BFA6776"/>
    <w:rsid w:val="7C3051CE"/>
    <w:rsid w:val="7C682DAA"/>
    <w:rsid w:val="7C734B58"/>
    <w:rsid w:val="7C96662F"/>
    <w:rsid w:val="7CDA04BE"/>
    <w:rsid w:val="7CFF1D9B"/>
    <w:rsid w:val="7D0D7808"/>
    <w:rsid w:val="7D2D241A"/>
    <w:rsid w:val="7DB25893"/>
    <w:rsid w:val="7DB56F3C"/>
    <w:rsid w:val="7DCF0685"/>
    <w:rsid w:val="7DD32BE9"/>
    <w:rsid w:val="7DE34815"/>
    <w:rsid w:val="7E2026EA"/>
    <w:rsid w:val="7E4B16BC"/>
    <w:rsid w:val="7E924469"/>
    <w:rsid w:val="7EDF6C7C"/>
    <w:rsid w:val="7EEA67F1"/>
    <w:rsid w:val="7EFC0B63"/>
    <w:rsid w:val="7F422FB6"/>
    <w:rsid w:val="7F6C211D"/>
    <w:rsid w:val="7FAC356B"/>
    <w:rsid w:val="7FC74431"/>
    <w:rsid w:val="7FD9144C"/>
    <w:rsid w:val="7FE1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color w:val="145799"/>
      <w:kern w:val="44"/>
      <w:sz w:val="24"/>
      <w:szCs w:val="24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link w:val="19"/>
    <w:qFormat/>
    <w:uiPriority w:val="0"/>
    <w:pPr>
      <w:spacing w:after="120"/>
      <w:ind w:left="420" w:leftChars="200"/>
    </w:pPr>
  </w:style>
  <w:style w:type="paragraph" w:styleId="5">
    <w:name w:val="index 7"/>
    <w:basedOn w:val="1"/>
    <w:next w:val="1"/>
    <w:qFormat/>
    <w:uiPriority w:val="0"/>
    <w:pPr>
      <w:ind w:left="2520"/>
    </w:p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4"/>
    <w:next w:val="4"/>
    <w:link w:val="20"/>
    <w:qFormat/>
    <w:uiPriority w:val="0"/>
    <w:pPr>
      <w:spacing w:after="0" w:line="520" w:lineRule="exact"/>
      <w:ind w:left="0" w:leftChars="0" w:firstLine="420" w:firstLineChars="200"/>
    </w:pPr>
    <w:rPr>
      <w:rFonts w:eastAsia="楷体_GB2312"/>
      <w:b/>
      <w:color w:val="000000"/>
      <w:spacing w:val="4"/>
      <w:sz w:val="32"/>
      <w:szCs w:val="32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17">
    <w:name w:val="日期 Char"/>
    <w:basedOn w:val="13"/>
    <w:link w:val="6"/>
    <w:qFormat/>
    <w:uiPriority w:val="0"/>
    <w:rPr>
      <w:kern w:val="2"/>
      <w:sz w:val="21"/>
      <w:szCs w:val="24"/>
    </w:rPr>
  </w:style>
  <w:style w:type="paragraph" w:customStyle="1" w:styleId="18">
    <w:name w:val="Char Char Char Char Char Char Char"/>
    <w:basedOn w:val="1"/>
    <w:qFormat/>
    <w:uiPriority w:val="0"/>
    <w:rPr>
      <w:szCs w:val="21"/>
    </w:rPr>
  </w:style>
  <w:style w:type="character" w:customStyle="1" w:styleId="19">
    <w:name w:val="正文文本缩进 Char"/>
    <w:basedOn w:val="13"/>
    <w:link w:val="4"/>
    <w:qFormat/>
    <w:uiPriority w:val="0"/>
    <w:rPr>
      <w:kern w:val="2"/>
      <w:sz w:val="21"/>
      <w:szCs w:val="24"/>
    </w:rPr>
  </w:style>
  <w:style w:type="character" w:customStyle="1" w:styleId="20">
    <w:name w:val="正文首行缩进 2 Char"/>
    <w:basedOn w:val="19"/>
    <w:link w:val="11"/>
    <w:qFormat/>
    <w:uiPriority w:val="0"/>
    <w:rPr>
      <w:rFonts w:eastAsia="楷体_GB2312"/>
      <w:b/>
      <w:color w:val="000000"/>
      <w:spacing w:val="4"/>
      <w:sz w:val="32"/>
      <w:szCs w:val="32"/>
    </w:rPr>
  </w:style>
  <w:style w:type="paragraph" w:customStyle="1" w:styleId="21">
    <w:name w:val="Char Char Char Char Char Char Char1"/>
    <w:basedOn w:val="1"/>
    <w:qFormat/>
    <w:uiPriority w:val="0"/>
    <w:rPr>
      <w:szCs w:val="21"/>
    </w:rPr>
  </w:style>
  <w:style w:type="paragraph" w:styleId="22">
    <w:name w:val="No Spacing"/>
    <w:link w:val="2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3">
    <w:name w:val="无间隔 Char"/>
    <w:basedOn w:val="13"/>
    <w:link w:val="2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6">
    <w:name w:val="font01"/>
    <w:basedOn w:val="13"/>
    <w:qFormat/>
    <w:uiPriority w:val="0"/>
    <w:rPr>
      <w:rFonts w:hint="default" w:ascii="Times New Roman" w:hAnsi="Times New Roman" w:cs="Times New Roman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5407</Words>
  <Characters>8181</Characters>
  <Lines>64</Lines>
  <Paragraphs>18</Paragraphs>
  <TotalTime>0</TotalTime>
  <ScaleCrop>false</ScaleCrop>
  <LinksUpToDate>false</LinksUpToDate>
  <CharactersWithSpaces>8424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2020-03-11T10:18:00Z</dcterms:created>
  <dc:creator>玙⌒子偕老</dc:creator>
  <cp:lastModifiedBy>Administrator</cp:lastModifiedBy>
  <cp:lastPrinted>2026-03-26T03:19:17Z</cp:lastPrinted>
  <dcterms:modified xsi:type="dcterms:W3CDTF">2026-03-26T03:20:02Z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5CD23827A88E4BD99850FC83DD0DDF59_13</vt:lpwstr>
  </property>
  <property fmtid="{D5CDD505-2E9C-101B-9397-08002B2CF9AE}" pid="4" name="KSOTemplateDocerSaveRecord">
    <vt:lpwstr>eyJoZGlkIjoiOWEyYjYyODIyOWE3OGIxNzc0NjFjYzRhMjc1MWY5OGUifQ==</vt:lpwstr>
  </property>
</Properties>
</file>