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17D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</w:p>
    <w:p w14:paraId="5CBA68F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2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喀什市202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1—</w:t>
      </w:r>
      <w:r>
        <w:rPr>
          <w:rFonts w:hint="default" w:eastAsia="方正小标宋_GBK" w:cs="Times New Roman"/>
          <w:bCs/>
          <w:spacing w:val="0"/>
          <w:sz w:val="44"/>
          <w:szCs w:val="44"/>
          <w:lang w:val="en-US" w:eastAsia="zh-CN"/>
        </w:rPr>
        <w:t>1</w:t>
      </w:r>
      <w:r>
        <w:rPr>
          <w:rFonts w:hint="eastAsia" w:eastAsia="方正小标宋_GBK" w:cs="Times New Roman"/>
          <w:bCs/>
          <w:spacing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经济运行情况分析</w:t>
      </w:r>
    </w:p>
    <w:p w14:paraId="4865A7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2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spacing w:val="0"/>
          <w:kern w:val="36"/>
          <w:sz w:val="32"/>
          <w:szCs w:val="32"/>
          <w:lang w:eastAsia="zh-CN"/>
        </w:rPr>
      </w:pPr>
    </w:p>
    <w:p w14:paraId="30147CA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规上工业增加值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059FE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固定资产投资（不含农户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）20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2.63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11.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 w14:paraId="7F4FBA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限额以上社会消费品零售总额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91.32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637FBC2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9.53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一般公共预算支出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103.08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同比增长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18CEE4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金融机构各项存款余额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1117.57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6"/>
          <w:highlight w:val="none"/>
          <w:lang w:val="en-US" w:eastAsia="zh-CN" w:bidi="ar-SA"/>
        </w:rPr>
        <w:t>贷款余额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621.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27.5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174A6D3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接待游客</w:t>
      </w:r>
      <w:r>
        <w:rPr>
          <w:rFonts w:hint="eastAsia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2743.06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万人次，同比增长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19.</w:t>
      </w:r>
      <w:r>
        <w:rPr>
          <w:rFonts w:hint="eastAsia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%，实现旅游收入</w:t>
      </w:r>
      <w:r>
        <w:rPr>
          <w:rFonts w:hint="default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21.82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6"/>
          <w:highlight w:val="none"/>
          <w:lang w:val="en-US" w:eastAsia="zh-CN"/>
        </w:rPr>
        <w:t>%。</w:t>
      </w:r>
    </w:p>
    <w:p w14:paraId="75056DB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gree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13.41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</w:t>
      </w:r>
    </w:p>
    <w:p w14:paraId="68CA76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外贸进出口总额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71.82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增长3.1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3101C44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——居民消费价格指数（CPI）同比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下降0.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%。</w:t>
      </w:r>
    </w:p>
    <w:p w14:paraId="69342A7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top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市场主体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户，同比增长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其中：1—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月新注册登记市场主体</w:t>
      </w:r>
      <w:r>
        <w:rPr>
          <w:rFonts w:hint="eastAsia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1.63万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户，同比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增长2.8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%。</w:t>
      </w:r>
    </w:p>
    <w:p w14:paraId="6ABFC0B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——喀什徕宁机场客运量490.67万人次，同比增长16.9%；货运量23293.76吨，同比增长16.1%。铁路客运量503.81万人次，同比增长13.4%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；货运量247.84万吨，同比下降12.9%。</w:t>
      </w:r>
    </w:p>
    <w:p w14:paraId="0A987D1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29.16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15.6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工业用电量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1.43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亿千瓦时，同比增长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%。</w:t>
      </w:r>
    </w:p>
    <w:p w14:paraId="5D5FE377"/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5B49"/>
    <w:rsid w:val="04BC685F"/>
    <w:rsid w:val="10E3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578</Characters>
  <Lines>0</Lines>
  <Paragraphs>0</Paragraphs>
  <TotalTime>0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2025-12-23T04:24:00Z</dcterms:created>
  <dc:creator>Administrator</dc:creator>
  <cp:lastModifiedBy>CR7</cp:lastModifiedBy>
  <dcterms:modified xsi:type="dcterms:W3CDTF">2025-12-23T05:31:43Z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D9F45B806D554A1E99A6F9A10B560C46</vt:lpwstr>
  </property>
  <property fmtid="{D5CDD505-2E9C-101B-9397-08002B2CF9AE}" pid="4" name="KSOTemplateDocerSaveRecord">
    <vt:lpwstr>eyJoZGlkIjoiNzA1YjVhMjRjZDNiNDVhODU3YTRlYmVkNWY2ZWYzOTgiLCJ1c2VySWQiOiI0MTIxNTE0MjYifQ==</vt:lpwstr>
  </property>
</Properties>
</file>