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喀什市202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1—</w:t>
      </w:r>
      <w:r>
        <w:rPr>
          <w:rFonts w:hint="default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经济运行情况分析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spacing w:val="0"/>
          <w:kern w:val="3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）20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2.63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11.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限额以上社会消费品零售总额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91.32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9.53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103.08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金融机构各项存款余额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1117.57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6"/>
          <w:highlight w:val="none"/>
          <w:lang w:val="en-US" w:eastAsia="zh-CN" w:bidi="ar-SA"/>
        </w:rPr>
        <w:t>贷款余额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621.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27.5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gree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13.41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外贸进出口总额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71.82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增长3.1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——居民消费价格指数（CPI）同比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下降0.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top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户，同比增长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其中：1—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月新注册登记市场主体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1.63万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增长2.8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——喀什徕宁机场客运量490.67万人次，同比增长16.9%；货运量23293.76吨，同比增长16.1%。铁路客运量503.81万人次，同比增长13.4%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；货运量247.84万吨，同比下降12.9%。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29.16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15.6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工业用电量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1.43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亿千瓦时，同比增长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%。</w:t>
      </w:r>
    </w:p>
    <w:p/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5B49"/>
    <w:rsid w:val="04BC685F"/>
    <w:rsid w:val="10E35B49"/>
    <w:rsid w:val="242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578</Characters>
  <Lines>0</Lines>
  <Paragraphs>0</Paragraphs>
  <TotalTime>0</TotalTime>
  <ScaleCrop>false</ScaleCrop>
  <LinksUpToDate>false</LinksUpToDate>
  <CharactersWithSpaces>578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2025-12-23T04:24:00Z</dcterms:created>
  <dc:creator>Administrator</dc:creator>
  <cp:lastModifiedBy>Administrator</cp:lastModifiedBy>
  <dcterms:modified xsi:type="dcterms:W3CDTF">2026-03-02T10:45:25Z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D9F45B806D554A1E99A6F9A10B560C46</vt:lpwstr>
  </property>
  <property fmtid="{D5CDD505-2E9C-101B-9397-08002B2CF9AE}" pid="4" name="KSOTemplateDocerSaveRecord">
    <vt:lpwstr>eyJoZGlkIjoiNzA1YjVhMjRjZDNiNDVhODU3YTRlYmVkNWY2ZWYzOTgiLCJ1c2VySWQiOiI0MTIxNTE0MjYifQ==</vt:lpwstr>
  </property>
</Properties>
</file>