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</w:rPr>
        <w:t>喀什市202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</w:rPr>
        <w:t>年1－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  <w:lang w:val="en-US" w:eastAsia="zh-CN"/>
        </w:rPr>
        <w:t>10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44"/>
          <w:szCs w:val="44"/>
        </w:rPr>
        <w:t>月经济运行情况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424" w:firstLineChars="200"/>
        <w:textAlignment w:val="auto"/>
        <w:rPr>
          <w:rFonts w:hint="eastAsia" w:ascii="方正仿宋_GBK" w:hAnsi="方正小标宋_GBK" w:eastAsia="方正仿宋_GBK" w:cs="方正小标宋_GBK"/>
          <w:bCs/>
          <w:spacing w:val="6"/>
          <w:sz w:val="20"/>
          <w:szCs w:val="20"/>
        </w:rPr>
      </w:pPr>
      <w:r>
        <w:rPr>
          <w:rFonts w:hint="eastAsia" w:ascii="方正仿宋_GBK" w:hAnsi="方正小标宋_GBK" w:eastAsia="方正仿宋_GBK" w:cs="方正小标宋_GBK"/>
          <w:bCs/>
          <w:spacing w:val="6"/>
          <w:sz w:val="20"/>
          <w:szCs w:val="20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规上工业增加值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12.04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亿元，同比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1.4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固定资产投资（不含农户）185.91亿元，同比增长12.6%。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限额以上社会消费品零售总额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82.70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亿元，同比增长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7.0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一般公共预算收入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28.27亿元，同比增长10.3%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一般公共预算支出92.40亿元，同比增长10.2%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after="0" w:line="62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>金融机构各项存款余额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1151.31亿元，同比增长11.8%；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val="en-US" w:eastAsia="zh-CN" w:bidi="ar-SA"/>
        </w:rPr>
        <w:t>贷款余额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621.86亿元，同比增长30.1%。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="0" w:after="0" w:line="6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接待游客2667.25万人次，同比增长19.6%，实现旅游收入217.41亿元，同比增长25.2%。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top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——招商引资区外到位资金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105.35亿元，同比增长15.8%。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top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  <w:t>外贸进出口总额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153.44亿元，同比下降3.3%。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textAlignment w:val="top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——居民消费价格指数（CPI）同比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下降0.8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top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——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市场主体11.32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万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户，同比增长8.9%；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其中：1—10月新注册登记市场主体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1.46万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户，同比增长1.5%。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zh-CN" w:eastAsia="zh-CN"/>
        </w:rPr>
        <w:t>——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喀什徕宁机场客运量455.67万人次，同比增长17.9%；货运量21310.99吨，同比增长17.5%。铁路客运量472.72万人次，同比增长43.0%；货运量221.70万吨，同比下降10.4%。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>——全社会用电量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25.93亿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千瓦时，同比增长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12.8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eastAsia="zh-CN"/>
        </w:rPr>
        <w:t>。其中：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工业用电量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10.04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亿千瓦时，同比增长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27.2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spacing w:line="620" w:lineRule="exact"/>
      </w:pP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F2E8F"/>
    <w:rsid w:val="61DF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rFonts w:eastAsia="宋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2025-11-24T04:10:00Z</dcterms:created>
  <dc:creator>Administrator</dc:creator>
  <cp:lastModifiedBy>Administrator</cp:lastModifiedBy>
  <cp:lastPrinted>2025-11-24T04:14:20Z</cp:lastPrinted>
  <dcterms:modified xsi:type="dcterms:W3CDTF">2025-11-24T04:15:18Z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