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DFB1">
      <w:pPr>
        <w:pStyle w:val="2"/>
        <w:rPr>
          <w:rFonts w:hint="eastAsia"/>
        </w:rPr>
      </w:pPr>
    </w:p>
    <w:p w14:paraId="4DCF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喀什市202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年1－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月经济运行情况</w:t>
      </w:r>
    </w:p>
    <w:p w14:paraId="49F0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424" w:firstLineChars="200"/>
        <w:textAlignment w:val="auto"/>
        <w:rPr>
          <w:rFonts w:hint="eastAsia" w:ascii="方正仿宋_GBK" w:hAnsi="方正小标宋_GBK" w:eastAsia="方正仿宋_GBK" w:cs="方正小标宋_GBK"/>
          <w:bCs/>
          <w:spacing w:val="6"/>
          <w:sz w:val="20"/>
          <w:szCs w:val="20"/>
        </w:rPr>
      </w:pPr>
      <w:r>
        <w:rPr>
          <w:rFonts w:hint="eastAsia" w:ascii="方正仿宋_GBK" w:hAnsi="方正小标宋_GBK" w:eastAsia="方正仿宋_GBK" w:cs="方正小标宋_GBK"/>
          <w:bCs/>
          <w:spacing w:val="6"/>
          <w:sz w:val="20"/>
          <w:szCs w:val="20"/>
        </w:rPr>
        <w:t xml:space="preserve">  </w:t>
      </w:r>
    </w:p>
    <w:p w14:paraId="1612D9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14.07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53906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固定资产投资（不含农户）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216.56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 w14:paraId="474116C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限额以上社会消费品零售总额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82.70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073006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28.27亿元，同比增长10.3%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一般公共预算支出92.40亿元，同比增长10.2%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4B96974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金融机构各项存款余额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1151.31亿元，同比增长11.8%；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贷款余额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621.86亿元，同比增长30.1%。</w:t>
      </w:r>
    </w:p>
    <w:p w14:paraId="2682722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105.35亿元，同比增长15.8%。</w:t>
      </w:r>
    </w:p>
    <w:p w14:paraId="4450937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外贸进出口总额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153.44亿元，同比下降3.3%。</w:t>
      </w:r>
    </w:p>
    <w:p w14:paraId="3B0D1F2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——居民消费价格指数（CPI）同比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下降0.8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 w14:paraId="3AAD99B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市场主体11.32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户，同比增长8.9%；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其中：1—10月新注册登记市场主体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1.46万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户，同比增长1.5%。</w:t>
      </w:r>
    </w:p>
    <w:p w14:paraId="3E59047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喀什徕宁机场客运量455.67万人次，同比增长17.9%；货运量21310.99吨，同比增长17.5%。铁路客运量472.72万人次，同比增长43.0%；货运量221.70万吨，同比下降10.4%。</w:t>
      </w:r>
    </w:p>
    <w:p w14:paraId="2CFCCDA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25.93亿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12.8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F2E8F"/>
    <w:rsid w:val="089B6C44"/>
    <w:rsid w:val="581824C1"/>
    <w:rsid w:val="619E38C9"/>
    <w:rsid w:val="61D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513</Characters>
  <Lines>0</Lines>
  <Paragraphs>0</Paragraphs>
  <TotalTime>6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2025-11-24T04:10:00Z</dcterms:created>
  <dc:creator>Administrator</dc:creator>
  <cp:lastModifiedBy>CR7</cp:lastModifiedBy>
  <cp:lastPrinted>2025-11-24T04:14:00Z</cp:lastPrinted>
  <dcterms:modified xsi:type="dcterms:W3CDTF">2026-06-23T10:09:00Z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eyJoZGlkIjoiZWY5ZDkwYTVkYzJkNDM3YzE4MmFjOWM0ZGQyMzBmYWYiLCJ1c2VySWQiOiI0MTIxNTE0MjYifQ==</vt:lpwstr>
  </property>
  <property fmtid="{D5CDD505-2E9C-101B-9397-08002B2CF9AE}" pid="4" name="ICV">
    <vt:lpwstr>D8FB8E6CD1A94D6CA25AA820CED02BA5_12</vt:lpwstr>
  </property>
</Properties>
</file>