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bookmarkStart w:id="0" w:name="_GoBack"/>
      <w:bookmarkEnd w:id="0"/>
      <w:r>
        <w:rPr>
          <w:rFonts w:hint="eastAsia" w:ascii="宋体" w:hAnsi="宋体" w:eastAsia="宋体" w:cs="宋体"/>
          <w:b/>
          <w:bCs/>
          <w:i w:val="0"/>
          <w:iCs w:val="0"/>
          <w:caps w:val="0"/>
          <w:color w:val="444444"/>
          <w:spacing w:val="0"/>
          <w:sz w:val="44"/>
          <w:szCs w:val="44"/>
          <w:bdr w:val="none" w:color="auto" w:sz="0" w:space="0"/>
          <w:shd w:val="clear" w:fill="FFFFFF"/>
        </w:rPr>
        <w:t>中华人民共和国应急管理部令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20" w:right="0" w:firstLine="64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《安全生产严重失信主体名单管理办法》已经2023年7月17日应急管理部第16次部务会议审议通过，现予公布，自2023年10月1日起施行。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28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部长 王祥喜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96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2023年8月8日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sz w:val="44"/>
          <w:szCs w:val="44"/>
          <w:bdr w:val="none" w:color="auto" w:sz="0" w:space="0"/>
          <w:shd w:val="clear" w:fill="FFFFFF"/>
        </w:rPr>
        <w:t>安全生产严重失信主体名单管理办法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80" w:lineRule="atLeast"/>
        <w:ind w:left="1" w:right="0" w:hanging="1"/>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第一条</w:t>
      </w:r>
      <w:r>
        <w:rPr>
          <w:rFonts w:hint="eastAsia" w:ascii="宋体" w:hAnsi="宋体" w:eastAsia="宋体" w:cs="宋体"/>
          <w:i w:val="0"/>
          <w:iCs w:val="0"/>
          <w:caps w:val="0"/>
          <w:color w:val="444444"/>
          <w:spacing w:val="0"/>
          <w:sz w:val="32"/>
          <w:szCs w:val="32"/>
          <w:bdr w:val="none" w:color="auto" w:sz="0" w:space="0"/>
          <w:shd w:val="clear" w:fill="FFFFFF"/>
        </w:rPr>
        <w:t>  为了加强安全生产领域信用体系建设，规范安全生产严重失信主体名单管理，依据《中华人民共和国安全生产法》等有关法律、行政法规，制定本办法。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第二条</w:t>
      </w:r>
      <w:r>
        <w:rPr>
          <w:rFonts w:hint="eastAsia" w:ascii="宋体" w:hAnsi="宋体" w:eastAsia="宋体" w:cs="宋体"/>
          <w:b/>
          <w:bCs/>
          <w:i w:val="0"/>
          <w:iCs w:val="0"/>
          <w:caps w:val="0"/>
          <w:color w:val="444444"/>
          <w:spacing w:val="0"/>
          <w:sz w:val="32"/>
          <w:szCs w:val="32"/>
          <w:bdr w:val="none" w:color="auto" w:sz="0" w:space="0"/>
          <w:shd w:val="clear" w:fill="FFFFFF"/>
        </w:rPr>
        <w:t>  </w:t>
      </w:r>
      <w:r>
        <w:rPr>
          <w:rFonts w:hint="eastAsia" w:ascii="宋体" w:hAnsi="宋体" w:eastAsia="宋体" w:cs="宋体"/>
          <w:i w:val="0"/>
          <w:iCs w:val="0"/>
          <w:caps w:val="0"/>
          <w:color w:val="444444"/>
          <w:spacing w:val="0"/>
          <w:sz w:val="32"/>
          <w:szCs w:val="32"/>
          <w:bdr w:val="none" w:color="auto" w:sz="0" w:space="0"/>
          <w:shd w:val="clear" w:fill="FFFFFF"/>
        </w:rPr>
        <w:t>矿山（含尾矿库）、化工（含石油化工）、医药、危险化学品、烟花爆竹、石油开采、冶金、有色、建材、机械、轻工、纺织、烟草、商贸等行业领域生产经营单位和承担安全评价、认证、检测、检验职责的机构及其人员的安全生产严重失信名单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第三条</w:t>
      </w:r>
      <w:r>
        <w:rPr>
          <w:rFonts w:hint="eastAsia" w:ascii="宋体" w:hAnsi="宋体" w:eastAsia="宋体" w:cs="宋体"/>
          <w:i w:val="0"/>
          <w:iCs w:val="0"/>
          <w:caps w:val="0"/>
          <w:color w:val="444444"/>
          <w:spacing w:val="0"/>
          <w:sz w:val="32"/>
          <w:szCs w:val="32"/>
          <w:bdr w:val="none" w:color="auto" w:sz="0" w:space="0"/>
          <w:shd w:val="clear" w:fill="FFFFFF"/>
        </w:rPr>
        <w:t>  本办法所称安全生产严重失信（以下简称严重失信）是指有关生产经营单位和承担安全评价、认证、检测、检验职责的机构及其人员因生产安全事故或者违反安全生产法律法规，受到行政处罚，并且性质恶劣、情节严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严重失信主体名单管理是指应急管理部门依法将严重失信的生产经营单位或者机构及其有关人员列入、移出严重失信主体名单，实施惩戒或者信用修复，并记录、共享、公示相关信息等管理活动。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第四条</w:t>
      </w:r>
      <w:r>
        <w:rPr>
          <w:rFonts w:hint="eastAsia" w:ascii="宋体" w:hAnsi="宋体" w:eastAsia="宋体" w:cs="宋体"/>
          <w:i w:val="0"/>
          <w:iCs w:val="0"/>
          <w:caps w:val="0"/>
          <w:color w:val="444444"/>
          <w:spacing w:val="0"/>
          <w:sz w:val="32"/>
          <w:szCs w:val="32"/>
          <w:bdr w:val="none" w:color="auto" w:sz="0" w:space="0"/>
          <w:shd w:val="clear" w:fill="FFFFFF"/>
        </w:rPr>
        <w:t>  国务院应急管理部门负责组织、指导全国严重失信主体名单管理工作；省级、设区的市级应急管理部门负责组织、实施并指导下一级应急管理部门严重失信主体名单管理工作。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县级以上地方应急管理部门负责本行政区域内严重失信主体名单管理工作。按照“谁处罚、谁决定、谁负责”的原则，由作出行政处罚决定的应急管理部门负责严重失信主体名单管理工作。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第五条</w:t>
      </w:r>
      <w:r>
        <w:rPr>
          <w:rFonts w:hint="eastAsia" w:ascii="宋体" w:hAnsi="宋体" w:eastAsia="宋体" w:cs="宋体"/>
          <w:i w:val="0"/>
          <w:iCs w:val="0"/>
          <w:caps w:val="0"/>
          <w:color w:val="444444"/>
          <w:spacing w:val="0"/>
          <w:sz w:val="32"/>
          <w:szCs w:val="32"/>
          <w:bdr w:val="none" w:color="auto" w:sz="0" w:space="0"/>
          <w:shd w:val="clear" w:fill="FFFFFF"/>
        </w:rPr>
        <w:t>  各级应急管理部门应当建立健全严重失信主体名单信息管理制度，加大信息保护力度。推进与其他部门间的信息共享共用，健全严重失信主体名单信息查询、应用和反馈机制，依法依规实施联合惩戒。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8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第二章  列入条件和管理措施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第六条</w:t>
      </w:r>
      <w:r>
        <w:rPr>
          <w:rFonts w:hint="eastAsia" w:ascii="宋体" w:hAnsi="宋体" w:eastAsia="宋体" w:cs="宋体"/>
          <w:i w:val="0"/>
          <w:iCs w:val="0"/>
          <w:caps w:val="0"/>
          <w:color w:val="444444"/>
          <w:spacing w:val="0"/>
          <w:sz w:val="32"/>
          <w:szCs w:val="32"/>
          <w:bdr w:val="none" w:color="auto" w:sz="0" w:space="0"/>
          <w:shd w:val="clear" w:fill="FFFFFF"/>
        </w:rPr>
        <w:t>  下列发生生产安全事故的生产经营单位及其有关人员应当列入严重失信主体名单：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（一）发生特别重大、重大生产安全事故的生产经营单位及其主要负责人，以及经调查认定对该事故发生负有责任，应当列入名单的其他单位和人员；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（二）12个月内累计发生2起以上较大生产安全事故的生产经营单位及其主要负责人；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（三）发生生产安全事故，情节特别严重、影响特别恶劣，依照《中华人民共和国安全生产法》第一百一十四条的规定被处以罚款数额2倍以上5倍以下罚款的生产经营单位及其主要负责人；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（四）瞒报、谎报生产安全事故的生产经营单位及其有关责任人员；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（五）发生生产安全事故后，不立即组织抢救或者在事故调查处理期间擅离职守或者逃匿的生产经营单位主要负责人。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第七条</w:t>
      </w:r>
      <w:r>
        <w:rPr>
          <w:rFonts w:hint="eastAsia" w:ascii="宋体" w:hAnsi="宋体" w:eastAsia="宋体" w:cs="宋体"/>
          <w:i w:val="0"/>
          <w:iCs w:val="0"/>
          <w:caps w:val="0"/>
          <w:color w:val="444444"/>
          <w:spacing w:val="0"/>
          <w:sz w:val="32"/>
          <w:szCs w:val="32"/>
          <w:bdr w:val="none" w:color="auto" w:sz="0" w:space="0"/>
          <w:shd w:val="clear" w:fill="FFFFFF"/>
        </w:rPr>
        <w:t>  下列未发生生产安全事故，但因安全生产违法行为，受到行政处罚的生产经营单位或者机构及其有关人员，应当列入严重失信主体名单：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（一）未依法取得安全生产相关许可或者许可被暂扣、吊销期间从事相关生产经营活动的生产经营单位及其主要负责人；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（二）承担安全评价、认证、检测、检验职责的机构及其直接责任人员租借资质、挂靠、出具虚假报告或者证书的；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（三）在应急管理部门作出行政处罚后，有执行能力拒不执行或者逃避执行的生产经营单位及其主要负责人；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（四）其他违反安全生产法律法规受到行政处罚，且性质恶劣、情节严重的。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sz w:val="32"/>
          <w:szCs w:val="32"/>
          <w:bdr w:val="none" w:color="auto" w:sz="0" w:space="0"/>
          <w:shd w:val="clear" w:fill="FFFFFF"/>
        </w:rPr>
        <w:t>第八条</w:t>
      </w:r>
      <w:r>
        <w:rPr>
          <w:rFonts w:hint="eastAsia" w:ascii="宋体" w:hAnsi="宋体" w:eastAsia="宋体" w:cs="宋体"/>
          <w:b/>
          <w:bCs/>
          <w:i w:val="0"/>
          <w:iCs w:val="0"/>
          <w:caps w:val="0"/>
          <w:color w:val="444444"/>
          <w:spacing w:val="0"/>
          <w:sz w:val="32"/>
          <w:szCs w:val="32"/>
          <w:bdr w:val="none" w:color="auto" w:sz="0" w:space="0"/>
          <w:shd w:val="clear" w:fill="FFFFFF"/>
        </w:rPr>
        <w:t>  </w:t>
      </w:r>
      <w:r>
        <w:rPr>
          <w:rFonts w:hint="eastAsia" w:ascii="宋体" w:hAnsi="宋体" w:eastAsia="宋体" w:cs="宋体"/>
          <w:i w:val="0"/>
          <w:iCs w:val="0"/>
          <w:caps w:val="0"/>
          <w:color w:val="444444"/>
          <w:spacing w:val="0"/>
          <w:sz w:val="32"/>
          <w:szCs w:val="32"/>
          <w:bdr w:val="none" w:color="auto" w:sz="0" w:space="0"/>
          <w:shd w:val="clear" w:fill="FFFFFF"/>
        </w:rPr>
        <w:t>应急管理部门对被列入严重失信主体名单的对象（以下简称被列入对象）可以采取下列管理措施：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（一）在国家有关信用信息共享平台、国家企业信用信息公示系统和部门政府网站等公示相关信息；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（二）加大执法检查频次、暂停项目审批、实施行业或者职业禁入；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（三）不适用告知承诺制等基于诚信的管理措施；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（四）取消参加应急管理部门组织的评先评优资格；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（五）在政府资金项目申请、财政支持等方面予以限制；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（六）法律、行政法规和党中央、国务院政策文件规定的其他管理措施。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8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第三章  列入和移出程序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第九条  应急管理部门作出列入严重失信主体名单书面决定前，应当告知当事人。告知内容应当包括列入时间、事由、依据、管理措施提示以及依法享有的权利等事项。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第十条  应急管理部门作出列入严重失信主体名单决定的，应当出具书面决定。书面决定内容应当包括市场主体名称、统一社会信用代码、有关人员姓名和有效身份证件号码、列入时间、事由、依据、管理措施提示、信用修复条件和程序、救济途径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告知、送达、异议处理等程序参照《中华人民共和国行政处罚法》有关规定执行。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第十一条  应急管理部门应当自作出列入严重失信主体名单决定后3个工作日内将相关信息录入安全生产信用信息管理系统；自作出列入严重失信主体名单决定后20个工作日内，通过国家有关信用信息共享平台、国家企业信用信息公示系统和部门政府网站等公示严重失信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第十二条  被列入对象公示信息包括市场主体名称、登记注册地址、统一社会信用代码、有关人员姓名和有效身份证件号码、管理期限、作出决定的部门等事项。用于对社会公示的信息，应当加强对信息安全、个人隐私和商业秘密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第十三条  严重失信主体名单管理期限为3年。管理期满后由作出列入严重失信主体名单决定的应急管理部门负责移出，并停止公示和解除管理措施。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被列入对象自列入严重失信主体名单之日起满12个月，可以申请提前移出。依照法律、行政法规或者国务院规定实施职业或者行业禁入期限尚未届满的不予提前移出。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第十四条  在作出移出严重失信主体名单决定后3个工作日内，负责移出的应急管理部门应当在安全生产信用信息管理系统修改有关信息，并在10个工作日内停止公示和解除管理措施。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第十五条  列入严重失信主体名单的依据发生变化的，应急管理部门应当重新进行审核认定。不符合列入严重失信主体名单情形的，作出列入决定的应急管理部门应当撤销列入决定，立即将当事人移出严重失信主体名单并停止公示和解除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第十六条  被列入对象对列入决定不服的，可以依法申请行政复议或者提起行政诉讼。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8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第四章  信用修复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第十七条</w:t>
      </w:r>
      <w:r>
        <w:rPr>
          <w:rFonts w:hint="eastAsia" w:ascii="宋体" w:hAnsi="宋体" w:eastAsia="宋体" w:cs="宋体"/>
          <w:b/>
          <w:bCs/>
          <w:i w:val="0"/>
          <w:iCs w:val="0"/>
          <w:caps w:val="0"/>
          <w:color w:val="444444"/>
          <w:spacing w:val="0"/>
          <w:sz w:val="32"/>
          <w:szCs w:val="32"/>
          <w:bdr w:val="none" w:color="auto" w:sz="0" w:space="0"/>
          <w:shd w:val="clear" w:fill="FFFFFF"/>
        </w:rPr>
        <w:t>  </w:t>
      </w:r>
      <w:r>
        <w:rPr>
          <w:rFonts w:hint="eastAsia" w:ascii="宋体" w:hAnsi="宋体" w:eastAsia="宋体" w:cs="宋体"/>
          <w:i w:val="0"/>
          <w:iCs w:val="0"/>
          <w:caps w:val="0"/>
          <w:color w:val="444444"/>
          <w:spacing w:val="0"/>
          <w:sz w:val="32"/>
          <w:szCs w:val="32"/>
          <w:bdr w:val="none" w:color="auto" w:sz="0" w:space="0"/>
          <w:shd w:val="clear" w:fill="FFFFFF"/>
        </w:rPr>
        <w:t>鼓励被列入对象进行信用修复，纠正失信行为、消除不良影响。符合信用修复条件的，应急管理部门应当按照有关规定将其移出严重失信主体名单并解除管理措施。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第十八条</w:t>
      </w:r>
      <w:r>
        <w:rPr>
          <w:rFonts w:hint="eastAsia" w:ascii="宋体" w:hAnsi="宋体" w:eastAsia="宋体" w:cs="宋体"/>
          <w:b/>
          <w:bCs/>
          <w:i w:val="0"/>
          <w:iCs w:val="0"/>
          <w:caps w:val="0"/>
          <w:color w:val="444444"/>
          <w:spacing w:val="0"/>
          <w:sz w:val="32"/>
          <w:szCs w:val="32"/>
          <w:bdr w:val="none" w:color="auto" w:sz="0" w:space="0"/>
          <w:shd w:val="clear" w:fill="FFFFFF"/>
        </w:rPr>
        <w:t>  </w:t>
      </w:r>
      <w:r>
        <w:rPr>
          <w:rFonts w:hint="eastAsia" w:ascii="宋体" w:hAnsi="宋体" w:eastAsia="宋体" w:cs="宋体"/>
          <w:i w:val="0"/>
          <w:iCs w:val="0"/>
          <w:caps w:val="0"/>
          <w:color w:val="444444"/>
          <w:spacing w:val="0"/>
          <w:sz w:val="32"/>
          <w:szCs w:val="32"/>
          <w:bdr w:val="none" w:color="auto" w:sz="0" w:space="0"/>
          <w:shd w:val="clear" w:fill="FFFFFF"/>
        </w:rPr>
        <w:t>被列入对象列入严重失信主体名单满12个月并符合下列条件的，可以向作出列入决定的应急管理部门提出提前移出申请：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（一）已经履行行政处罚决定中规定的义务；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（二）已经主动消除危害后果或者不良影响；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（三）未再发生本办法第六条、第七条规定的严重失信行为。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第十九条  被列入对象申请提前移出严重失信主体名单的，应当向作出列入决定的应急管理部门提出申请。申请材料包括申请书和本办法第十八条规定的相关证明材料。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应急管理部门应当在收到提前移出严重失信主体名单申请后5个工作日内作出是否受理的决定。申请材料齐全、符合条件的，应当予以受理。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第二十条  应急管理部门自受理提前移出严重失信主体名单申请之日起20个工作日内进行核实，决定是否准予提前移出。制作决定书并按照有关规定送达被列入对象；不予提前移出的，应当说明理由。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设区的市级、县级应急管理部门作出准予提前移出严重失信主体名单决定的，应当通过安全生产信用信息管理系统报告上一级应急管理部门。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第二十一条  应急管理部门发现被列入对象申请提前移出严重失信主体名单存在隐瞒真实情况、弄虚作假情形的，应当撤销提前移出决定，恢复列入状态。名单管理期自恢复列入状态之日起重新计算。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第二十二条  被列入对象对不予提前移出决定不服的，可以依法申请行政复议或者提起行政诉讼。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8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第二十三条  法律、行政法规和党中央、国务院政策文件对严重失信主体名单管理另有规定的，依照其规定执行。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第二十四条  矿山安全监察机构对严重失信主体名单的管理工作可以参照本办法执行。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2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第二十五条 本办法自2023年10月1日起施行。《国家安全监管总局关于印发〈对安全生产领域失信行为开展联合惩戒的实施办法〉的通知》（安监总办〔2017〕49号）、《国家安全监管总局办公厅关于进一步加强安全生产领域失信行为信息管理工作的通知》（安监总厅〔2017〕59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33A67"/>
    <w:rsid w:val="6643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2023-08-17T03:25:00Z</dcterms:created>
  <dc:creator>Administrator</dc:creator>
  <cp:lastModifiedBy>Administrator</cp:lastModifiedBy>
  <dcterms:modified xsi:type="dcterms:W3CDTF">2023-08-17T03:33:41Z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