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412" w:firstLineChars="100"/>
        <w:jc w:val="both"/>
        <w:textAlignment w:val="auto"/>
        <w:rPr>
          <w:rStyle w:val="8"/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0"/>
          <w:szCs w:val="40"/>
          <w:lang w:val="en-US" w:eastAsia="zh-CN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0"/>
          <w:szCs w:val="40"/>
          <w:lang w:val="en-US" w:eastAsia="zh-CN"/>
        </w:rPr>
        <w:t>喀什市军人军属、退役军人和其他优抚对象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1648" w:firstLineChars="400"/>
        <w:jc w:val="both"/>
        <w:textAlignment w:val="auto"/>
        <w:rPr>
          <w:rStyle w:val="8"/>
          <w:rFonts w:hint="default" w:ascii="Times New Roman" w:hAnsi="Times New Roman" w:eastAsia="方正黑体_GBK" w:cs="Times New Roman"/>
          <w:b w:val="0"/>
          <w:bCs/>
          <w:color w:val="auto"/>
          <w:spacing w:val="6"/>
          <w:sz w:val="32"/>
          <w:szCs w:val="32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0"/>
          <w:szCs w:val="40"/>
          <w:lang w:val="en-US" w:eastAsia="zh-CN"/>
        </w:rPr>
        <w:t>优待工作实施办法（试行）</w:t>
      </w: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 总  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Style w:val="8"/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第一条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为深入贯彻落实习近平总书记关于退役军人工作重要论述，进一步提升退役军人和其他优抚对象的荣誉感和获得感，营造全社会尊崇军人的良好氛围。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根据《中华人民共和国退役军人保障法》《军人抚恤优待条例》《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新疆维吾尔自治区军人军属、退役军人和其他优抚对象优待工作实施办法（试行）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新退役军人发〔2021〕27号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《关于进一步加强军人军属、退役军人和其他优抚对象优待工作的意见》（新退役军人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发电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〔2023〕13号）文件精神，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结合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喀什市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第二条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优待工作坚持国家和社会相结合的工作方针，坚持现役与退役衔接、待遇与贡献匹配、关爱与管理结合、当前与长远统筹的基本原则。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第三条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军人军属、退役军人和其他优抚对象（以下简称优抚对象）为国防和军队建设作出了重要贡献，应当得到国家和社会的优待。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第二章  优待内容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第一节  荣誉激励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第四条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为烈属、军属和退役军人等家庭悬挂光荣牌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第二节  生活优待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逐级建档立卡，对因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生活发生重大变故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遇突发性、临时性特殊困难的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退役军人和其他优抚对象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持“优待证”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根据困难程度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和所在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基层党组织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优先申请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临时救助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对特别困难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帮扶关爱基金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予以帮扶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享受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以上救助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待遇后仍有困难的，积极动员社会力量给予帮扶。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第三节  养老优待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优先收住持“优待证”中符合特困人员认定条件的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鳏寡孤独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退役军人和其他优抚对象，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对常年患病卧床、生活不能自理的，优先提供服务并按规定减免相关费用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设立光荣间标识，悬挂光荣牌，并在房间安排、生活照料等方面体现优待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不符合特困认定条件的人员，由民政局鼓励和协调民办养老机构优先收住并提供适度的优惠服务。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第四节  医疗优待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市属各级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公办医疗机构为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持有“优待证”的退役军人和其他优抚对象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开通优先窗口，在醒目位置张贴优先标识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为持有“优待证”本人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提供免收普通门诊挂号费和优先就诊、检查、住院等服务。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市残联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持有军人伤残证且符合享受条件的退役军人和其他优抚对象免费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配制假肢、代步三轮车等辅助器械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并帮助对持有“优待证”的退役军人和其他优抚对象优先提供相关政策咨询服务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第五节  住房优待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九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符合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地住房保障条件的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退役军人和其他优抚对象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持“优待证”可优先申领公共租赁住房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第六节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 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就业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创业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优待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符合条件需就业的退役军人，持“优待证”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可以享受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1次免费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职业技能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并推荐就业岗位。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符合条件有创业意愿的退役军人和其他优抚对象，持“优待证”可优先申请最高不超过20万元额度的创业担保贴息贷款，贴息最长不超过3年。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第十二条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专门设立退役军人工商登记注册窗口，有针对性的为持有“优待证”的退役军人和其他优抚对象提供“一站式”开业指导、注册登记和跟踪服务。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color w:val="auto"/>
          <w:spacing w:val="6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          </w:t>
      </w: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节  文化交通优待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内博物馆、纪念馆、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美术馆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等公共文化设施和实行政府定价或指导价管理的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景区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按规定为现役军人、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退役军人和其他优抚对象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设立优先窗口和绿色通道，并提供减免门票等优待。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现役军人、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退役军人和其他优抚对象持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优待证等有效证件免费乘坐市内公共汽车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残疾军人本人驾驶的车辆（营运车辆除外）持有效证件在全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范围内公共停车场免费停放。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3320" w:firstLineChars="10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第八节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 其他社会优待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司法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将军人军属、退役军人和其他优抚对象作为公共法律服务的重点，依法为其优先提供法律服务。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鼓励全市各银行网点设立优先窗口，为退役军人和其他优抚对象提供优先办理业务，免收工本费、卡年费、小额账户管理费、跨行转账费，以及其他个性化专属金融优惠服务。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十七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鼓励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各基础电信企业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“优待证”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的退役军人和其他优抚对象提供到厅优先服务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和套餐优惠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十八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鼓励各大影院、商场、超市、农家乐、体育馆等大型门店加入喀什市拥军门店，为退役军人和其他优抚对象提供优惠服务。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第三章  证件管理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十九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市退役军人服务中心、各乡镇（街道）、村（社区）退役军人服务站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为退役军人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及其他优抚对象登记办理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优待证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，作为享受相应优待待遇的有效凭证。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退役军人事务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按照相关规定做好优待证的服务管理工作。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第四章  督导考评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退役军人事务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要做好优待工作的组织、协调、检查、督导，建立健全工作机制，及时总结经验，宣传推广典型，研究解决问题。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二十二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部门和单位要积极推进优待工作的落实，做到年初有计划、年底有评估，每年12月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15日前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将本年度优待落实情况报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市退役军人事务局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第五章  奖惩措施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二十三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退役军人事务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要定期对退役军人和其他优抚对象进行核查，对依法被刑事处罚或受到治安管理处罚、影响恶劣的，违反《信访条例》有关规定，挑头集访、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缠访、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闹访被劝阻、批评、教育仍不改正的，取消其优待待遇，已颁发优待证的，由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退役军人事务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受到治安管理处罚，挑头集访、闹访被取消优待待遇资格后能够主动改正错误、积极消除负面影响的，经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所在辖区退役军人服务站研判，报市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退役军人事务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审核同意，可以恢复其优待资格。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第六章  附  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二十五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市退役军人事务局会同有关部门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，依据有关法规政策，明确当前一个时期基本优待目录清单，并根据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喀什市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经济社会发展及优待工作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不断创新，适时调整更新优待目录，充实完善优待项目，并向社会发布。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本办法相关条款由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退役军人事务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和各相关职能部门负责解释。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二十七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本办法自下发之日起施行。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 w:eastAsiaTheme="minorEastAsia"/>
          <w:color w:val="auto"/>
          <w:lang w:eastAsia="zh-CN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lang w:eastAsia="zh-CN"/>
        </w:rPr>
      </w:pPr>
    </w:p>
    <w:p>
      <w:pPr>
        <w:pStyle w:val="2"/>
        <w:jc w:val="both"/>
        <w:rPr>
          <w:rFonts w:hint="default" w:ascii="Times New Roman" w:hAnsi="Times New Roman" w:cs="Times New Roman" w:eastAsiaTheme="minorEastAsia"/>
          <w:color w:val="auto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color w:val="auto"/>
          <w:lang w:eastAsia="zh-CN"/>
        </w:rPr>
      </w:pPr>
    </w:p>
    <w:tbl>
      <w:tblPr>
        <w:tblStyle w:val="6"/>
        <w:tblW w:w="8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6437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pacing w:val="6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pacing w:val="6"/>
                <w:kern w:val="0"/>
                <w:sz w:val="40"/>
                <w:szCs w:val="40"/>
                <w:u w:val="none"/>
                <w:lang w:val="en-US" w:eastAsia="zh-CN" w:bidi="ar"/>
              </w:rPr>
              <w:t>喀什市军人军属、退役军人和其他优抚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pacing w:val="6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pacing w:val="6"/>
                <w:kern w:val="0"/>
                <w:sz w:val="40"/>
                <w:szCs w:val="40"/>
                <w:u w:val="none"/>
                <w:lang w:val="en-US" w:eastAsia="zh-CN" w:bidi="ar"/>
              </w:rPr>
              <w:t>对象优待目录清单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优待内容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  <w:t>为烈属、军属和退役军人等家庭悬挂光荣牌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eastAsia="zh-CN"/>
              </w:rPr>
              <w:t>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逐级建档立卡，对因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生活发生重大变故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遇突发性、临时性特殊困难的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退役军人和其他优抚对象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，凭“优待证”根据困难程度和所在基层党组织研判等情况，优先申请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办理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临时救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助；对特别困难人员申请帮扶关爱基金予以帮扶；对享受以上救助待遇后仍有困难的，积极动员社会力量给予帮扶。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val="en-US" w:eastAsia="zh-CN"/>
              </w:rPr>
              <w:t>优先收住持“优待证”中符合特困人员认定条件的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  <w:t>鳏寡孤独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eastAsia="zh-CN"/>
              </w:rPr>
              <w:t>退役军人和其他优抚对象，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  <w:t>对常年患病卧床、生活不能自理的，优先提供服务并按规定减免相关费用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  <w:t>设立光荣间标识，悬挂光荣牌，并在房间安排、生活照料等方面体现优待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val="en-US" w:eastAsia="zh-CN"/>
              </w:rPr>
              <w:t>不符合特困认定条件的人员，由民政局鼓励和协调民办养老机构优先收住并提供适度的优惠服务。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val="en-US" w:eastAsia="zh-CN"/>
              </w:rPr>
              <w:t>市属各级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公办医疗机构为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val="en-US" w:eastAsia="zh-CN"/>
              </w:rPr>
              <w:t>持有“优待证”的退役军人和其他优抚对象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开通优先窗口，在醒目位置张贴优先标识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val="en-US" w:eastAsia="zh-CN"/>
              </w:rPr>
              <w:t>为持有“优待证”本人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提供免收普通门诊挂号费和优先就诊、检查、住院等服务。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val="en-US" w:eastAsia="zh-CN"/>
              </w:rPr>
              <w:t>市残联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val="en-US" w:eastAsia="zh-CN"/>
              </w:rPr>
              <w:t>持有军人伤残证且符合享受条件的退役军人和其他优抚对象免费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  <w:t>配制假肢、代步三轮车等辅助器械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val="en-US" w:eastAsia="zh-CN"/>
              </w:rPr>
              <w:t>并帮助对持有“优待证”的退役军人和其他优抚对象优先提供相关政策咨询服务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  <w:t>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符合当地住房保障条件的退役军人和其他优抚对象，持“优待证”可优先申领公共租赁住房。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对符合条件，需就业的退役军人，持“优待证”可以享受1次免费职业技能培训，并推荐就业岗位。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85"/>
                <w:kern w:val="0"/>
                <w:sz w:val="22"/>
                <w:szCs w:val="22"/>
                <w:u w:val="none"/>
                <w:lang w:val="en-US" w:eastAsia="zh-CN" w:bidi="ar"/>
              </w:rPr>
              <w:t>符合条件有就业意愿的退役军人和其他优抚对象，持“优待证”可优先申请最高不超过20万元额度的创业担保贴息贷款，贴息最长不超过3年。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专门设立退役军人工商登记注册窗口，有针对性的为持有“优待证”的退役军人和其他优抚对象提供“一站式”开业指导、注册登记和跟踪服务。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内博物馆、纪念馆、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val="en-US" w:eastAsia="zh-CN"/>
              </w:rPr>
              <w:t>美术馆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等公共文化设施和实行政府定价或指导价管理的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val="en-US" w:eastAsia="zh-CN"/>
              </w:rPr>
              <w:t>A级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景区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按规定为现役军人、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val="en-US" w:eastAsia="zh-CN"/>
              </w:rPr>
              <w:t>退役军人和其他优抚对象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设立优先窗口和绿色通道，并提供减免门票等优待。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现役军人、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val="en-US" w:eastAsia="zh-CN"/>
              </w:rPr>
              <w:t>退役军人和其他优抚对象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凭优待证等有效证件免费乘坐全市内公共汽车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残疾军人本人驾驶的车辆（营运车辆除外）持有效证件在全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</w:rPr>
              <w:t>范围内公共停车场免费停放。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  <w:lang w:val="en-US" w:eastAsia="zh-CN"/>
              </w:rPr>
              <w:t>市司法局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  <w:t>将军人军属、退役军人和其他优抚对象作为公共法律服务的重点，依法为其优先提供法律服务。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85"/>
                <w:kern w:val="0"/>
                <w:sz w:val="22"/>
                <w:szCs w:val="22"/>
                <w:u w:val="none"/>
                <w:lang w:val="en-US" w:eastAsia="zh-CN" w:bidi="ar"/>
              </w:rPr>
              <w:t>退役军人和其他优抚对象办理的以银行卡为载体的优待证，可在中国工商银行喀什分行、中国邮政储蓄银行喀什市支行、中国农业银行喀什市支行享受免收工本费、卡年费、小额账户管理费、跨行转账费。同时各网点设立优先窗口，为退役军人和其他优抚对象提供优先办理业务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中国电信为持“优待证”的退役军人和其他优抚对象提供到厅优先服务；退役军人持“优待证”可享受中国电信提供的套餐服务。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6"/>
                <w:w w:val="90"/>
                <w:sz w:val="22"/>
                <w:szCs w:val="22"/>
                <w:u w:val="none"/>
                <w:lang w:val="en-US" w:eastAsia="zh-CN"/>
              </w:rPr>
              <w:t>鼓励各大影院、商场、超市、农家乐、体育馆等大型门店加入喀什市拥军门店，为退役军人和其他优抚对象提供优惠服务。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pStyle w:val="2"/>
        <w:jc w:val="both"/>
        <w:rPr>
          <w:rFonts w:hint="default"/>
          <w:color w:val="auto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EA202"/>
    <w:multiLevelType w:val="singleLevel"/>
    <w:tmpl w:val="576EA20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YWJiYTRjNmFlZTM3YzI0MTgzYjliZmU5ODIzM2MifQ=="/>
  </w:docVars>
  <w:rsids>
    <w:rsidRoot w:val="698660AA"/>
    <w:rsid w:val="1855604F"/>
    <w:rsid w:val="1D0669A7"/>
    <w:rsid w:val="3F9BAA1C"/>
    <w:rsid w:val="4CF9A55E"/>
    <w:rsid w:val="4DF416CF"/>
    <w:rsid w:val="56DE0790"/>
    <w:rsid w:val="5B97C274"/>
    <w:rsid w:val="67D69419"/>
    <w:rsid w:val="67F00D02"/>
    <w:rsid w:val="698660AA"/>
    <w:rsid w:val="6CBA2472"/>
    <w:rsid w:val="6E7F74AB"/>
    <w:rsid w:val="6F3D5903"/>
    <w:rsid w:val="6F4C16B1"/>
    <w:rsid w:val="777FC767"/>
    <w:rsid w:val="7FB5AB5A"/>
    <w:rsid w:val="9FBCEC98"/>
    <w:rsid w:val="BADBE42F"/>
    <w:rsid w:val="C6FF49EE"/>
    <w:rsid w:val="E6F938ED"/>
    <w:rsid w:val="FAF7B469"/>
    <w:rsid w:val="FEFDDB25"/>
    <w:rsid w:val="FFDC62B3"/>
    <w:rsid w:val="FFDDE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40"/>
      <w:jc w:val="center"/>
    </w:pPr>
    <w:rPr>
      <w:rFonts w:ascii="仿宋_GB2312" w:eastAsia="仿宋_GB2312"/>
      <w:color w:val="auto"/>
      <w:kern w:val="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2283</Words>
  <Characters>2297</Characters>
  <Lines>0</Lines>
  <Paragraphs>0</Paragraphs>
  <TotalTime>33</TotalTime>
  <ScaleCrop>false</ScaleCrop>
  <LinksUpToDate>false</LinksUpToDate>
  <CharactersWithSpaces>2454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2023-06-08T12:06:00Z</dcterms:created>
  <dc:creator>WPS_1682741816</dc:creator>
  <cp:lastModifiedBy>Administrator</cp:lastModifiedBy>
  <cp:lastPrinted>2023-06-26T12:49:00Z</cp:lastPrinted>
  <dcterms:modified xsi:type="dcterms:W3CDTF">2023-09-21T13:48:20Z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36FD778D2B164F3F92668B3C90DCA9BD_11</vt:lpwstr>
  </property>
</Properties>
</file>