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62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喀什市人民防空业务历史遗留问题化解方案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为规范人防业务管理，消除历史遗留隐患，保障国防和人民群众生命财产安全，根据相关法律法规及政策规定，特制定本化解方案：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整改范围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历年来各类主体在人防审批、人防工程建设、易地建设费缴纳等业务中存在的不合规事项，具体包括但不限于以下情形：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（1）未办结的人防行政审批事项（含人防工程建设审批、易地建设审批等相关审批事项）；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（2）已办结人防行政审批，长期未开工、工程停工或烂尾、未按人防审批要求及国家标准修建、未在限期内办理人防监督手续、人防工程质量监督环节不全、长期未竣工验收和未办理备案的项目；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（3）应缴纳人防易地建设费但未缴纳、未足额缴纳或未按时缴纳的项目；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（4）擅自改变人防工程用途、破坏人防工程设施、未落实人防工程维护管理责任等违法违规行为；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（5）出售人防车位、超期租赁人防车位等违法违规行为；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（6）已建人防工程安装新能源电动汽车充电设施。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整改依据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人民防空法》《人民防空工程建设管理规定》（国人防办字〔2003〕18号）《关于规范防空地下室易地建设收费的规定》（计价格〔2000〕474号）《新疆维吾尔自治区实施〈中华人民共和国人民防空法〉办法》《新疆维吾尔自治区城市防空地下室易地建设收费办法》（新计价房〔2001〕1410号）《新疆维吾尔自治区城市防空地下室易地建设收费办法》（新发改规〔2021〕10号）《新疆维吾尔自治区新能源电动汽车充电设施在人防工程内安装使用指引》（新国动办规〔2023〕1号）《新疆维吾尔自治区人民防空工程建设行政审批管理规定》（新国动规〔2023〕2号）《新疆维吾尔自治区人民防空行政处罚裁量基准细则》（新国动规〔2023〕3号）《新疆维吾尔自治区人民防空工程维护管理办法》（新国动办规〔2024〕1号）等相关法律法规及政策文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整改时限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2026年12月31日24:00之前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分类整改标准及要求</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未办结的人防行政审批事项（含人防工程建设审批、易地建设审批等相关审批事项）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责任主体向市发展改革委提交完整的审批申请材料（对于申请易地建设的项目，若应配建人防面积小于800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无需提供符合易地建设的印证资料），市发展改革委对照项目取得建设用地规划许可证时现行有效的审批政策及标准进行审核，审批通过限期办结人防手续。（依据《人民防空工程建设管理规定》（国人防办字〔2003〕18号）第五十三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对应建防空地下室的民用建筑设计文件组织审核时，应当由人民防空主管部门参加，负责防空地下室的防护设计审核。未经审核批准或者审核不合格的，规划部门不得发给建设工程规划许可证，建设行政主管部门不得发给施工许可证，建设单位不得组织开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。第五十四条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经人民防空主管部门批准需缴纳防空地下室易地建设费的，建设单位在办理建设工程规划许可证前，应当先缴纳防空地下室易地建设费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，人防审批事项为工程规划许可的前置条件。）</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lang w:eastAsia="zh-CN"/>
        </w:rPr>
        <w:t>已办结人防行政审批，长期未开工、工程停工或烂尾、未按人防审批要求及国家标准修建、未在限期内办理人防监督手续、人防工程质量监督环节不全、长期未竣工验收和未办理备案的人防工程</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一是已批未建的：</w:t>
      </w:r>
      <w:r>
        <w:rPr>
          <w:rFonts w:hint="default" w:ascii="Times New Roman" w:hAnsi="Times New Roman" w:eastAsia="方正仿宋_GBK" w:cs="Times New Roman"/>
          <w:sz w:val="32"/>
          <w:szCs w:val="32"/>
        </w:rPr>
        <w:t>若项目具备开工建设条件，且责任主体愿意继续履行人防工程建设义务，依规办理工程规划、施工许可等手续，责任主体向市发展改革委提交人防工程建设推进计划，明确开工及完工时间，依规完成人防工程建设；因规划调整、用地性质变更、资金困难、涉法涉诉等原因，责任主体放弃建设的，出具书面情况说明，批准建设的人防工程未在批准</w:t>
      </w:r>
      <w:r>
        <w:rPr>
          <w:rFonts w:hint="eastAsia" w:ascii="Times New Roman" w:hAnsi="Times New Roman" w:eastAsia="方正仿宋_GBK" w:cs="Times New Roman"/>
          <w:sz w:val="32"/>
          <w:szCs w:val="32"/>
          <w:lang w:eastAsia="zh-CN"/>
        </w:rPr>
        <w:t>之</w:t>
      </w:r>
      <w:bookmarkStart w:id="0" w:name="_GoBack"/>
      <w:bookmarkEnd w:id="0"/>
      <w:r>
        <w:rPr>
          <w:rFonts w:hint="default" w:ascii="Times New Roman" w:hAnsi="Times New Roman" w:eastAsia="方正仿宋_GBK" w:cs="Times New Roman"/>
          <w:sz w:val="32"/>
          <w:szCs w:val="32"/>
        </w:rPr>
        <w:t>日起一年内开工，原人防审批文件自行失效。</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二是已批未按审批要求和标准修建且已完工的：</w:t>
      </w:r>
      <w:r>
        <w:rPr>
          <w:rFonts w:hint="default" w:ascii="Times New Roman" w:hAnsi="Times New Roman" w:eastAsia="方正仿宋_GBK" w:cs="Times New Roman"/>
          <w:sz w:val="32"/>
          <w:szCs w:val="32"/>
        </w:rPr>
        <w:t>若责任主体具备补建人防工程条件（有新建、改扩建项目，且承诺在3个月内能够开工建设），向市发展改革委提出补建申请；若不具备补建条件，责任主体向市发展改革委提出补缴人防易地建设费申请。</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三是已批未办理或未完全办理人防工程质量监督手续，且未完工的：</w:t>
      </w:r>
      <w:r>
        <w:rPr>
          <w:rFonts w:hint="default" w:ascii="Times New Roman" w:hAnsi="Times New Roman" w:eastAsia="方正仿宋_GBK" w:cs="Times New Roman"/>
          <w:sz w:val="32"/>
          <w:szCs w:val="32"/>
        </w:rPr>
        <w:t>责任主体向市发展改革委出具书面建设情况说明，提供人防相关资料，申请组织专家论证（专家论证程序确保公开透明，保障责任主体陈述申辩权利）。若论证结论为工程经整改可满足防护要求，责任主体开展工程整改，补办人防工程质量监督手续；若论证结论为工程无法通过整改满足防护要求，责任主体采取补建（需具备补建条件）人防工程或补缴人防易地建设费的方式履行人防工程建设义务。若市发展改革委经初步评估，能够判定项目通过各种措施均无法达到人防工程建设标准，则责任主体无需组织专家论证，市发展改革委可直接要求责任主体补建或补缴费用。</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四是已批未办理或未完全办理人防工程质量监督手续，且已完工的：</w:t>
      </w:r>
      <w:r>
        <w:rPr>
          <w:rFonts w:hint="default" w:ascii="Times New Roman" w:hAnsi="Times New Roman" w:eastAsia="方正仿宋_GBK" w:cs="Times New Roman"/>
          <w:sz w:val="32"/>
          <w:szCs w:val="32"/>
        </w:rPr>
        <w:t>责任主体委托具有相应资质的检测机构进行鉴定以及测绘机构进行测定，若结论为符合人防防护相关要求，市发展改革委依规为其办理竣工验收备案手续；若结论为不符合人防防护相关要求，责任主体采取补建（需具备补建条件）人防工程或补缴人防易地建设费的方式履行人防工程建设义务。若市发展改革委经初步评估，能够判定项目不符合人防工程建设标准，则责任主体无需委托第三方开展鉴定，市发展改革委可直接要求责任主体补建或补缴费用。</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五是已批且办理人防工程质量监督手续，但开工建设后处于半停工、长期停工或烂尾的：</w:t>
      </w:r>
      <w:r>
        <w:rPr>
          <w:rFonts w:hint="default" w:ascii="Times New Roman" w:hAnsi="Times New Roman" w:eastAsia="方正仿宋_GBK" w:cs="Times New Roman"/>
          <w:sz w:val="32"/>
          <w:szCs w:val="32"/>
        </w:rPr>
        <w:t>若人防工程3个月内能够复工，建设单位向市发展改革委出具停工情况说明和复工计划，市发展改革委下达复工通知书，明确复工时限和建设要求；若人防工程3个月内无法复工，市发展改革委向建设单位出具终止人民防空工程质量监督告知书；若建设主体灭失，且有权利义务承接单位的，向其送达相关告知文书并明确人防建设义务承接要求；若建设主体灭失，且无权利义务承接单位的，在市人民政府官方网站或市区主流媒体进行公告，若公告期内能够确定权利义务承接单位的，再向承接单位送达相关告知文书并明确人防建设义务承接要求，若公告期满仍无权利义务承接单位，则终结人防义务，避免无限期悬置；若项目整体（含人防）3个月内无法复工，市发展改革委会同自然资源、住建部门依法处理。</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六是已批且办理人防工程质量监督手续，建设完工但未竣工验收备案的：</w:t>
      </w:r>
      <w:r>
        <w:rPr>
          <w:rFonts w:hint="default" w:ascii="Times New Roman" w:hAnsi="Times New Roman" w:eastAsia="方正仿宋_GBK" w:cs="Times New Roman"/>
          <w:sz w:val="32"/>
          <w:szCs w:val="32"/>
        </w:rPr>
        <w:t>责任主体提出验收申请，提交有关材料，市发展改革委组织人防工程竣工验收。若验收合格，办理竣工验收备案；若验收不合格的，责任主体根据验收意见限期整改，重新申请验收；若项目情况复杂，经专家论证（专家论证程序确保公开透明，保障责任主体陈述申辩权利）无法通过整改达到竣工验收条件的，责任主体采取补建（具备补建条件）人防工程或补缴人防易地建设费的方式履行人防工程建设义务。</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lang w:eastAsia="zh-CN"/>
        </w:rPr>
        <w:t>应缴未缴/应缴少缴/应缴缓缴人防易地建设费的项目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责任主体在限期内足额补缴人防易地建设费，计费标准依据项目取得用地规划许可证时现行有效的政策文件执行，具体如下：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2001年8月1日（不含）之前取得用地规划许可证的项目，无需补缴人防易地建设费。依据：《中华人民共和国人民防空法》（1997年1月1日起施行）第二十二条规定“城市新建民用建筑，按照国家有关规定修建战时可用于防空的地下室”，未涉及防空地下室易地建设；《关于规范防空地下室易地建设收费的规定》（计价格〔2000〕474号）（2000年4月27日印发执行）第四条规定“防空地下室易地建设费的收费标准，由省、自治区、直辖市价格主管部门会同同级财政、人防主管部门按照当地防空地下室的造价制定，报国家计委、财政部、国家人防办备案”，未涉及具体收费标准；《新疆维吾尔自治区城市防空地下室易地建设收费办法》（新计价房〔2001〕1410号）（2001年8月1日起施行），首次确定具体配建标准及易地建设计费标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综上，对于2001年8月1日（不含）之前的项目，仅规定“城市新建民用建筑，按照国家有关规定修建战时可用于防空的地下室”，无易地建设计费标准，因此无需补缴人防易地建设费。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是2001年8月1日（含）至2021年8月30日（不含）取得用地规划许可证的项目，若为应修建与建筑底层同等面积防空地下室的，按应建防空地下室的建筑面积计算，每平方米1200元；若为应按民用建筑地面以上总建筑面积的比例修建防空地下室的，按地面以上总建筑面积计算，每平方米15元。依据：《新疆维吾尔自治区城市防空地下室易地建设收费办法》（新计价房〔2001〕1410号）第三条“结合民用建筑修建防空地下室的范围和标准：民用建筑系指：住宅、旅馆、宾馆、商场、文体娱乐场馆、候车室、候机楼、大中专院校教学楼和办公、科研、医疗用房等非生产性建筑。（一）新建十层以上（含十层）或基础埋置（包括桩基）深度大于三米（含三米）的九层及以下民用建筑，应修建与地面建筑底层同等面积的防空地下室；（二）新建九层以下基础埋置深度小于三米的民用建筑，按地面以上总建筑面积的百分之二修建防空地下室”，第七条规定“防空地下室易地建设收费的标准：（一）应修建与建筑底层同等面积防空地下室的，按应建防空地下室的建筑面积计算：1、乌鲁木齐市每平方米2000元；2、其它人防重点城市每平方米1200元。（二）应按民用建筑地面以上总建筑面积的比例修建防空地下室的，按地面以上总建筑面积计算：1、乌鲁木齐市每平方米25元。2、其它人防重点城市每平方米15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是2021年8月30日（含）之后取得用地规划许可证的项目，按应配建防空地下室面积计算，每平米600元。依据：《新疆维吾尔自治区城市防空地下室易地建设收费办法》（新发改规〔2021〕10号）（2021年8月30日印发施行）第七条“国家人防一类重点城市防空地下室易地建设费为每平方米1400元。国家人防二类、三类重点城市和其他城市防空地下室易地建设费为每平方米600元”。</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四</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lang w:eastAsia="zh-CN"/>
        </w:rPr>
        <w:t>擅自改变人防工程用途、破坏人防工程设施、未落实人防工程维护管理责任等违法违规行为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责任主体主动向市发展改革委说明违法违规事实，提交相关整改证明材料。对擅自改变人防工程用途的，限期恢复原用途；对破坏人防工程设施的，限期修复并确保工程功能完好；对未落实维护管理责任的，制定长效维护管理方案并落实到位。</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五</w:t>
      </w:r>
      <w:r>
        <w:rPr>
          <w:rFonts w:hint="default" w:ascii="方正楷体_GBK" w:hAnsi="方正楷体_GBK" w:eastAsia="方正楷体_GBK" w:cs="方正楷体_GBK"/>
          <w:b/>
          <w:bCs/>
          <w:sz w:val="32"/>
          <w:szCs w:val="32"/>
          <w:lang w:eastAsia="zh-CN"/>
        </w:rPr>
        <w:t>）出售人防车位、超期租赁人防车位等违法违规行为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责任主体在限期内废止违规出售合同、超期租赁合同，全额退还价款，规范后续租赁行为，明确租赁期限（鼓励人防车位一年一租）及收益权属。</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六</w:t>
      </w:r>
      <w:r>
        <w:rPr>
          <w:rFonts w:hint="default" w:ascii="方正楷体_GBK" w:hAnsi="方正楷体_GBK" w:eastAsia="方正楷体_GBK" w:cs="方正楷体_GBK"/>
          <w:b/>
          <w:bCs/>
          <w:sz w:val="32"/>
          <w:szCs w:val="32"/>
          <w:lang w:eastAsia="zh-CN"/>
        </w:rPr>
        <w:t>）已建人防工程安装新能源电动汽车充电设施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责任主体在限期内提交补装改造申请材料，提报充电设施设计、施工方案，市发展改革委组织现场踏勘，确认充电设施安装是否改变既有人防工程防护结构，防护设施，依规提出要求。对于不涉及改变既有人防工程防护结构、防护设施的，办理登记手续；对于确需改造人防工程防护结构，防护设施的，责任主体委托原设计单位或具有相应资质的设计单位出具施工图，依规办理审图及相关批准手续，市发展改革委依据施工图审查结果进行审核确认，责任主体依法办理质量监督、竣工验收备案手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default" w:ascii="方正黑体_GBK" w:hAnsi="方正黑体_GBK" w:eastAsia="方正黑体_GBK" w:cs="方正黑体_GBK"/>
          <w:sz w:val="32"/>
          <w:szCs w:val="32"/>
        </w:rPr>
        <w:t>办理流程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责任主体携带相关材料到喀什市发展和改革委员会（国防动员办公室）提交申请，工作人员核对材料完整性合规性后受理，经内部审核、现场核查等环节后，办理相关手续。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w:t>
      </w:r>
      <w:r>
        <w:rPr>
          <w:rFonts w:hint="default" w:ascii="方正黑体_GBK" w:hAnsi="方正黑体_GBK" w:eastAsia="方正黑体_GBK" w:cs="方正黑体_GBK"/>
          <w:sz w:val="32"/>
          <w:szCs w:val="32"/>
          <w:lang w:val="en-US" w:eastAsia="zh-CN"/>
        </w:rPr>
        <w:t>受理部门及联系方式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受理部门：喀什市发展和改革委员会（市国防动员办公室）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办公地址：喀什市人民东路336号建委办公楼10楼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联系电话：0998-5810005</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w:t>
      </w:r>
      <w:r>
        <w:rPr>
          <w:rFonts w:hint="default" w:ascii="方正黑体_GBK" w:hAnsi="方正黑体_GBK" w:eastAsia="方正黑体_GBK" w:cs="方正黑体_GBK"/>
          <w:sz w:val="32"/>
          <w:szCs w:val="32"/>
          <w:lang w:val="en-US" w:eastAsia="zh-CN"/>
        </w:rPr>
        <w:t>奖惩及相关措施</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（1）包容免罚。</w:t>
      </w:r>
      <w:r>
        <w:rPr>
          <w:rFonts w:hint="default" w:ascii="Times New Roman" w:hAnsi="Times New Roman" w:eastAsia="方正仿宋_GBK" w:cs="Times New Roman"/>
          <w:sz w:val="32"/>
          <w:szCs w:val="32"/>
        </w:rPr>
        <w:t>在整改时限内主动对接、如实申报且整改到位的责任主体，免于处罚。</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（2）限期督办。</w:t>
      </w:r>
      <w:r>
        <w:rPr>
          <w:rFonts w:hint="default" w:ascii="Times New Roman" w:hAnsi="Times New Roman" w:eastAsia="方正仿宋_GBK" w:cs="Times New Roman"/>
          <w:sz w:val="32"/>
          <w:szCs w:val="32"/>
        </w:rPr>
        <w:t>未按期对接整改或材料不合规的，市发展改革委下达《整改督办通知书》，明确二次整改要求并跟踪督促。</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（3）行政处罚。</w:t>
      </w:r>
      <w:r>
        <w:rPr>
          <w:rFonts w:hint="default" w:ascii="Times New Roman" w:hAnsi="Times New Roman" w:eastAsia="方正仿宋_GBK" w:cs="Times New Roman"/>
          <w:sz w:val="32"/>
          <w:szCs w:val="32"/>
        </w:rPr>
        <w:t>对逾期未改、拒不配合或弄虚作假的，依据人防相关法规启动处罚程序，视具体情形予以警告、罚款；涉违法建设且有安全隐患的，联合相关部门查封停用、消除隐患。</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（4）联合惩戒。</w:t>
      </w:r>
      <w:r>
        <w:rPr>
          <w:rFonts w:hint="default" w:ascii="Times New Roman" w:hAnsi="Times New Roman" w:eastAsia="方正仿宋_GBK" w:cs="Times New Roman"/>
          <w:sz w:val="32"/>
          <w:szCs w:val="32"/>
        </w:rPr>
        <w:t>被处罚主体的失信信息将纳入信用平台，挂钩工程审批等事项并限制权益，列入重点监管名单。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w:t>
      </w:r>
      <w:r>
        <w:rPr>
          <w:rFonts w:hint="default" w:ascii="方正黑体_GBK" w:hAnsi="方正黑体_GBK" w:eastAsia="方正黑体_GBK" w:cs="方正黑体_GBK"/>
          <w:sz w:val="32"/>
          <w:szCs w:val="32"/>
          <w:lang w:val="en-US" w:eastAsia="zh-CN"/>
        </w:rPr>
        <w:t>监督机制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整改期间，市发展改革委主动接受社会监督，设立投诉举报电话，及时受理群众反映的问题，依法依规核查处理。</w:t>
      </w: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6C0BFE4-B45B-4DDB-A94A-85105E68F746}"/>
  </w:font>
  <w:font w:name="方正小标宋_GBK">
    <w:panose1 w:val="03000509000000000000"/>
    <w:charset w:val="86"/>
    <w:family w:val="auto"/>
    <w:pitch w:val="default"/>
    <w:sig w:usb0="00000001" w:usb1="080E0000" w:usb2="00000000" w:usb3="00000000" w:csb0="00040000" w:csb1="00000000"/>
    <w:embedRegular r:id="rId2" w:fontKey="{BBDDED75-F371-4958-9BBD-B5C077D32A6C}"/>
  </w:font>
  <w:font w:name="方正仿宋_GBK">
    <w:panose1 w:val="03000509000000000000"/>
    <w:charset w:val="86"/>
    <w:family w:val="auto"/>
    <w:pitch w:val="default"/>
    <w:sig w:usb0="00000001" w:usb1="080E0000" w:usb2="00000000" w:usb3="00000000" w:csb0="00040000" w:csb1="00000000"/>
    <w:embedRegular r:id="rId3" w:fontKey="{FD39068B-DF81-464D-BC81-A826C127A15C}"/>
  </w:font>
  <w:font w:name="方正黑体_GBK">
    <w:panose1 w:val="03000509000000000000"/>
    <w:charset w:val="86"/>
    <w:family w:val="auto"/>
    <w:pitch w:val="default"/>
    <w:sig w:usb0="00000001" w:usb1="080E0000" w:usb2="00000000" w:usb3="00000000" w:csb0="00040000" w:csb1="00000000"/>
    <w:embedRegular r:id="rId4" w:fontKey="{40630BA6-2033-4D6D-B820-DC9CFDBC1E79}"/>
  </w:font>
  <w:font w:name="方正楷体_GBK">
    <w:panose1 w:val="03000509000000000000"/>
    <w:charset w:val="86"/>
    <w:family w:val="auto"/>
    <w:pitch w:val="default"/>
    <w:sig w:usb0="00000001" w:usb1="080E0000" w:usb2="00000000" w:usb3="00000000" w:csb0="00040000" w:csb1="00000000"/>
    <w:embedRegular r:id="rId5" w:fontKey="{82C75C7F-54A5-40DC-8556-4E7B23D910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F7A3A"/>
    <w:rsid w:val="0F985657"/>
    <w:rsid w:val="10861954"/>
    <w:rsid w:val="216830DB"/>
    <w:rsid w:val="25A17C6B"/>
    <w:rsid w:val="26151358"/>
    <w:rsid w:val="3E3208A1"/>
    <w:rsid w:val="3E811E75"/>
    <w:rsid w:val="411918A4"/>
    <w:rsid w:val="4D051D57"/>
    <w:rsid w:val="558D41B7"/>
    <w:rsid w:val="57DB745C"/>
    <w:rsid w:val="60305359"/>
    <w:rsid w:val="769D757D"/>
    <w:rsid w:val="7D483EC6"/>
    <w:rsid w:val="7E2E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4712</Words>
  <Characters>4843</Characters>
  <Lines>0</Lines>
  <Paragraphs>0</Paragraphs>
  <TotalTime>7</TotalTime>
  <ScaleCrop>false</ScaleCrop>
  <LinksUpToDate>false</LinksUpToDate>
  <CharactersWithSpaces>4843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2026-05-26T03:06:00Z</dcterms:created>
  <dc:creator>hedadadadalizi</dc:creator>
  <cp:lastModifiedBy>Administrator</cp:lastModifiedBy>
  <dcterms:modified xsi:type="dcterms:W3CDTF">2026-05-26T10:09:06Z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eyJoZGlkIjoiYTJkNTUyYTUwOTUzZjY1ZTA3NThkY2M4YjM4NjhmZTMiLCJ1c2VySWQiOiI0MjQwNzA3MjIifQ==</vt:lpwstr>
  </property>
  <property fmtid="{D5CDD505-2E9C-101B-9397-08002B2CF9AE}" pid="4" name="ICV">
    <vt:lpwstr>9CB9394906404AE4A0D1DA80A4F3221C_12</vt:lpwstr>
  </property>
</Properties>
</file>