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D5CDE">
      <w:pPr>
        <w:keepNext/>
        <w:keepLines/>
        <w:bidi w:val="0"/>
        <w:adjustRightInd w:val="0"/>
        <w:snapToGrid w:val="0"/>
        <w:spacing w:before="10" w:beforeLines="0" w:beforeAutospacing="0" w:after="10" w:afterLines="0" w:afterAutospacing="0" w:line="560" w:lineRule="exact"/>
        <w:jc w:val="center"/>
        <w:outlineLvl w:val="0"/>
        <w:rPr>
          <w:rFonts w:hint="default" w:ascii="Times New Roman" w:hAnsi="Times New Roman" w:eastAsia="方正小标宋_GBK" w:cs="Times New Roman"/>
          <w:b/>
          <w:color w:val="000000" w:themeColor="text1"/>
          <w:kern w:val="44"/>
          <w:sz w:val="40"/>
          <w:szCs w:val="22"/>
          <w:highlight w:val="none"/>
          <w:lang w:val="en-US" w:eastAsia="zh-CN" w:bidi="ar-SA"/>
          <w14:textFill>
            <w14:solidFill>
              <w14:schemeClr w14:val="tx1"/>
            </w14:solidFill>
          </w14:textFill>
        </w:rPr>
      </w:pPr>
      <w:bookmarkStart w:id="0" w:name="_GoBack"/>
      <w:r>
        <w:rPr>
          <w:rFonts w:hint="eastAsia" w:ascii="Times New Roman" w:hAnsi="Times New Roman" w:eastAsia="方正小标宋_GBK" w:cs="Times New Roman"/>
          <w:b/>
          <w:color w:val="000000" w:themeColor="text1"/>
          <w:kern w:val="44"/>
          <w:sz w:val="40"/>
          <w:szCs w:val="22"/>
          <w:highlight w:val="none"/>
          <w:lang w:val="en-US" w:eastAsia="zh-CN" w:bidi="ar-SA"/>
          <w14:textFill>
            <w14:solidFill>
              <w14:schemeClr w14:val="tx1"/>
            </w14:solidFill>
          </w14:textFill>
        </w:rPr>
        <w:t>喀什</w:t>
      </w:r>
      <w:r>
        <w:rPr>
          <w:rFonts w:hint="default" w:ascii="Times New Roman" w:hAnsi="Times New Roman" w:eastAsia="方正小标宋_GBK" w:cs="Times New Roman"/>
          <w:b/>
          <w:color w:val="000000" w:themeColor="text1"/>
          <w:kern w:val="44"/>
          <w:sz w:val="40"/>
          <w:szCs w:val="22"/>
          <w:highlight w:val="none"/>
          <w:lang w:val="en-US" w:eastAsia="zh-CN" w:bidi="ar-SA"/>
          <w14:textFill>
            <w14:solidFill>
              <w14:schemeClr w14:val="tx1"/>
            </w14:solidFill>
          </w14:textFill>
        </w:rPr>
        <w:t>市城市供水管理办法</w:t>
      </w:r>
    </w:p>
    <w:p w14:paraId="0C1F8146">
      <w:pPr>
        <w:widowControl/>
        <w:adjustRightInd w:val="0"/>
        <w:snapToGrid w:val="0"/>
        <w:spacing w:after="0" w:line="560" w:lineRule="atLeast"/>
        <w:jc w:val="center"/>
        <w:rPr>
          <w:rFonts w:hint="default" w:ascii="Times New Roman" w:hAnsi="Times New Roman" w:eastAsia="方正仿宋_GBK" w:cs="Times New Roman"/>
          <w:color w:val="000000" w:themeColor="text1"/>
          <w:spacing w:val="0"/>
          <w:kern w:val="0"/>
          <w:sz w:val="40"/>
          <w:szCs w:val="40"/>
          <w:highlight w:val="none"/>
          <w14:textFill>
            <w14:solidFill>
              <w14:schemeClr w14:val="tx1"/>
            </w14:solidFill>
          </w14:textFill>
        </w:rPr>
      </w:pPr>
      <w:r>
        <w:rPr>
          <w:rFonts w:hint="default" w:ascii="Times New Roman" w:hAnsi="Times New Roman" w:eastAsia="方正仿宋_GBK" w:cs="Times New Roman"/>
          <w:color w:val="000000" w:themeColor="text1"/>
          <w:spacing w:val="0"/>
          <w:kern w:val="0"/>
          <w:sz w:val="40"/>
          <w:szCs w:val="40"/>
          <w:highlight w:val="none"/>
          <w14:textFill>
            <w14:solidFill>
              <w14:schemeClr w14:val="tx1"/>
            </w14:solidFill>
          </w14:textFill>
        </w:rPr>
        <w:t>（征求意见稿）</w:t>
      </w:r>
    </w:p>
    <w:p w14:paraId="694B73D7">
      <w:pPr>
        <w:widowControl/>
        <w:adjustRightInd w:val="0"/>
        <w:snapToGrid w:val="0"/>
        <w:spacing w:after="0" w:line="560" w:lineRule="atLeast"/>
        <w:jc w:val="center"/>
        <w:rPr>
          <w:rFonts w:hint="default" w:ascii="Times New Roman" w:hAnsi="Times New Roman" w:eastAsia="方正仿宋_GBK" w:cs="Times New Roman"/>
          <w:color w:val="000000" w:themeColor="text1"/>
          <w:spacing w:val="0"/>
          <w:kern w:val="0"/>
          <w:sz w:val="40"/>
          <w:szCs w:val="40"/>
          <w:highlight w:val="none"/>
          <w14:textFill>
            <w14:solidFill>
              <w14:schemeClr w14:val="tx1"/>
            </w14:solidFill>
          </w14:textFill>
        </w:rPr>
      </w:pPr>
    </w:p>
    <w:p w14:paraId="701456E4">
      <w:pPr>
        <w:widowControl/>
        <w:adjustRightInd w:val="0"/>
        <w:snapToGrid w:val="0"/>
        <w:spacing w:after="0" w:line="560" w:lineRule="exact"/>
        <w:ind w:firstLine="622" w:firstLineChars="200"/>
        <w:jc w:val="both"/>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color w:val="000000" w:themeColor="text1"/>
          <w:spacing w:val="0"/>
          <w:kern w:val="0"/>
          <w:sz w:val="31"/>
          <w:szCs w:val="31"/>
          <w:highlight w:val="none"/>
          <w14:textFill>
            <w14:solidFill>
              <w14:schemeClr w14:val="tx1"/>
            </w14:solidFill>
          </w14:textFill>
        </w:rPr>
        <w:t xml:space="preserve">第一条 </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为规范城市供水用水管理工作，发展城市供水事业，保障城市生活、生产和其他用水，维护供水单位和用户的合法权益，根据《中华人民共和国水法》《城市供水条例》等法律法规，结合</w:t>
      </w:r>
      <w:r>
        <w:rPr>
          <w:rFonts w:hint="eastAsia" w:ascii="Times New Roman" w:hAnsi="Times New Roman" w:eastAsia="方正仿宋_GBK" w:cs="Times New Roman"/>
          <w:bCs/>
          <w:color w:val="000000" w:themeColor="text1"/>
          <w:spacing w:val="0"/>
          <w:kern w:val="0"/>
          <w:sz w:val="31"/>
          <w:szCs w:val="31"/>
          <w:highlight w:val="none"/>
          <w:lang w:val="en-US" w:eastAsia="zh-CN"/>
          <w14:textFill>
            <w14:solidFill>
              <w14:schemeClr w14:val="tx1"/>
            </w14:solidFill>
          </w14:textFill>
        </w:rPr>
        <w:t>喀什</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市实际，制定本办法。</w:t>
      </w:r>
    </w:p>
    <w:p w14:paraId="37C03109">
      <w:pPr>
        <w:widowControl/>
        <w:adjustRightInd w:val="0"/>
        <w:snapToGrid w:val="0"/>
        <w:spacing w:after="0" w:line="560" w:lineRule="exact"/>
        <w:ind w:firstLine="622" w:firstLineChars="200"/>
        <w:jc w:val="both"/>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color w:val="000000" w:themeColor="text1"/>
          <w:spacing w:val="0"/>
          <w:kern w:val="0"/>
          <w:sz w:val="31"/>
          <w:szCs w:val="31"/>
          <w:highlight w:val="none"/>
          <w14:textFill>
            <w14:solidFill>
              <w14:schemeClr w14:val="tx1"/>
            </w14:solidFill>
          </w14:textFill>
        </w:rPr>
        <w:t xml:space="preserve">第二条 </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本办法适用于本市行政区域内城市供水用水的单位和用户的相关管理活动。</w:t>
      </w:r>
    </w:p>
    <w:p w14:paraId="0050C727">
      <w:pPr>
        <w:widowControl/>
        <w:adjustRightInd w:val="0"/>
        <w:snapToGrid w:val="0"/>
        <w:spacing w:after="0" w:line="560" w:lineRule="exact"/>
        <w:ind w:firstLine="622" w:firstLineChars="200"/>
        <w:jc w:val="both"/>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color w:val="000000" w:themeColor="text1"/>
          <w:spacing w:val="0"/>
          <w:kern w:val="0"/>
          <w:sz w:val="31"/>
          <w:szCs w:val="31"/>
          <w:highlight w:val="none"/>
          <w14:textFill>
            <w14:solidFill>
              <w14:schemeClr w14:val="tx1"/>
            </w14:solidFill>
          </w14:textFill>
        </w:rPr>
        <w:t xml:space="preserve">第三条 </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本办法所称城市供水是供水单位使用城市供水管道及其附属设施为城市居民和单位生活、生产和其他各项建设提供用水，包括城市公共供水（含二次供水）和自建设施供水。本办法所称城市用水是指城市生活、生产、消防和市政管理等所需用水的统称。</w:t>
      </w:r>
    </w:p>
    <w:p w14:paraId="5C624762">
      <w:pPr>
        <w:widowControl/>
        <w:adjustRightInd w:val="0"/>
        <w:snapToGrid w:val="0"/>
        <w:spacing w:after="0" w:line="560" w:lineRule="exact"/>
        <w:ind w:firstLine="622" w:firstLineChars="200"/>
        <w:jc w:val="both"/>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color w:val="000000" w:themeColor="text1"/>
          <w:spacing w:val="0"/>
          <w:kern w:val="0"/>
          <w:sz w:val="31"/>
          <w:szCs w:val="31"/>
          <w:highlight w:val="none"/>
          <w14:textFill>
            <w14:solidFill>
              <w14:schemeClr w14:val="tx1"/>
            </w14:solidFill>
          </w14:textFill>
        </w:rPr>
        <w:t xml:space="preserve">第四条 </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城市供水工作实行开发水源和计划用水，节约用水相结合，优先保障生活用水，统筹兼顾工业用水和其他用水的原则。</w:t>
      </w:r>
    </w:p>
    <w:p w14:paraId="228F891F">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color w:val="000000" w:themeColor="text1"/>
          <w:spacing w:val="0"/>
          <w:kern w:val="0"/>
          <w:sz w:val="31"/>
          <w:szCs w:val="31"/>
          <w:highlight w:val="none"/>
          <w14:textFill>
            <w14:solidFill>
              <w14:schemeClr w14:val="tx1"/>
            </w14:solidFill>
          </w14:textFill>
        </w:rPr>
        <w:t xml:space="preserve">第五条 </w:t>
      </w:r>
      <w:r>
        <w:rPr>
          <w:rFonts w:hint="default" w:ascii="Times New Roman" w:hAnsi="Times New Roman" w:eastAsia="方正仿宋_GBK" w:cs="Times New Roman"/>
          <w:bCs/>
          <w:color w:val="000000" w:themeColor="text1"/>
          <w:spacing w:val="0"/>
          <w:kern w:val="0"/>
          <w:sz w:val="31"/>
          <w:szCs w:val="31"/>
          <w:highlight w:val="none"/>
          <w14:textFill>
            <w14:solidFill>
              <w14:schemeClr w14:val="tx1"/>
            </w14:solidFill>
          </w14:textFill>
        </w:rPr>
        <w:t>市人民政府应当将城市公共供水工作纳入国民经济和社会发展计划，鼓励城市供水科学技术研究，推广先进技术，强化城市节约用水，提高城市供水现代化水平和水资源利用率。对在城市供水中作出显著成绩的单位和个人，给予奖励。市</w:t>
      </w:r>
      <w:r>
        <w:rPr>
          <w:rFonts w:hint="eastAsia" w:ascii="Times New Roman" w:hAnsi="Times New Roman" w:eastAsia="方正仿宋_GBK" w:cs="Times New Roman"/>
          <w:bCs/>
          <w:color w:val="000000" w:themeColor="text1"/>
          <w:spacing w:val="0"/>
          <w:kern w:val="0"/>
          <w:sz w:val="31"/>
          <w:szCs w:val="31"/>
          <w:highlight w:val="none"/>
          <w:lang w:val="en-US" w:eastAsia="zh-CN"/>
          <w14:textFill>
            <w14:solidFill>
              <w14:schemeClr w14:val="tx1"/>
            </w14:solidFill>
          </w14:textFill>
        </w:rPr>
        <w:t>城市管理局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负责本行政区城内城市供水用水监督管理相关工作。水利</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、自然资源</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、卫生健康</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委员会</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喀什地区</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生态环境</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局喀什分局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、公安</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等部门在各自职责范围内共同做好城市供水用水管理工作。</w:t>
      </w:r>
    </w:p>
    <w:p w14:paraId="76E31D1F">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第六条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城市公共供水工程建设所需资金以国家投资为主，企业自筹等多渠道合法筹措。</w:t>
      </w:r>
    </w:p>
    <w:p w14:paraId="50EB667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第七条 </w:t>
      </w:r>
      <w:r>
        <w:rPr>
          <w:rFonts w:hint="default" w:ascii="Times New Roman" w:hAnsi="Times New Roman" w:eastAsia="方正仿宋_GBK" w:cs="Times New Roman"/>
          <w:b w:val="0"/>
          <w:bCs w:val="0"/>
          <w:snapToGrid w:val="0"/>
          <w:color w:val="000000" w:themeColor="text1"/>
          <w:spacing w:val="0"/>
          <w:kern w:val="0"/>
          <w:sz w:val="31"/>
          <w:szCs w:val="31"/>
          <w:highlight w:val="none"/>
          <w14:textFill>
            <w14:solidFill>
              <w14:schemeClr w14:val="tx1"/>
            </w14:solidFill>
          </w14:textFill>
        </w:rPr>
        <w:t>市城市管理部门</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应当制定城市供水应急预案，提高供水应急保障能力，应对供水突发事件，并定期组织不同级别、类型的供水应急演练。</w:t>
      </w:r>
    </w:p>
    <w:p w14:paraId="4A7ACAE6">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八</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依法划定城市饮用水水源保护区范围，按照划定方案由使用单位（供水企业）设立明确的地理界标和明显警示（管理）标志，水利、生态环境、住建、自然资源、卫生健康等部门按照工作职责共同做好水源保护和管理工作。</w:t>
      </w:r>
    </w:p>
    <w:p w14:paraId="4A11493C">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九</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城市供水水质应当符合国家生活饮用水卫生标准，饮用水水质应当达到《生活饮用水卫生标准》</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GB5749-20</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22</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）相关要求。</w:t>
      </w:r>
    </w:p>
    <w:p w14:paraId="06615E04">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第十条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市供水单位应当做好城市水质检测工作，形成检测报告和记录。每月上报市城市管理局。市城市管理局应每月底对供水单位上报的水质检测数据和分析报告进行审查汇总，按季度报</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喀什地区</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住房和城乡建设局。</w:t>
      </w:r>
    </w:p>
    <w:p w14:paraId="3A0ECC4C">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一</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市城市管理局应当建立城市供水水质督察制度，对供水单位的水质管理、生产流程等进行重点督查，监督不合格供水单位进行整改。市城市管理局每年定期开展供水水质督察工作，定期公布供水水质信息。</w:t>
      </w:r>
    </w:p>
    <w:p w14:paraId="1E61DAC1">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市卫生健康部门应当加强生活饮用水的卫生监测，定期公布生活饮用水卫生监测信息。</w:t>
      </w:r>
    </w:p>
    <w:p w14:paraId="7AF5D944">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供水单位应当建立健全水质检测机构和制度。按照国家生活饮用水卫生标准和自治区有关规定确定的水质检测项目、频次、方法。开展水质自检工作，对于不能自检项目；应当委托具备相应资质的水质检测机构检测。供水单位使用的净水剂、消毒剂等涉及生活饮用水卫生安全产品必须符合国家相关标准。采购过程严格执行索证（生产许可证、卫生许可证、产品合格证及化验报告）和验收制度。</w:t>
      </w:r>
    </w:p>
    <w:p w14:paraId="55741E5F">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四</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新建、改建，扩建城市供水管道，在投入使用或者与城市供水管网系统连接通水前，建设单位和供水单位应当进行清洗、消毒，经具备相应资质的水质检测机构检测合格后，方可投入使用。安装二次供水设施应当经城市供水主管部门批准，其设施必须定期清洗、消毒，水质要定期化验；对造成水质污染、危害公共供水管网均衡水压的二次供水设施，应当限期治理。二次供水设施不得与城市供水管道直接连通。二次供水设施管理单位应当加强对供水设施的管理，定期对水质进行检测，对供水设施定期进行清洗、消毒，并委托具备相应资质的水质检测机构检测：保证二次供水水质符合《生活饮用水卫生标准》（GB5749-2022），并定期公布生活饮用水卫生监测信息。</w:t>
      </w:r>
    </w:p>
    <w:p w14:paraId="5FE2A057">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五</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在城市饮用水水源保护区内，禁止下列行为：</w:t>
      </w:r>
    </w:p>
    <w:p w14:paraId="6BB1B53E">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（一）排放污水或者使用未经处理的污水灌溉；</w:t>
      </w:r>
    </w:p>
    <w:p w14:paraId="69E7201E">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（二）使用剧毒或者高残留农药；</w:t>
      </w:r>
    </w:p>
    <w:p w14:paraId="1C2099B7">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（三）倾倒或者存放工业废渣、垃圾、粪便及其他有害废弃物；</w:t>
      </w:r>
    </w:p>
    <w:p w14:paraId="5CA0E112">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（四）人工养殖或者放养家禽、家畜；</w:t>
      </w:r>
    </w:p>
    <w:p w14:paraId="784613D7">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（五）使用炸药、毒品捕杀水生动物；</w:t>
      </w:r>
    </w:p>
    <w:p w14:paraId="613A1C7A">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（六）破坏护岸林和水源保护植被；</w:t>
      </w:r>
    </w:p>
    <w:p w14:paraId="368D6463">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（七）爆破、开山采石、烧制石灰；</w:t>
      </w:r>
    </w:p>
    <w:p w14:paraId="37D1741A">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（八）危害水质和影响水量的其他行为。</w:t>
      </w:r>
    </w:p>
    <w:p w14:paraId="08691F38">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六</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市人民政府应当组织住建部门依据三条红线、水资源分配指标并充分征求自然资源、生态环境、水利等部门的意见基础上，编制城市供水水源开发利用规划。市城市供水管理部门应当会同有关部门，按照统筹规划、统一管理、合理布局、协同发展原则编制城市供水专项规划，编制水厂、管网等供水设施建设和改造的年度计划，报经本级人民政府审批后组织实施。</w:t>
      </w:r>
    </w:p>
    <w:p w14:paraId="46F52C56">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十七</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工程的勘察设计、施工及监理，应当由具有相应资质的单位承担，并遵守国家有关技术标准和规范，城市供水工程使用的供水设备、管材、配件和用水器具，应当符合国家产品安全卫生标准、国家质量标准，并符合接入城市供水管网有关技术要求，二次供水设施设计和施工。应当符合有关建设标准和工程技术规范。配套建设的二次供水设施应当与建筑物主体工程同时设计、同时施工，同时验收交付使用。</w:t>
      </w:r>
    </w:p>
    <w:p w14:paraId="1159A1C6">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十八</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城市供水工程竣工后，应当按照国家规定组织验收：未经验收或者验收不合格的，不得投入使用。</w:t>
      </w:r>
    </w:p>
    <w:p w14:paraId="63D4839B">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十九</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新建、改建、扩建项目需要增加用水的，其工程项目总概算应当包括供水工程建设投资，需要增加公共供水量的，供水工程建设投资由项目建设方统一组织城市公共供水工程建设。</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供水工程建设</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措施，造成损失的，依法给与补偿。</w:t>
      </w:r>
    </w:p>
    <w:p w14:paraId="1F1007AA">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第二十条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新建居民住宅应当按照一户一表、水表出户、计量到户要求进行设计和建设，新建居民住宅水表和已建居民住宅水表改造应当推行智能化计量管理。供水单位应当按照合同约定为用户安装水表，水表应当经法定计量检定机构，按照国家规定周期进行检定或者轮换。经检定不合格的，予以调修，修后仍不合格的应当予以更换。由于用户责任造成水表丢失、损坏，导致无法抄表计量的，用户应及时通知供水单位维修或更换，并承担维修或更换费用。</w:t>
      </w:r>
    </w:p>
    <w:p w14:paraId="5BD4B0DE">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第二十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一</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在城市公共供水区域内，未经批准不得擅自建设供水水源工程；已建成的供水水源工程应当纳入城市公共供水系统统一管理、调配。</w:t>
      </w:r>
    </w:p>
    <w:p w14:paraId="4A45077D">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第二十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企业和自建设施供水企业对其管理的城市供水专用水库、引水渠道、取水口、泵站、井群和输（配）水管网，进户总水表、净（配）水厂、公用水站等设施，应当定期检查维修，确保安全运行。用水单位自行建设与城市公共供水管道连接的户外管道及其附属设施，必须经城市供水单位验收合格并交其统一管理后，方可合作使用。</w:t>
      </w:r>
    </w:p>
    <w:p w14:paraId="10D63A4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第二十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在城市公共供水管网覆盖范围内工程项目开工前、建设单位应当到供水单位查明地下城市公共供水设施情况、施工可能影响供水设施安全的，建设单位应当与供水单位商定保护措施</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签订供水设施保护和损坏赔偿协议</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城市供水企业监督实施。抢修供水设施确需拆除妨碍抢修的地上建（构）筑物的，拆除时应通知所有权人，抢修结束后，除违章建（构）筑物外，应当予以修复或补偿。</w:t>
      </w:r>
    </w:p>
    <w:p w14:paraId="3EF9E5A1">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第二十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四</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任何单位和个人未经批准，不得改装、迁移或者拆除城市公共供水设施。因工程建设确需改装、拆除或者迁移城市公共供水设施的，</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建设单位应当报经</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城市管理局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和住房和城乡建设</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批准</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，并采取相应的补救措施。</w:t>
      </w:r>
    </w:p>
    <w:p w14:paraId="22964ABE">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第二十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五</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城市供水单位和自建设施对外供水企业直接从事净水、水泵运行、水质检验、管道维修等工作人员及二次供水设施的管理和消毒人员</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应当实行职工持证上岗制度</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应当每年进行一次健康体检，取得健康证明并经岗位培训合格后，方可持证上岗。应当加强对城市供水管道及其附属设施日常检查和经常性维护管理工作</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有关单位和个人应当予以配合</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不得妨碍供水单位对城市供水设施检查和维护管理。城市供水企业应当定期检查维修所属供水设施，确保安全运行。管理和维护按产权归属划定，也可按合同的约定。</w:t>
      </w:r>
    </w:p>
    <w:p w14:paraId="2488CD88">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二十六</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供水单位应当按照计划检修城市供水设施或者更换设备，当城市供水设施发生故障或者管道爆裂，供水单位应当立即组织抢修，并通知用户。供水单位对城市供水设施进行施工抢修和维修时，有关单位和个人应当予以配合，不得妨碍供水单位抢修和维修城市供水设施。遇紧急情况进行施工抢修，可先进入施工场地</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然后及时补办有关手续。有关部门应当给予配合，保证抢修及时进行。</w:t>
      </w:r>
    </w:p>
    <w:p w14:paraId="3E378E30">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供水单位因工程施工和设备维修等原因，确需临时停止供水或者降低供水水压的，应当在临时停止供水或者降低供水水压提前通知用户，并向市城市管理局，连续超过二十四小时不能恢复正常供水的，供水单位应当采取应急供水措施，保证居民生活用水需要。因发生灾难或者紧急事故未能提前通知的，应当在抢修的同时通知用户，尽快恢复正常供水。</w:t>
      </w:r>
    </w:p>
    <w:p w14:paraId="049BCEAD">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二十七</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市</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城市管理局应定期</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开展</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供水单位</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开展</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评估考核</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工作，并依据考核结果和法律定，适时调整或更新相关监管要求和规范</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w:t>
      </w:r>
    </w:p>
    <w:p w14:paraId="2628A3B0">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二十八</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供水单位应当遵守下列规定：</w:t>
      </w:r>
    </w:p>
    <w:p w14:paraId="49A29C6F">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（一）保障城市供水不间断供应，不得擅自停水；</w:t>
      </w:r>
    </w:p>
    <w:p w14:paraId="1D80351B">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（二）按照国家规定设置供水管网测压点，做好水压监测，保证供水管网压力符合规定标准；</w:t>
      </w:r>
    </w:p>
    <w:p w14:paraId="4FD95A33">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三）设立用户服务中心，全面负责供水经营与服务等各方面的业务受理。用户服务中心应当建立首问负责、限时办结制度。公开业务受理范围、办事程序、受理时限、服务承诺、投诉电话以及收费标准等服务内容，向用户提供一站式服务，不予受理的业务应当明确告知不受理原因；</w:t>
      </w:r>
    </w:p>
    <w:p w14:paraId="1B2B4E0A">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（四）设置供水服务热线。全天接受用户咨询、求助及投诉，对处理期限内不能解决的，应当向用户说明原因，提出处理方案，并在承诺时限内处理完毕；</w:t>
      </w:r>
    </w:p>
    <w:p w14:paraId="266F825F">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五）主动接受社会各界监督。制定和完善义务监督员制度，通过发放调查问卷，召开座谈会等形式征求用户对行业的意见和建议。用户对供水服务有异议的，可以向城市公共供水企业、城市供水节水机构或者城市供水主管部门投诉。</w:t>
      </w:r>
    </w:p>
    <w:p w14:paraId="4D7FEDC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二十九</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供水单位应当按照价格主管部门确定的城市供水价格收取水费，并使用统一收费凭证，用水单位和个人应当按照规定计量标准和水价标准按时缴纳水费。</w:t>
      </w:r>
    </w:p>
    <w:p w14:paraId="466822D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第三十条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市政、绿化、景观、环卫等城市公用事业用水，应当优先使用再生水。</w:t>
      </w:r>
    </w:p>
    <w:p w14:paraId="26EB520F">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第三十</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一</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因工程建设需要临时使用城市供水的，建设单位应当与供水单位签订供水用水协议，按照约定使用。</w:t>
      </w:r>
    </w:p>
    <w:p w14:paraId="19E29A1D">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三十二</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 xml:space="preserve"> </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严禁</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盗用或者转供城市供水以及擅自拆除、改装、迁移城市供水设施等。</w:t>
      </w:r>
    </w:p>
    <w:p w14:paraId="643AF002">
      <w:pPr>
        <w:widowControl/>
        <w:adjustRightInd w:val="0"/>
        <w:snapToGrid w:val="0"/>
        <w:spacing w:after="0" w:line="560" w:lineRule="exact"/>
        <w:ind w:firstLine="620"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因建设确需改装、迁移或者拆除城市供水设施的，建设单位应当报经自然资源</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、城市</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管理局</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批准，并采取相应的补救措施。</w:t>
      </w:r>
    </w:p>
    <w:p w14:paraId="0ADAE11A">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三十三</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在城市水源输水管道及其附属设施垂直面及两侧五十米内，城市配水管道及其附属设施垂直面及两侧各五米内，禁止爆破、挖坑取土、堆放垃圾、物料，修建建（构）筑物及其他危害供水设施安全的行为。</w:t>
      </w:r>
    </w:p>
    <w:p w14:paraId="39C7A04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三十四</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城市</w:t>
      </w:r>
      <w:r>
        <w:rPr>
          <w:rFonts w:hint="eastAsia" w:ascii="Times New Roman" w:hAnsi="Times New Roman" w:eastAsia="方正仿宋_GBK" w:cs="Times New Roman"/>
          <w:snapToGrid w:val="0"/>
          <w:color w:val="000000" w:themeColor="text1"/>
          <w:spacing w:val="0"/>
          <w:kern w:val="0"/>
          <w:sz w:val="31"/>
          <w:szCs w:val="31"/>
          <w:highlight w:val="none"/>
          <w:lang w:val="en-US" w:eastAsia="zh-CN"/>
          <w14:textFill>
            <w14:solidFill>
              <w14:schemeClr w14:val="tx1"/>
            </w14:solidFill>
          </w14:textFill>
        </w:rPr>
        <w:t>公共</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消火栓由城市公共供水企业负责管理、维护。</w:t>
      </w:r>
    </w:p>
    <w:p w14:paraId="3A2F5B39">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三十五</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二次供水设施运行和维护，应当符合专业化要求。鼓励供水企业对新建居民二次供水设施进行统建统管，对经改造后的既有居民二次供水设施进行托管并负责运行维护。</w:t>
      </w:r>
    </w:p>
    <w:p w14:paraId="48694C4F">
      <w:pPr>
        <w:widowControl/>
        <w:adjustRightInd w:val="0"/>
        <w:snapToGrid w:val="0"/>
        <w:spacing w:after="0" w:line="560" w:lineRule="exact"/>
        <w:ind w:firstLine="622" w:firstLineChars="200"/>
        <w:jc w:val="both"/>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三十六</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条</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 xml:space="preserve">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二次供水设施运行维护单位应当严格执行国家有关规定和标准规范</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，建立健全管理制度；城市供水节水机构应当加强对二次供水设施运行维护单位的日常管理。</w:t>
      </w:r>
    </w:p>
    <w:p w14:paraId="5F8F67C2">
      <w:pPr>
        <w:widowControl/>
        <w:adjustRightInd w:val="0"/>
        <w:snapToGrid w:val="0"/>
        <w:spacing w:after="0" w:line="560" w:lineRule="exact"/>
        <w:ind w:firstLine="622" w:firstLineChars="200"/>
        <w:jc w:val="both"/>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pPr>
      <w:r>
        <w:rPr>
          <w:rFonts w:hint="eastAsia" w:ascii="Times New Roman" w:hAnsi="Times New Roman" w:eastAsia="方正仿宋_GBK" w:cs="Times New Roman"/>
          <w:b/>
          <w:bCs/>
          <w:snapToGrid w:val="0"/>
          <w:color w:val="000000" w:themeColor="text1"/>
          <w:spacing w:val="0"/>
          <w:kern w:val="0"/>
          <w:sz w:val="31"/>
          <w:szCs w:val="31"/>
          <w:highlight w:val="none"/>
          <w:lang w:eastAsia="zh-CN"/>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三十七</w:t>
      </w:r>
      <w:r>
        <w:rPr>
          <w:rFonts w:hint="eastAsia" w:ascii="Times New Roman" w:hAnsi="Times New Roman" w:eastAsia="方正仿宋_GBK" w:cs="Times New Roman"/>
          <w:b/>
          <w:bCs/>
          <w:snapToGrid w:val="0"/>
          <w:color w:val="000000" w:themeColor="text1"/>
          <w:spacing w:val="0"/>
          <w:kern w:val="0"/>
          <w:sz w:val="31"/>
          <w:szCs w:val="31"/>
          <w:highlight w:val="none"/>
          <w:lang w:eastAsia="zh-CN"/>
          <w14:textFill>
            <w14:solidFill>
              <w14:schemeClr w14:val="tx1"/>
            </w14:solidFill>
          </w14:textFill>
        </w:rPr>
        <w:t>条</w:t>
      </w:r>
      <w:r>
        <w:rPr>
          <w:rFonts w:hint="eastAsia" w:ascii="Times New Roman" w:hAnsi="Times New Roman" w:eastAsia="方正仿宋_GBK" w:cs="Times New Roman"/>
          <w:snapToGrid w:val="0"/>
          <w:color w:val="000000" w:themeColor="text1"/>
          <w:spacing w:val="0"/>
          <w:kern w:val="0"/>
          <w:sz w:val="31"/>
          <w:szCs w:val="31"/>
          <w:highlight w:val="none"/>
          <w:lang w:eastAsia="zh-CN"/>
          <w14:textFill>
            <w14:solidFill>
              <w14:schemeClr w14:val="tx1"/>
            </w14:solidFill>
          </w14:textFill>
        </w:rPr>
        <w:t xml:space="preserve"> 任何单位和个人依法享有获得符合国家生活饮用水卫生标准的权利，并负有保护水资源、供水设施和节约用水的义务。对违反本办法规定的行为，有权制止和检举。</w:t>
      </w:r>
    </w:p>
    <w:p w14:paraId="590C5B04">
      <w:pPr>
        <w:widowControl/>
        <w:adjustRightInd w:val="0"/>
        <w:snapToGrid w:val="0"/>
        <w:spacing w:after="0" w:line="560" w:lineRule="exact"/>
        <w:ind w:firstLine="622" w:firstLineChars="200"/>
        <w:jc w:val="left"/>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三十八</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本办法由市城市管理局负责解释。</w:t>
      </w:r>
    </w:p>
    <w:p w14:paraId="43F10F07">
      <w:pPr>
        <w:widowControl/>
        <w:adjustRightInd w:val="0"/>
        <w:snapToGrid w:val="0"/>
        <w:spacing w:after="0" w:line="560" w:lineRule="exact"/>
        <w:ind w:firstLine="622" w:firstLineChars="200"/>
        <w:jc w:val="left"/>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pP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第</w:t>
      </w:r>
      <w:r>
        <w:rPr>
          <w:rFonts w:hint="eastAsia" w:ascii="Times New Roman" w:hAnsi="Times New Roman" w:eastAsia="方正仿宋_GBK" w:cs="Times New Roman"/>
          <w:b/>
          <w:bCs/>
          <w:snapToGrid w:val="0"/>
          <w:color w:val="000000" w:themeColor="text1"/>
          <w:spacing w:val="0"/>
          <w:kern w:val="0"/>
          <w:sz w:val="31"/>
          <w:szCs w:val="31"/>
          <w:highlight w:val="none"/>
          <w:lang w:val="en-US" w:eastAsia="zh-CN"/>
          <w14:textFill>
            <w14:solidFill>
              <w14:schemeClr w14:val="tx1"/>
            </w14:solidFill>
          </w14:textFill>
        </w:rPr>
        <w:t>三十九</w:t>
      </w:r>
      <w:r>
        <w:rPr>
          <w:rFonts w:hint="default" w:ascii="Times New Roman" w:hAnsi="Times New Roman" w:eastAsia="方正仿宋_GBK" w:cs="Times New Roman"/>
          <w:b/>
          <w:bCs/>
          <w:snapToGrid w:val="0"/>
          <w:color w:val="000000" w:themeColor="text1"/>
          <w:spacing w:val="0"/>
          <w:kern w:val="0"/>
          <w:sz w:val="31"/>
          <w:szCs w:val="31"/>
          <w:highlight w:val="none"/>
          <w14:textFill>
            <w14:solidFill>
              <w14:schemeClr w14:val="tx1"/>
            </w14:solidFill>
          </w14:textFill>
        </w:rPr>
        <w:t xml:space="preserve">条 </w:t>
      </w:r>
      <w:r>
        <w:rPr>
          <w:rFonts w:hint="default" w:ascii="Times New Roman" w:hAnsi="Times New Roman" w:eastAsia="方正仿宋_GBK" w:cs="Times New Roman"/>
          <w:snapToGrid w:val="0"/>
          <w:color w:val="000000" w:themeColor="text1"/>
          <w:spacing w:val="0"/>
          <w:kern w:val="0"/>
          <w:sz w:val="31"/>
          <w:szCs w:val="31"/>
          <w:highlight w:val="none"/>
          <w14:textFill>
            <w14:solidFill>
              <w14:schemeClr w14:val="tx1"/>
            </w14:solidFill>
          </w14:textFill>
        </w:rPr>
        <w:t>本办法自202X年XX月XX日起施行。</w:t>
      </w:r>
    </w:p>
    <w:p w14:paraId="4BEA695A">
      <w:pPr>
        <w:rPr>
          <w:color w:val="000000" w:themeColor="text1"/>
          <w:highlight w:val="none"/>
          <w14:textFill>
            <w14:solidFill>
              <w14:schemeClr w14:val="tx1"/>
            </w14:solidFill>
          </w14:textFill>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F6C82"/>
    <w:rsid w:val="0FBB5083"/>
    <w:rsid w:val="26B525C3"/>
    <w:rsid w:val="2C5F6C82"/>
    <w:rsid w:val="437D20F8"/>
    <w:rsid w:val="59B36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4480</Words>
  <Characters>4505</Characters>
  <Lines>0</Lines>
  <Paragraphs>0</Paragraphs>
  <TotalTime>106</TotalTime>
  <ScaleCrop>false</ScaleCrop>
  <LinksUpToDate>false</LinksUpToDate>
  <CharactersWithSpaces>4544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2025-02-24T02:05:00Z</dcterms:created>
  <dc:creator>chenpu</dc:creator>
  <cp:lastModifiedBy>风中行走1395642050</cp:lastModifiedBy>
  <cp:lastPrinted>2025-08-08T10:33:15Z</cp:lastPrinted>
  <dcterms:modified xsi:type="dcterms:W3CDTF">2025-08-08T10:40:07Z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F674FE0B60584FB29FF4B6682647B320_13</vt:lpwstr>
  </property>
  <property fmtid="{D5CDD505-2E9C-101B-9397-08002B2CF9AE}" pid="4" name="KSOTemplateDocerSaveRecord">
    <vt:lpwstr>eyJoZGlkIjoiNTE0MTBmMTlhY2VmYzRhYjBjMzc1MGQzNmU2NTZhNzIiLCJ1c2VySWQiOiIxMzAzOTEwNSJ9</vt:lpwstr>
  </property>
</Properties>
</file>