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811857A">
      <w:pPr>
        <w:keepNext w:val="0"/>
        <w:keepLines w:val="0"/>
        <w:pageBreakBefore w:val="0"/>
        <w:widowControl w:val="0"/>
        <w:kinsoku/>
        <w:wordWrap/>
        <w:overflowPunct/>
        <w:topLinePunct w:val="0"/>
        <w:autoSpaceDE/>
        <w:autoSpaceDN/>
        <w:bidi w:val="0"/>
        <w:adjustRightInd/>
        <w:snapToGrid/>
        <w:spacing w:line="560" w:lineRule="exact"/>
        <w:ind w:firstLine="402" w:firstLineChars="100"/>
        <w:jc w:val="left"/>
        <w:textAlignment w:val="auto"/>
        <w:rPr>
          <w:rFonts w:hint="eastAsia" w:ascii="方正小标宋_GBK" w:hAnsi="方正小标宋_GBK" w:eastAsia="方正小标宋_GBK" w:cs="方正小标宋_GBK"/>
          <w:b/>
          <w:bCs/>
          <w:sz w:val="40"/>
          <w:szCs w:val="40"/>
          <w:lang w:val="en-US" w:eastAsia="zh-CN"/>
        </w:rPr>
      </w:pPr>
      <w:r>
        <w:rPr>
          <w:rFonts w:hint="eastAsia" w:ascii="方正小标宋_GBK" w:hAnsi="方正小标宋_GBK" w:eastAsia="方正小标宋_GBK" w:cs="方正小标宋_GBK"/>
          <w:b/>
          <w:bCs/>
          <w:sz w:val="40"/>
          <w:szCs w:val="40"/>
        </w:rPr>
        <w:t>喀什市</w:t>
      </w:r>
      <w:r>
        <w:rPr>
          <w:rFonts w:hint="eastAsia" w:ascii="方正小标宋_GBK" w:hAnsi="方正小标宋_GBK" w:eastAsia="方正小标宋_GBK" w:cs="方正小标宋_GBK"/>
          <w:b/>
          <w:bCs/>
          <w:sz w:val="40"/>
          <w:szCs w:val="40"/>
          <w:lang w:eastAsia="zh-CN"/>
        </w:rPr>
        <w:t>共享单车</w:t>
      </w:r>
      <w:r>
        <w:rPr>
          <w:rFonts w:hint="eastAsia" w:ascii="方正小标宋_GBK" w:hAnsi="方正小标宋_GBK" w:eastAsia="方正小标宋_GBK" w:cs="方正小标宋_GBK"/>
          <w:b/>
          <w:bCs/>
          <w:sz w:val="40"/>
          <w:szCs w:val="40"/>
        </w:rPr>
        <w:t>管理服务办法（</w:t>
      </w:r>
      <w:r>
        <w:rPr>
          <w:rFonts w:hint="eastAsia" w:ascii="方正小标宋_GBK" w:hAnsi="方正小标宋_GBK" w:eastAsia="方正小标宋_GBK" w:cs="方正小标宋_GBK"/>
          <w:b/>
          <w:bCs/>
          <w:sz w:val="40"/>
          <w:szCs w:val="40"/>
          <w:lang w:val="en-US" w:eastAsia="zh-CN"/>
        </w:rPr>
        <w:t>征求意见稿</w:t>
      </w:r>
      <w:r>
        <w:rPr>
          <w:rFonts w:hint="eastAsia" w:ascii="方正小标宋_GBK" w:hAnsi="方正小标宋_GBK" w:eastAsia="方正小标宋_GBK" w:cs="方正小标宋_GBK"/>
          <w:b/>
          <w:bCs/>
          <w:sz w:val="40"/>
          <w:szCs w:val="40"/>
        </w:rPr>
        <w:t>）</w:t>
      </w:r>
    </w:p>
    <w:p w14:paraId="34146B6F">
      <w:pPr>
        <w:keepNext w:val="0"/>
        <w:keepLines w:val="0"/>
        <w:pageBreakBefore w:val="0"/>
        <w:widowControl w:val="0"/>
        <w:kinsoku/>
        <w:wordWrap/>
        <w:overflowPunct/>
        <w:topLinePunct w:val="0"/>
        <w:autoSpaceDE/>
        <w:autoSpaceDN/>
        <w:bidi w:val="0"/>
        <w:adjustRightInd/>
        <w:snapToGrid/>
        <w:spacing w:line="560" w:lineRule="exact"/>
        <w:ind w:firstLine="643" w:firstLineChars="200"/>
        <w:jc w:val="left"/>
        <w:textAlignment w:val="auto"/>
        <w:rPr>
          <w:rFonts w:hint="eastAsia" w:ascii="新宋体" w:hAnsi="新宋体" w:eastAsia="新宋体" w:cs="新宋体"/>
          <w:b/>
          <w:bCs/>
          <w:sz w:val="32"/>
          <w:szCs w:val="32"/>
        </w:rPr>
      </w:pPr>
    </w:p>
    <w:p w14:paraId="06759D27">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3534" w:firstLineChars="1100"/>
        <w:jc w:val="left"/>
        <w:textAlignment w:val="auto"/>
        <w:rPr>
          <w:rFonts w:hint="eastAsia" w:ascii="方正黑体_GBK" w:hAnsi="方正黑体_GBK" w:eastAsia="方正黑体_GBK" w:cs="方正黑体_GBK"/>
          <w:b/>
          <w:bCs/>
          <w:sz w:val="32"/>
          <w:szCs w:val="32"/>
        </w:rPr>
      </w:pPr>
      <w:r>
        <w:rPr>
          <w:rFonts w:hint="eastAsia" w:ascii="方正黑体_GBK" w:hAnsi="方正黑体_GBK" w:eastAsia="方正黑体_GBK" w:cs="方正黑体_GBK"/>
          <w:b/>
          <w:bCs/>
          <w:sz w:val="32"/>
          <w:szCs w:val="32"/>
          <w:lang w:val="en-US" w:eastAsia="zh-CN"/>
        </w:rPr>
        <w:t xml:space="preserve">第一章 </w:t>
      </w:r>
      <w:r>
        <w:rPr>
          <w:rFonts w:hint="eastAsia" w:ascii="方正黑体_GBK" w:hAnsi="方正黑体_GBK" w:eastAsia="方正黑体_GBK" w:cs="方正黑体_GBK"/>
          <w:b/>
          <w:bCs/>
          <w:sz w:val="32"/>
          <w:szCs w:val="32"/>
        </w:rPr>
        <w:t>总则</w:t>
      </w:r>
    </w:p>
    <w:p w14:paraId="2ED26FEF">
      <w:pPr>
        <w:pStyle w:val="2"/>
        <w:rPr>
          <w:rFonts w:hint="eastAsia"/>
        </w:rPr>
      </w:pPr>
      <w:bookmarkStart w:id="0" w:name="_GoBack"/>
      <w:bookmarkEnd w:id="0"/>
    </w:p>
    <w:p w14:paraId="25414A50">
      <w:pPr>
        <w:keepNext w:val="0"/>
        <w:keepLines w:val="0"/>
        <w:pageBreakBefore w:val="0"/>
        <w:widowControl w:val="0"/>
        <w:kinsoku/>
        <w:wordWrap/>
        <w:overflowPunct/>
        <w:topLinePunct w:val="0"/>
        <w:autoSpaceDE/>
        <w:autoSpaceDN/>
        <w:bidi w:val="0"/>
        <w:adjustRightInd/>
        <w:snapToGrid/>
        <w:spacing w:line="560" w:lineRule="exact"/>
        <w:ind w:left="638" w:leftChars="304" w:firstLine="0" w:firstLineChars="0"/>
        <w:jc w:val="left"/>
        <w:textAlignment w:val="auto"/>
        <w:rPr>
          <w:rFonts w:hint="eastAsia" w:ascii="方正黑体_GBK" w:hAnsi="方正黑体_GBK" w:eastAsia="方正黑体_GBK" w:cs="方正黑体_GBK"/>
          <w:sz w:val="32"/>
          <w:szCs w:val="32"/>
          <w:lang w:val="en-US" w:eastAsia="zh-CN"/>
        </w:rPr>
      </w:pPr>
      <w:r>
        <w:rPr>
          <w:rFonts w:hint="eastAsia" w:ascii="方正黑体_GBK" w:hAnsi="方正黑体_GBK" w:eastAsia="方正黑体_GBK" w:cs="方正黑体_GBK"/>
          <w:b/>
          <w:bCs/>
          <w:sz w:val="32"/>
          <w:szCs w:val="32"/>
          <w:lang w:val="en-US" w:eastAsia="zh-CN"/>
        </w:rPr>
        <w:t>第一条</w:t>
      </w:r>
      <w:r>
        <w:rPr>
          <w:rFonts w:hint="eastAsia" w:ascii="方正黑体_GBK" w:hAnsi="方正黑体_GBK" w:eastAsia="方正黑体_GBK" w:cs="方正黑体_GBK"/>
          <w:sz w:val="32"/>
          <w:szCs w:val="32"/>
          <w:lang w:val="en-US" w:eastAsia="zh-CN"/>
        </w:rPr>
        <w:t xml:space="preserve"> </w:t>
      </w:r>
      <w:r>
        <w:rPr>
          <w:rFonts w:hint="eastAsia" w:ascii="方正黑体_GBK" w:hAnsi="方正黑体_GBK" w:eastAsia="方正黑体_GBK" w:cs="方正黑体_GBK"/>
          <w:sz w:val="32"/>
          <w:szCs w:val="32"/>
        </w:rPr>
        <w:t>目的</w:t>
      </w:r>
      <w:r>
        <w:rPr>
          <w:rFonts w:hint="eastAsia" w:ascii="方正黑体_GBK" w:hAnsi="方正黑体_GBK" w:eastAsia="方正黑体_GBK" w:cs="方正黑体_GBK"/>
          <w:sz w:val="32"/>
          <w:szCs w:val="32"/>
          <w:lang w:val="en-US" w:eastAsia="zh-CN"/>
        </w:rPr>
        <w:t>及意义</w:t>
      </w:r>
    </w:p>
    <w:p w14:paraId="3B955933">
      <w:pPr>
        <w:tabs>
          <w:tab w:val="left" w:pos="0"/>
        </w:tabs>
        <w:spacing w:line="600" w:lineRule="exact"/>
        <w:ind w:firstLine="640" w:firstLineChars="200"/>
        <w:rPr>
          <w:rFonts w:hint="eastAsia" w:ascii="新宋体" w:hAnsi="新宋体" w:eastAsia="新宋体" w:cs="新宋体"/>
          <w:sz w:val="32"/>
          <w:szCs w:val="32"/>
        </w:rPr>
      </w:pPr>
      <w:r>
        <w:rPr>
          <w:rFonts w:hint="eastAsia" w:ascii="方正仿宋_GBK" w:hAnsi="方正仿宋_GBK" w:eastAsia="方正仿宋_GBK" w:cs="方正仿宋_GBK"/>
          <w:sz w:val="32"/>
          <w:szCs w:val="32"/>
          <w:lang w:val="en-US" w:eastAsia="zh-CN"/>
        </w:rPr>
        <w:t>为</w:t>
      </w:r>
      <w:r>
        <w:rPr>
          <w:rFonts w:hint="eastAsia" w:ascii="方正仿宋_GBK" w:hAnsi="方正仿宋_GBK" w:eastAsia="方正仿宋_GBK" w:cs="方正仿宋_GBK"/>
          <w:sz w:val="32"/>
          <w:szCs w:val="32"/>
        </w:rPr>
        <w:t>规范</w:t>
      </w:r>
      <w:r>
        <w:rPr>
          <w:rFonts w:hint="eastAsia" w:ascii="方正仿宋_GBK" w:hAnsi="方正仿宋_GBK" w:eastAsia="方正仿宋_GBK" w:cs="方正仿宋_GBK"/>
          <w:sz w:val="32"/>
          <w:szCs w:val="32"/>
          <w:lang w:val="en-US" w:eastAsia="zh-CN"/>
        </w:rPr>
        <w:t>喀什市</w:t>
      </w:r>
      <w:r>
        <w:rPr>
          <w:rFonts w:hint="eastAsia" w:ascii="方正仿宋_GBK" w:hAnsi="方正仿宋_GBK" w:eastAsia="方正仿宋_GBK" w:cs="方正仿宋_GBK"/>
          <w:sz w:val="32"/>
          <w:szCs w:val="32"/>
          <w:lang w:eastAsia="zh-CN"/>
        </w:rPr>
        <w:t>共享单车</w:t>
      </w:r>
      <w:r>
        <w:rPr>
          <w:rFonts w:hint="eastAsia" w:ascii="方正仿宋_GBK" w:hAnsi="方正仿宋_GBK" w:eastAsia="方正仿宋_GBK" w:cs="方正仿宋_GBK"/>
          <w:sz w:val="32"/>
          <w:szCs w:val="32"/>
          <w:lang w:val="en-US" w:eastAsia="zh-CN"/>
        </w:rPr>
        <w:t>健康有序发展</w:t>
      </w:r>
      <w:r>
        <w:rPr>
          <w:rFonts w:hint="eastAsia" w:ascii="方正仿宋_GBK" w:hAnsi="方正仿宋_GBK" w:eastAsia="方正仿宋_GBK" w:cs="方正仿宋_GBK"/>
          <w:sz w:val="32"/>
          <w:szCs w:val="32"/>
        </w:rPr>
        <w:t>，保障市民安全便捷出行，促进绿色低碳交通发展，根据《中华人民共和国道路交通安全法》</w:t>
      </w:r>
      <w:r>
        <w:rPr>
          <w:rFonts w:hint="eastAsia" w:ascii="方正仿宋_GBK" w:hAnsi="方正仿宋_GBK" w:eastAsia="方正仿宋_GBK" w:cs="方正仿宋_GBK"/>
          <w:sz w:val="32"/>
          <w:szCs w:val="32"/>
          <w:lang w:eastAsia="zh-CN"/>
        </w:rPr>
        <w:t>、</w:t>
      </w:r>
      <w:r>
        <w:rPr>
          <w:rFonts w:hint="eastAsia" w:ascii="方正仿宋_GBK" w:hAnsi="方正仿宋_GBK" w:eastAsia="方正仿宋_GBK" w:cs="方正仿宋_GBK"/>
          <w:sz w:val="32"/>
          <w:szCs w:val="32"/>
        </w:rPr>
        <w:t>交通运输部等十部委联合发布的《关于鼓励和规范互联网租赁自行车发展的指导意见》（交运发〔2017〕109号）</w:t>
      </w:r>
      <w:r>
        <w:rPr>
          <w:rFonts w:hint="eastAsia" w:ascii="方正仿宋_GBK" w:hAnsi="方正仿宋_GBK" w:eastAsia="方正仿宋_GBK" w:cs="方正仿宋_GBK"/>
          <w:sz w:val="32"/>
          <w:szCs w:val="32"/>
          <w:lang w:val="en-US" w:eastAsia="zh-CN"/>
        </w:rPr>
        <w:t>等文件规定，</w:t>
      </w:r>
      <w:r>
        <w:rPr>
          <w:rFonts w:hint="eastAsia" w:ascii="方正仿宋_GBK" w:hAnsi="方正仿宋_GBK" w:eastAsia="方正仿宋_GBK" w:cs="方正仿宋_GBK"/>
          <w:sz w:val="32"/>
          <w:szCs w:val="32"/>
        </w:rPr>
        <w:t>结合本市实际，制定本办法。</w:t>
      </w:r>
    </w:p>
    <w:p w14:paraId="3EF42C38">
      <w:pPr>
        <w:keepNext w:val="0"/>
        <w:keepLines w:val="0"/>
        <w:pageBreakBefore w:val="0"/>
        <w:widowControl w:val="0"/>
        <w:numPr>
          <w:ilvl w:val="0"/>
          <w:numId w:val="1"/>
        </w:numPr>
        <w:kinsoku/>
        <w:wordWrap/>
        <w:overflowPunct/>
        <w:topLinePunct w:val="0"/>
        <w:autoSpaceDE/>
        <w:autoSpaceDN/>
        <w:bidi w:val="0"/>
        <w:adjustRightInd/>
        <w:snapToGrid/>
        <w:spacing w:line="560" w:lineRule="exact"/>
        <w:ind w:left="630" w:leftChars="0" w:firstLine="0" w:firstLineChars="0"/>
        <w:jc w:val="left"/>
        <w:textAlignment w:val="auto"/>
        <w:rPr>
          <w:rFonts w:hint="eastAsia" w:ascii="新宋体" w:hAnsi="新宋体" w:eastAsia="新宋体" w:cs="新宋体"/>
          <w:sz w:val="32"/>
          <w:szCs w:val="32"/>
        </w:rPr>
      </w:pPr>
      <w:r>
        <w:rPr>
          <w:rFonts w:hint="eastAsia" w:ascii="方正黑体_GBK" w:hAnsi="方正黑体_GBK" w:eastAsia="方正黑体_GBK" w:cs="方正黑体_GBK"/>
          <w:sz w:val="32"/>
          <w:szCs w:val="32"/>
        </w:rPr>
        <w:t>适用范围</w:t>
      </w:r>
    </w:p>
    <w:p w14:paraId="2CBCBD15">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left"/>
        <w:textAlignment w:val="auto"/>
        <w:rPr>
          <w:rFonts w:hint="eastAsia" w:ascii="方正仿宋_GBK" w:hAnsi="方正仿宋_GBK" w:eastAsia="方正仿宋_GBK" w:cs="方正仿宋_GBK"/>
          <w:sz w:val="32"/>
          <w:szCs w:val="32"/>
        </w:rPr>
      </w:pPr>
      <w:r>
        <w:rPr>
          <w:rFonts w:hint="eastAsia" w:ascii="方正仿宋_GBK" w:hAnsi="方正仿宋_GBK" w:eastAsia="方正仿宋_GBK" w:cs="方正仿宋_GBK"/>
          <w:sz w:val="32"/>
          <w:szCs w:val="32"/>
        </w:rPr>
        <w:t>适用于喀什市行政区域内</w:t>
      </w:r>
      <w:r>
        <w:rPr>
          <w:rFonts w:hint="eastAsia" w:ascii="方正仿宋_GBK" w:hAnsi="方正仿宋_GBK" w:eastAsia="方正仿宋_GBK" w:cs="方正仿宋_GBK"/>
          <w:sz w:val="32"/>
          <w:szCs w:val="32"/>
          <w:lang w:eastAsia="zh-CN"/>
        </w:rPr>
        <w:t>共享单车</w:t>
      </w:r>
      <w:r>
        <w:rPr>
          <w:rFonts w:hint="eastAsia" w:ascii="方正仿宋_GBK" w:hAnsi="方正仿宋_GBK" w:eastAsia="方正仿宋_GBK" w:cs="方正仿宋_GBK"/>
          <w:sz w:val="32"/>
          <w:szCs w:val="32"/>
          <w:lang w:val="en-US" w:eastAsia="zh-CN"/>
        </w:rPr>
        <w:t>企业</w:t>
      </w:r>
      <w:r>
        <w:rPr>
          <w:rFonts w:hint="eastAsia" w:ascii="方正仿宋_GBK" w:hAnsi="方正仿宋_GBK" w:eastAsia="方正仿宋_GBK" w:cs="方正仿宋_GBK"/>
          <w:sz w:val="32"/>
          <w:szCs w:val="32"/>
        </w:rPr>
        <w:t>的投放、运营、使用、维护及监督管理。</w:t>
      </w:r>
    </w:p>
    <w:p w14:paraId="75555CE2">
      <w:pPr>
        <w:keepNext w:val="0"/>
        <w:keepLines w:val="0"/>
        <w:pageBreakBefore w:val="0"/>
        <w:widowControl w:val="0"/>
        <w:kinsoku/>
        <w:wordWrap/>
        <w:overflowPunct/>
        <w:topLinePunct w:val="0"/>
        <w:autoSpaceDE/>
        <w:autoSpaceDN/>
        <w:bidi w:val="0"/>
        <w:adjustRightInd/>
        <w:snapToGrid/>
        <w:spacing w:line="560" w:lineRule="exact"/>
        <w:ind w:left="638" w:leftChars="304" w:firstLine="0" w:firstLineChars="0"/>
        <w:jc w:val="left"/>
        <w:textAlignment w:val="auto"/>
        <w:rPr>
          <w:rFonts w:hint="eastAsia" w:ascii="方正黑体_GBK" w:hAnsi="方正黑体_GBK" w:eastAsia="方正黑体_GBK" w:cs="方正黑体_GBK"/>
          <w:sz w:val="32"/>
          <w:szCs w:val="32"/>
        </w:rPr>
      </w:pPr>
      <w:r>
        <w:rPr>
          <w:rFonts w:hint="eastAsia" w:ascii="方正黑体_GBK" w:hAnsi="方正黑体_GBK" w:eastAsia="方正黑体_GBK" w:cs="方正黑体_GBK"/>
          <w:b/>
          <w:bCs/>
          <w:sz w:val="32"/>
          <w:szCs w:val="32"/>
          <w:lang w:val="en-US" w:eastAsia="zh-CN"/>
        </w:rPr>
        <w:t>第三条</w:t>
      </w:r>
      <w:r>
        <w:rPr>
          <w:rFonts w:hint="eastAsia" w:ascii="方正黑体_GBK" w:hAnsi="方正黑体_GBK" w:eastAsia="方正黑体_GBK" w:cs="方正黑体_GBK"/>
          <w:sz w:val="32"/>
          <w:szCs w:val="32"/>
          <w:lang w:val="en-US" w:eastAsia="zh-CN"/>
        </w:rPr>
        <w:t xml:space="preserve"> </w:t>
      </w:r>
      <w:r>
        <w:rPr>
          <w:rFonts w:hint="eastAsia" w:ascii="方正黑体_GBK" w:hAnsi="方正黑体_GBK" w:eastAsia="方正黑体_GBK" w:cs="方正黑体_GBK"/>
          <w:sz w:val="32"/>
          <w:szCs w:val="32"/>
        </w:rPr>
        <w:t>管理原则</w:t>
      </w:r>
    </w:p>
    <w:p w14:paraId="6B74B586">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方正仿宋_GBK" w:hAnsi="方正仿宋_GBK" w:eastAsia="方正仿宋_GBK" w:cs="方正仿宋_GBK"/>
          <w:sz w:val="32"/>
          <w:szCs w:val="32"/>
        </w:rPr>
      </w:pPr>
      <w:r>
        <w:rPr>
          <w:rFonts w:hint="eastAsia" w:ascii="方正仿宋_GBK" w:hAnsi="方正仿宋_GBK" w:eastAsia="方正仿宋_GBK" w:cs="方正仿宋_GBK"/>
          <w:sz w:val="32"/>
          <w:szCs w:val="32"/>
          <w:lang w:val="en-US" w:eastAsia="zh-CN"/>
        </w:rPr>
        <w:t>在满足市民便捷出行的基础上，符合城市市容秩序管理要求，总体实行</w:t>
      </w:r>
      <w:r>
        <w:rPr>
          <w:rFonts w:hint="eastAsia" w:ascii="方正仿宋_GBK" w:hAnsi="方正仿宋_GBK" w:eastAsia="方正仿宋_GBK" w:cs="方正仿宋_GBK"/>
          <w:sz w:val="32"/>
          <w:szCs w:val="32"/>
        </w:rPr>
        <w:t>总量控制、动态配额、科技赋能、安全优先、多方共治</w:t>
      </w:r>
      <w:r>
        <w:rPr>
          <w:rFonts w:hint="eastAsia" w:ascii="方正仿宋_GBK" w:hAnsi="方正仿宋_GBK" w:eastAsia="方正仿宋_GBK" w:cs="方正仿宋_GBK"/>
          <w:sz w:val="32"/>
          <w:szCs w:val="32"/>
          <w:lang w:val="en-US" w:eastAsia="zh-CN"/>
        </w:rPr>
        <w:t>原则</w:t>
      </w:r>
      <w:r>
        <w:rPr>
          <w:rFonts w:hint="eastAsia" w:ascii="方正仿宋_GBK" w:hAnsi="方正仿宋_GBK" w:eastAsia="方正仿宋_GBK" w:cs="方正仿宋_GBK"/>
          <w:sz w:val="32"/>
          <w:szCs w:val="32"/>
        </w:rPr>
        <w:t>。</w:t>
      </w:r>
    </w:p>
    <w:p w14:paraId="5740927D">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新宋体" w:hAnsi="新宋体" w:eastAsia="新宋体" w:cs="新宋体"/>
          <w:sz w:val="32"/>
          <w:szCs w:val="32"/>
        </w:rPr>
      </w:pPr>
    </w:p>
    <w:p w14:paraId="268B3B49">
      <w:pPr>
        <w:keepNext w:val="0"/>
        <w:keepLines w:val="0"/>
        <w:pageBreakBefore w:val="0"/>
        <w:widowControl w:val="0"/>
        <w:numPr>
          <w:ilvl w:val="0"/>
          <w:numId w:val="0"/>
        </w:numPr>
        <w:kinsoku/>
        <w:wordWrap/>
        <w:overflowPunct/>
        <w:topLinePunct w:val="0"/>
        <w:autoSpaceDE/>
        <w:autoSpaceDN/>
        <w:bidi w:val="0"/>
        <w:adjustRightInd/>
        <w:snapToGrid/>
        <w:spacing w:line="560" w:lineRule="exact"/>
        <w:jc w:val="center"/>
        <w:textAlignment w:val="auto"/>
        <w:rPr>
          <w:rFonts w:hint="eastAsia" w:ascii="方正黑体_GBK" w:hAnsi="方正黑体_GBK" w:eastAsia="方正黑体_GBK" w:cs="方正黑体_GBK"/>
          <w:sz w:val="32"/>
          <w:szCs w:val="32"/>
          <w:lang w:eastAsia="zh-CN"/>
        </w:rPr>
      </w:pPr>
      <w:r>
        <w:rPr>
          <w:rFonts w:hint="eastAsia" w:ascii="方正黑体_GBK" w:hAnsi="方正黑体_GBK" w:eastAsia="方正黑体_GBK" w:cs="方正黑体_GBK"/>
          <w:b/>
          <w:bCs/>
          <w:sz w:val="32"/>
          <w:szCs w:val="32"/>
          <w:lang w:val="en-US" w:eastAsia="zh-CN"/>
        </w:rPr>
        <w:t>第二章 准入机制</w:t>
      </w:r>
    </w:p>
    <w:p w14:paraId="14815986">
      <w:pPr>
        <w:pStyle w:val="2"/>
        <w:rPr>
          <w:rFonts w:hint="eastAsia"/>
          <w:sz w:val="32"/>
          <w:szCs w:val="32"/>
          <w:lang w:eastAsia="zh-CN"/>
        </w:rPr>
      </w:pPr>
    </w:p>
    <w:p w14:paraId="6CBB8FD0">
      <w:pPr>
        <w:keepNext w:val="0"/>
        <w:keepLines w:val="0"/>
        <w:pageBreakBefore w:val="0"/>
        <w:widowControl w:val="0"/>
        <w:kinsoku/>
        <w:wordWrap/>
        <w:overflowPunct/>
        <w:topLinePunct w:val="0"/>
        <w:autoSpaceDE/>
        <w:autoSpaceDN/>
        <w:bidi w:val="0"/>
        <w:adjustRightInd/>
        <w:snapToGrid/>
        <w:spacing w:line="560" w:lineRule="exact"/>
        <w:ind w:firstLine="643" w:firstLineChars="200"/>
        <w:jc w:val="left"/>
        <w:textAlignment w:val="auto"/>
        <w:rPr>
          <w:rFonts w:hint="eastAsia" w:ascii="方正黑体_GBK" w:hAnsi="方正黑体_GBK" w:eastAsia="方正黑体_GBK" w:cs="方正黑体_GBK"/>
          <w:sz w:val="32"/>
          <w:szCs w:val="32"/>
          <w:lang w:val="en-US" w:eastAsia="zh-CN"/>
        </w:rPr>
      </w:pPr>
      <w:r>
        <w:rPr>
          <w:rFonts w:hint="eastAsia" w:ascii="方正黑体_GBK" w:hAnsi="方正黑体_GBK" w:eastAsia="方正黑体_GBK" w:cs="方正黑体_GBK"/>
          <w:b/>
          <w:bCs/>
          <w:sz w:val="32"/>
          <w:szCs w:val="32"/>
          <w:lang w:val="en-US" w:eastAsia="zh-CN"/>
        </w:rPr>
        <w:t>第四条</w:t>
      </w:r>
      <w:r>
        <w:rPr>
          <w:rFonts w:hint="eastAsia" w:ascii="方正黑体_GBK" w:hAnsi="方正黑体_GBK" w:eastAsia="方正黑体_GBK" w:cs="方正黑体_GBK"/>
          <w:sz w:val="32"/>
          <w:szCs w:val="32"/>
          <w:lang w:val="en-US" w:eastAsia="zh-CN"/>
        </w:rPr>
        <w:t xml:space="preserve"> </w:t>
      </w:r>
      <w:r>
        <w:rPr>
          <w:rFonts w:hint="eastAsia" w:ascii="方正黑体_GBK" w:hAnsi="方正黑体_GBK" w:eastAsia="方正黑体_GBK" w:cs="方正黑体_GBK"/>
          <w:sz w:val="32"/>
          <w:szCs w:val="32"/>
        </w:rPr>
        <w:t>备案</w:t>
      </w:r>
      <w:r>
        <w:rPr>
          <w:rFonts w:hint="eastAsia" w:ascii="方正黑体_GBK" w:hAnsi="方正黑体_GBK" w:eastAsia="方正黑体_GBK" w:cs="方正黑体_GBK"/>
          <w:sz w:val="32"/>
          <w:szCs w:val="32"/>
          <w:lang w:val="en-US" w:eastAsia="zh-CN"/>
        </w:rPr>
        <w:t>与审查流程</w:t>
      </w:r>
    </w:p>
    <w:p w14:paraId="482ED257">
      <w:pPr>
        <w:keepNext w:val="0"/>
        <w:keepLines w:val="0"/>
        <w:pageBreakBefore w:val="0"/>
        <w:widowControl w:val="0"/>
        <w:kinsoku/>
        <w:wordWrap/>
        <w:overflowPunct/>
        <w:topLinePunct w:val="0"/>
        <w:autoSpaceDE/>
        <w:autoSpaceDN/>
        <w:bidi w:val="0"/>
        <w:adjustRightInd/>
        <w:snapToGrid/>
        <w:spacing w:line="560" w:lineRule="exact"/>
        <w:ind w:firstLine="643" w:firstLineChars="200"/>
        <w:jc w:val="left"/>
        <w:textAlignment w:val="auto"/>
        <w:rPr>
          <w:rFonts w:hint="eastAsia" w:ascii="方正仿宋_GBK" w:hAnsi="方正仿宋_GBK" w:eastAsia="方正仿宋_GBK" w:cs="方正仿宋_GBK"/>
          <w:sz w:val="32"/>
          <w:szCs w:val="32"/>
        </w:rPr>
      </w:pPr>
      <w:r>
        <w:rPr>
          <w:rFonts w:hint="eastAsia" w:ascii="新宋体" w:hAnsi="新宋体" w:eastAsia="新宋体" w:cs="新宋体"/>
          <w:b/>
          <w:bCs/>
          <w:sz w:val="32"/>
          <w:szCs w:val="32"/>
          <w:lang w:val="en-US" w:eastAsia="zh-CN"/>
        </w:rPr>
        <w:t>1、</w:t>
      </w:r>
      <w:r>
        <w:rPr>
          <w:rFonts w:hint="eastAsia" w:ascii="新宋体" w:hAnsi="新宋体" w:eastAsia="新宋体" w:cs="新宋体"/>
          <w:b/>
          <w:bCs/>
          <w:sz w:val="32"/>
          <w:szCs w:val="32"/>
        </w:rPr>
        <w:t>注册与联审</w:t>
      </w:r>
      <w:r>
        <w:rPr>
          <w:rFonts w:hint="eastAsia" w:ascii="新宋体" w:hAnsi="新宋体" w:eastAsia="新宋体" w:cs="新宋体"/>
          <w:b/>
          <w:bCs/>
          <w:sz w:val="32"/>
          <w:szCs w:val="32"/>
          <w:lang w:eastAsia="zh-CN"/>
        </w:rPr>
        <w:t>。</w:t>
      </w:r>
      <w:r>
        <w:rPr>
          <w:rFonts w:hint="eastAsia" w:ascii="方正仿宋_GBK" w:hAnsi="方正仿宋_GBK" w:eastAsia="方正仿宋_GBK" w:cs="方正仿宋_GBK"/>
          <w:sz w:val="32"/>
          <w:szCs w:val="32"/>
          <w:lang w:val="en-US" w:eastAsia="zh-CN"/>
        </w:rPr>
        <w:t>企业</w:t>
      </w:r>
      <w:r>
        <w:rPr>
          <w:rFonts w:hint="eastAsia" w:ascii="方正仿宋_GBK" w:hAnsi="方正仿宋_GBK" w:eastAsia="方正仿宋_GBK" w:cs="方正仿宋_GBK"/>
          <w:sz w:val="32"/>
          <w:szCs w:val="32"/>
        </w:rPr>
        <w:t>须</w:t>
      </w:r>
      <w:r>
        <w:rPr>
          <w:rFonts w:hint="eastAsia" w:ascii="方正仿宋_GBK" w:hAnsi="方正仿宋_GBK" w:eastAsia="方正仿宋_GBK" w:cs="方正仿宋_GBK"/>
          <w:sz w:val="32"/>
          <w:szCs w:val="32"/>
          <w:lang w:val="en-US" w:eastAsia="zh-CN"/>
        </w:rPr>
        <w:t>在本市设立独立法人或分支机构，具备线上线下服务能力，</w:t>
      </w:r>
      <w:r>
        <w:rPr>
          <w:rFonts w:hint="eastAsia" w:ascii="方正仿宋_GBK" w:hAnsi="方正仿宋_GBK" w:eastAsia="方正仿宋_GBK" w:cs="方正仿宋_GBK"/>
          <w:sz w:val="32"/>
          <w:szCs w:val="32"/>
        </w:rPr>
        <w:t>须在喀什市注册实体，并向</w:t>
      </w:r>
      <w:r>
        <w:rPr>
          <w:rFonts w:hint="eastAsia" w:ascii="方正仿宋_GBK" w:hAnsi="方正仿宋_GBK" w:eastAsia="方正仿宋_GBK" w:cs="方正仿宋_GBK"/>
          <w:sz w:val="32"/>
          <w:szCs w:val="32"/>
          <w:lang w:val="en-US" w:eastAsia="zh-CN"/>
        </w:rPr>
        <w:t>喀什市交通运输局</w:t>
      </w:r>
      <w:r>
        <w:rPr>
          <w:rFonts w:hint="eastAsia" w:ascii="方正仿宋_GBK" w:hAnsi="方正仿宋_GBK" w:eastAsia="方正仿宋_GBK" w:cs="方正仿宋_GBK"/>
          <w:sz w:val="32"/>
          <w:szCs w:val="32"/>
        </w:rPr>
        <w:t>提交</w:t>
      </w:r>
      <w:r>
        <w:rPr>
          <w:rFonts w:hint="eastAsia" w:ascii="方正仿宋_GBK" w:hAnsi="方正仿宋_GBK" w:eastAsia="方正仿宋_GBK" w:cs="方正仿宋_GBK"/>
          <w:sz w:val="32"/>
          <w:szCs w:val="32"/>
          <w:lang w:val="en-US" w:eastAsia="zh-CN"/>
        </w:rPr>
        <w:t>相关</w:t>
      </w:r>
      <w:r>
        <w:rPr>
          <w:rFonts w:hint="eastAsia" w:ascii="方正仿宋_GBK" w:hAnsi="方正仿宋_GBK" w:eastAsia="方正仿宋_GBK" w:cs="方正仿宋_GBK"/>
          <w:sz w:val="32"/>
          <w:szCs w:val="32"/>
        </w:rPr>
        <w:t>运营资质证明，由</w:t>
      </w:r>
      <w:r>
        <w:rPr>
          <w:rFonts w:hint="eastAsia" w:ascii="方正仿宋_GBK" w:hAnsi="方正仿宋_GBK" w:eastAsia="方正仿宋_GBK" w:cs="方正仿宋_GBK"/>
          <w:sz w:val="32"/>
          <w:szCs w:val="32"/>
          <w:lang w:val="en-US" w:eastAsia="zh-CN"/>
        </w:rPr>
        <w:t>喀什市城市管理局</w:t>
      </w:r>
      <w:r>
        <w:rPr>
          <w:rFonts w:hint="eastAsia" w:ascii="方正仿宋_GBK" w:hAnsi="方正仿宋_GBK" w:eastAsia="方正仿宋_GBK" w:cs="方正仿宋_GBK"/>
          <w:sz w:val="32"/>
          <w:szCs w:val="32"/>
        </w:rPr>
        <w:t>牵头</w:t>
      </w:r>
      <w:r>
        <w:rPr>
          <w:rFonts w:hint="eastAsia" w:ascii="方正仿宋_GBK" w:hAnsi="方正仿宋_GBK" w:eastAsia="方正仿宋_GBK" w:cs="方正仿宋_GBK"/>
          <w:sz w:val="32"/>
          <w:szCs w:val="32"/>
          <w:lang w:eastAsia="zh-CN"/>
        </w:rPr>
        <w:t>，</w:t>
      </w:r>
      <w:r>
        <w:rPr>
          <w:rFonts w:hint="eastAsia" w:ascii="方正仿宋_GBK" w:hAnsi="方正仿宋_GBK" w:eastAsia="方正仿宋_GBK" w:cs="方正仿宋_GBK"/>
          <w:sz w:val="32"/>
          <w:szCs w:val="32"/>
        </w:rPr>
        <w:t>联合喀什市</w:t>
      </w:r>
      <w:r>
        <w:rPr>
          <w:rFonts w:hint="eastAsia" w:ascii="方正仿宋_GBK" w:hAnsi="方正仿宋_GBK" w:eastAsia="方正仿宋_GBK" w:cs="方正仿宋_GBK"/>
          <w:sz w:val="32"/>
          <w:szCs w:val="32"/>
          <w:lang w:val="en-US" w:eastAsia="zh-CN"/>
        </w:rPr>
        <w:t>商务</w:t>
      </w:r>
      <w:r>
        <w:rPr>
          <w:rFonts w:hint="eastAsia" w:ascii="方正仿宋_GBK" w:hAnsi="方正仿宋_GBK" w:eastAsia="方正仿宋_GBK" w:cs="方正仿宋_GBK"/>
          <w:sz w:val="32"/>
          <w:szCs w:val="32"/>
        </w:rPr>
        <w:t>局、</w:t>
      </w:r>
      <w:r>
        <w:rPr>
          <w:rFonts w:hint="eastAsia" w:ascii="方正仿宋_GBK" w:hAnsi="方正仿宋_GBK" w:eastAsia="方正仿宋_GBK" w:cs="方正仿宋_GBK"/>
          <w:sz w:val="32"/>
          <w:szCs w:val="32"/>
          <w:lang w:val="en-US" w:eastAsia="zh-CN"/>
        </w:rPr>
        <w:t>喀什市</w:t>
      </w:r>
      <w:r>
        <w:rPr>
          <w:rFonts w:hint="eastAsia" w:ascii="方正仿宋_GBK" w:hAnsi="方正仿宋_GBK" w:eastAsia="方正仿宋_GBK" w:cs="方正仿宋_GBK"/>
          <w:sz w:val="32"/>
          <w:szCs w:val="32"/>
        </w:rPr>
        <w:t>应急管理局、</w:t>
      </w:r>
      <w:r>
        <w:rPr>
          <w:rFonts w:hint="eastAsia" w:ascii="方正仿宋_GBK" w:hAnsi="方正仿宋_GBK" w:eastAsia="方正仿宋_GBK" w:cs="方正仿宋_GBK"/>
          <w:sz w:val="32"/>
          <w:szCs w:val="32"/>
          <w:lang w:val="en-US" w:eastAsia="zh-CN"/>
        </w:rPr>
        <w:t>喀什市交通运输</w:t>
      </w:r>
      <w:r>
        <w:rPr>
          <w:rFonts w:hint="eastAsia" w:ascii="方正仿宋_GBK" w:hAnsi="方正仿宋_GBK" w:eastAsia="方正仿宋_GBK" w:cs="方正仿宋_GBK"/>
          <w:sz w:val="32"/>
          <w:szCs w:val="32"/>
        </w:rPr>
        <w:t>局</w:t>
      </w:r>
      <w:r>
        <w:rPr>
          <w:rFonts w:hint="eastAsia" w:ascii="方正仿宋_GBK" w:hAnsi="方正仿宋_GBK" w:eastAsia="方正仿宋_GBK" w:cs="方正仿宋_GBK"/>
          <w:sz w:val="32"/>
          <w:szCs w:val="32"/>
          <w:lang w:eastAsia="zh-CN"/>
        </w:rPr>
        <w:t>、</w:t>
      </w:r>
      <w:r>
        <w:rPr>
          <w:rFonts w:hint="eastAsia" w:ascii="方正仿宋_GBK" w:hAnsi="方正仿宋_GBK" w:eastAsia="方正仿宋_GBK" w:cs="方正仿宋_GBK"/>
          <w:sz w:val="32"/>
          <w:szCs w:val="32"/>
          <w:lang w:val="en-US" w:eastAsia="zh-CN"/>
        </w:rPr>
        <w:t>喀什市市场监督管理局、喀什市公安局交通管理大队</w:t>
      </w:r>
      <w:r>
        <w:rPr>
          <w:rFonts w:hint="eastAsia" w:ascii="方正仿宋_GBK" w:hAnsi="方正仿宋_GBK" w:eastAsia="方正仿宋_GBK" w:cs="方正仿宋_GBK"/>
          <w:sz w:val="32"/>
          <w:szCs w:val="32"/>
        </w:rPr>
        <w:t>进行联</w:t>
      </w:r>
      <w:r>
        <w:rPr>
          <w:rFonts w:hint="eastAsia" w:ascii="方正仿宋_GBK" w:hAnsi="方正仿宋_GBK" w:eastAsia="方正仿宋_GBK" w:cs="方正仿宋_GBK"/>
          <w:sz w:val="32"/>
          <w:szCs w:val="32"/>
          <w:lang w:val="en-US" w:eastAsia="zh-CN"/>
        </w:rPr>
        <w:t>合</w:t>
      </w:r>
      <w:r>
        <w:rPr>
          <w:rFonts w:hint="eastAsia" w:ascii="方正仿宋_GBK" w:hAnsi="方正仿宋_GBK" w:eastAsia="方正仿宋_GBK" w:cs="方正仿宋_GBK"/>
          <w:sz w:val="32"/>
          <w:szCs w:val="32"/>
        </w:rPr>
        <w:t>会审</w:t>
      </w:r>
      <w:r>
        <w:rPr>
          <w:rFonts w:hint="eastAsia" w:ascii="方正仿宋_GBK" w:hAnsi="方正仿宋_GBK" w:eastAsia="方正仿宋_GBK" w:cs="方正仿宋_GBK"/>
          <w:sz w:val="32"/>
          <w:szCs w:val="32"/>
          <w:lang w:eastAsia="zh-CN"/>
        </w:rPr>
        <w:t>，</w:t>
      </w:r>
      <w:r>
        <w:rPr>
          <w:rFonts w:hint="eastAsia" w:ascii="方正仿宋_GBK" w:hAnsi="方正仿宋_GBK" w:eastAsia="方正仿宋_GBK" w:cs="方正仿宋_GBK"/>
          <w:sz w:val="32"/>
          <w:szCs w:val="32"/>
          <w:lang w:val="en-US" w:eastAsia="zh-CN"/>
        </w:rPr>
        <w:t>会审通过后方可获得经营资质并纳入</w:t>
      </w:r>
      <w:r>
        <w:rPr>
          <w:rFonts w:hint="eastAsia" w:ascii="方正仿宋_GBK" w:hAnsi="方正仿宋_GBK" w:eastAsia="方正仿宋_GBK" w:cs="方正仿宋_GBK"/>
          <w:sz w:val="32"/>
          <w:szCs w:val="32"/>
        </w:rPr>
        <w:t>配额分配名单。</w:t>
      </w:r>
    </w:p>
    <w:p w14:paraId="13098B77">
      <w:pPr>
        <w:keepNext w:val="0"/>
        <w:keepLines w:val="0"/>
        <w:pageBreakBefore w:val="0"/>
        <w:widowControl w:val="0"/>
        <w:kinsoku/>
        <w:wordWrap/>
        <w:overflowPunct/>
        <w:topLinePunct w:val="0"/>
        <w:autoSpaceDE/>
        <w:autoSpaceDN/>
        <w:bidi w:val="0"/>
        <w:adjustRightInd/>
        <w:snapToGrid/>
        <w:spacing w:line="560" w:lineRule="exact"/>
        <w:ind w:firstLine="643" w:firstLineChars="200"/>
        <w:jc w:val="left"/>
        <w:textAlignment w:val="auto"/>
        <w:rPr>
          <w:rFonts w:hint="eastAsia" w:ascii="方正仿宋_GBK" w:hAnsi="方正仿宋_GBK" w:eastAsia="方正仿宋_GBK" w:cs="方正仿宋_GBK"/>
          <w:sz w:val="32"/>
          <w:szCs w:val="32"/>
        </w:rPr>
      </w:pPr>
      <w:r>
        <w:rPr>
          <w:rFonts w:hint="eastAsia" w:ascii="方正黑体_GBK" w:hAnsi="方正黑体_GBK" w:eastAsia="方正黑体_GBK" w:cs="方正黑体_GBK"/>
          <w:b/>
          <w:bCs/>
          <w:sz w:val="32"/>
          <w:szCs w:val="32"/>
          <w:lang w:val="en-US" w:eastAsia="zh-CN"/>
        </w:rPr>
        <w:t>2、</w:t>
      </w:r>
      <w:r>
        <w:rPr>
          <w:rFonts w:hint="eastAsia" w:ascii="方正黑体_GBK" w:hAnsi="方正黑体_GBK" w:eastAsia="方正黑体_GBK" w:cs="方正黑体_GBK"/>
          <w:b/>
          <w:bCs/>
          <w:sz w:val="32"/>
          <w:szCs w:val="32"/>
        </w:rPr>
        <w:t>技术安全审查</w:t>
      </w:r>
      <w:r>
        <w:rPr>
          <w:rFonts w:hint="eastAsia" w:ascii="方正黑体_GBK" w:hAnsi="方正黑体_GBK" w:eastAsia="方正黑体_GBK" w:cs="方正黑体_GBK"/>
          <w:b/>
          <w:bCs/>
          <w:sz w:val="32"/>
          <w:szCs w:val="32"/>
          <w:lang w:eastAsia="zh-CN"/>
        </w:rPr>
        <w:t>。</w:t>
      </w:r>
      <w:r>
        <w:rPr>
          <w:rFonts w:hint="eastAsia" w:ascii="方正仿宋_GBK" w:hAnsi="方正仿宋_GBK" w:eastAsia="方正仿宋_GBK" w:cs="方正仿宋_GBK"/>
          <w:sz w:val="32"/>
          <w:szCs w:val="32"/>
        </w:rPr>
        <w:t>企业应履行安全生产主体责任，在车辆投放市场前，必须选择具备市场监管部门核发《检验检测机构资质认定证书》（CMA）的第三方机构，对车辆安全技术性能进行专项检测，确保符合国家强制性标准要求</w:t>
      </w:r>
      <w:r>
        <w:rPr>
          <w:rFonts w:hint="eastAsia" w:ascii="方正仿宋_GBK" w:hAnsi="方正仿宋_GBK" w:eastAsia="方正仿宋_GBK" w:cs="方正仿宋_GBK"/>
          <w:sz w:val="32"/>
          <w:szCs w:val="32"/>
          <w:lang w:eastAsia="zh-CN"/>
        </w:rPr>
        <w:t>；</w:t>
      </w:r>
      <w:r>
        <w:rPr>
          <w:rFonts w:hint="eastAsia" w:ascii="方正仿宋_GBK" w:hAnsi="方正仿宋_GBK" w:eastAsia="方正仿宋_GBK" w:cs="方正仿宋_GBK"/>
          <w:sz w:val="32"/>
          <w:szCs w:val="32"/>
        </w:rPr>
        <w:t>数据实时接入</w:t>
      </w:r>
      <w:r>
        <w:rPr>
          <w:rFonts w:hint="eastAsia" w:ascii="方正仿宋_GBK" w:hAnsi="方正仿宋_GBK" w:eastAsia="方正仿宋_GBK" w:cs="方正仿宋_GBK"/>
          <w:sz w:val="32"/>
          <w:szCs w:val="32"/>
          <w:lang w:val="en-US" w:eastAsia="zh-CN"/>
        </w:rPr>
        <w:t>智慧</w:t>
      </w:r>
      <w:r>
        <w:rPr>
          <w:rFonts w:hint="eastAsia" w:ascii="方正仿宋_GBK" w:hAnsi="方正仿宋_GBK" w:eastAsia="方正仿宋_GBK" w:cs="方正仿宋_GBK"/>
          <w:sz w:val="32"/>
          <w:szCs w:val="32"/>
        </w:rPr>
        <w:t>监管平台。</w:t>
      </w:r>
    </w:p>
    <w:p w14:paraId="77D93516">
      <w:pPr>
        <w:pStyle w:val="2"/>
        <w:ind w:left="319" w:leftChars="152" w:firstLine="321" w:firstLineChars="100"/>
        <w:rPr>
          <w:rFonts w:hint="eastAsia" w:ascii="方正黑体_GBK" w:hAnsi="方正黑体_GBK" w:eastAsia="方正黑体_GBK" w:cs="方正黑体_GBK"/>
          <w:b/>
          <w:bCs/>
          <w:kern w:val="2"/>
          <w:sz w:val="32"/>
          <w:szCs w:val="32"/>
          <w:lang w:val="en-US" w:eastAsia="zh-CN" w:bidi="ar-SA"/>
        </w:rPr>
      </w:pPr>
      <w:r>
        <w:rPr>
          <w:rFonts w:hint="eastAsia" w:ascii="方正黑体_GBK" w:hAnsi="方正黑体_GBK" w:eastAsia="方正黑体_GBK" w:cs="方正黑体_GBK"/>
          <w:b/>
          <w:bCs/>
          <w:kern w:val="2"/>
          <w:sz w:val="32"/>
          <w:szCs w:val="32"/>
          <w:lang w:val="en-US" w:eastAsia="zh-CN" w:bidi="ar-SA"/>
        </w:rPr>
        <w:t>3、资本资质审查</w:t>
      </w:r>
    </w:p>
    <w:p w14:paraId="69C294EF">
      <w:pPr>
        <w:pStyle w:val="2"/>
        <w:ind w:left="0" w:leftChars="0" w:firstLine="640" w:firstLineChars="200"/>
        <w:rPr>
          <w:rFonts w:hint="eastAsia" w:ascii="方正仿宋_GBK" w:hAnsi="方正仿宋_GBK" w:eastAsia="方正仿宋_GBK" w:cs="方正仿宋_GBK"/>
          <w:kern w:val="2"/>
          <w:sz w:val="32"/>
          <w:szCs w:val="32"/>
          <w:lang w:val="en-US" w:eastAsia="zh-CN" w:bidi="ar-SA"/>
        </w:rPr>
      </w:pPr>
      <w:r>
        <w:rPr>
          <w:rFonts w:hint="eastAsia" w:ascii="方正仿宋_GBK" w:hAnsi="方正仿宋_GBK" w:eastAsia="方正仿宋_GBK" w:cs="方正仿宋_GBK"/>
          <w:kern w:val="2"/>
          <w:sz w:val="32"/>
          <w:szCs w:val="32"/>
          <w:lang w:val="en-US" w:eastAsia="zh-CN" w:bidi="ar-SA"/>
        </w:rPr>
        <w:t>（1）企业应在本市注册独立法人或分支机构，实缴注册资本不低于人民币3000万元，外资不低于500万美元；</w:t>
      </w:r>
      <w:r>
        <w:rPr>
          <w:rFonts w:hint="eastAsia" w:ascii="方正仿宋_GBK" w:hAnsi="方正仿宋_GBK" w:eastAsia="方正仿宋_GBK" w:cs="方正仿宋_GBK"/>
          <w:kern w:val="2"/>
          <w:sz w:val="32"/>
          <w:szCs w:val="32"/>
          <w:lang w:val="en-US" w:eastAsia="zh-CN" w:bidi="ar-SA"/>
        </w:rPr>
        <w:br w:type="textWrapping"/>
      </w:r>
      <w:r>
        <w:rPr>
          <w:rFonts w:hint="eastAsia" w:ascii="方正仿宋_GBK" w:hAnsi="方正仿宋_GBK" w:eastAsia="方正仿宋_GBK" w:cs="方正仿宋_GBK"/>
          <w:kern w:val="2"/>
          <w:sz w:val="32"/>
          <w:szCs w:val="32"/>
          <w:lang w:val="en-US" w:eastAsia="zh-CN" w:bidi="ar-SA"/>
        </w:rPr>
        <w:t xml:space="preserve">    （2）须设立专项运营账户并预存不低于年度配额车辆总价值20%的履约保证金；</w:t>
      </w:r>
      <w:r>
        <w:rPr>
          <w:rFonts w:hint="eastAsia" w:ascii="方正仿宋_GBK" w:hAnsi="方正仿宋_GBK" w:eastAsia="方正仿宋_GBK" w:cs="方正仿宋_GBK"/>
          <w:kern w:val="2"/>
          <w:sz w:val="32"/>
          <w:szCs w:val="32"/>
          <w:lang w:val="en-US" w:eastAsia="zh-CN" w:bidi="ar-SA"/>
        </w:rPr>
        <w:br w:type="textWrapping"/>
      </w:r>
      <w:r>
        <w:rPr>
          <w:rFonts w:hint="eastAsia" w:ascii="方正仿宋_GBK" w:hAnsi="方正仿宋_GBK" w:eastAsia="方正仿宋_GBK" w:cs="方正仿宋_GBK"/>
          <w:kern w:val="2"/>
          <w:sz w:val="32"/>
          <w:szCs w:val="32"/>
          <w:lang w:val="en-US" w:eastAsia="zh-CN" w:bidi="ar-SA"/>
        </w:rPr>
        <w:t xml:space="preserve">    （3）提供经审计的年度财务报表，证明具备持续三年以上运营的资金保障能力；</w:t>
      </w:r>
      <w:r>
        <w:rPr>
          <w:rFonts w:hint="eastAsia" w:ascii="方正仿宋_GBK" w:hAnsi="方正仿宋_GBK" w:eastAsia="方正仿宋_GBK" w:cs="方正仿宋_GBK"/>
          <w:kern w:val="2"/>
          <w:sz w:val="32"/>
          <w:szCs w:val="32"/>
          <w:lang w:val="en-US" w:eastAsia="zh-CN" w:bidi="ar-SA"/>
        </w:rPr>
        <w:br w:type="textWrapping"/>
      </w:r>
      <w:r>
        <w:rPr>
          <w:rFonts w:hint="eastAsia" w:ascii="方正仿宋_GBK" w:hAnsi="方正仿宋_GBK" w:eastAsia="方正仿宋_GBK" w:cs="方正仿宋_GBK"/>
          <w:kern w:val="2"/>
          <w:sz w:val="32"/>
          <w:szCs w:val="32"/>
          <w:lang w:val="en-US" w:eastAsia="zh-CN" w:bidi="ar-SA"/>
        </w:rPr>
        <w:t xml:space="preserve">    （4）外资企业应提供国家外汇管理部门备案的跨境投资证明文件。</w:t>
      </w:r>
    </w:p>
    <w:p w14:paraId="24498F4A">
      <w:pPr>
        <w:pStyle w:val="2"/>
        <w:ind w:left="0" w:leftChars="0" w:firstLine="640" w:firstLineChars="200"/>
        <w:rPr>
          <w:rFonts w:hint="eastAsia" w:ascii="方正仿宋_GBK" w:hAnsi="方正仿宋_GBK" w:eastAsia="方正仿宋_GBK" w:cs="方正仿宋_GBK"/>
          <w:kern w:val="2"/>
          <w:sz w:val="32"/>
          <w:szCs w:val="32"/>
          <w:lang w:val="en-US" w:eastAsia="zh-CN" w:bidi="ar-SA"/>
        </w:rPr>
      </w:pPr>
      <w:r>
        <w:rPr>
          <w:rFonts w:hint="eastAsia" w:ascii="方正仿宋_GBK" w:hAnsi="方正仿宋_GBK" w:eastAsia="方正仿宋_GBK" w:cs="方正仿宋_GBK"/>
          <w:kern w:val="2"/>
          <w:sz w:val="32"/>
          <w:szCs w:val="32"/>
          <w:lang w:val="en-US" w:eastAsia="zh-CN" w:bidi="ar-SA"/>
        </w:rPr>
        <w:t>（5）原有企业合同期满的，仍需在本市经营的，按新进企业入市标准及市场配额核定。</w:t>
      </w:r>
    </w:p>
    <w:p w14:paraId="03868505">
      <w:pPr>
        <w:pStyle w:val="2"/>
        <w:ind w:left="0" w:leftChars="0" w:firstLine="643" w:firstLineChars="200"/>
        <w:rPr>
          <w:rFonts w:hint="eastAsia" w:ascii="方正黑体_GBK" w:hAnsi="方正黑体_GBK" w:eastAsia="方正黑体_GBK" w:cs="方正黑体_GBK"/>
          <w:sz w:val="32"/>
          <w:szCs w:val="32"/>
        </w:rPr>
      </w:pPr>
      <w:r>
        <w:rPr>
          <w:rFonts w:hint="eastAsia" w:ascii="方正黑体_GBK" w:hAnsi="方正黑体_GBK" w:eastAsia="方正黑体_GBK" w:cs="方正黑体_GBK"/>
          <w:b/>
          <w:bCs/>
          <w:sz w:val="32"/>
          <w:szCs w:val="32"/>
          <w:lang w:val="en-US" w:eastAsia="zh-CN"/>
        </w:rPr>
        <w:t>第五条</w:t>
      </w:r>
      <w:r>
        <w:rPr>
          <w:rFonts w:hint="eastAsia" w:ascii="方正黑体_GBK" w:hAnsi="方正黑体_GBK" w:eastAsia="方正黑体_GBK" w:cs="方正黑体_GBK"/>
          <w:sz w:val="32"/>
          <w:szCs w:val="32"/>
          <w:lang w:val="en-US" w:eastAsia="zh-CN"/>
        </w:rPr>
        <w:t xml:space="preserve"> </w:t>
      </w:r>
      <w:r>
        <w:rPr>
          <w:rFonts w:hint="eastAsia" w:ascii="方正黑体_GBK" w:hAnsi="方正黑体_GBK" w:eastAsia="方正黑体_GBK" w:cs="方正黑体_GBK"/>
          <w:sz w:val="32"/>
          <w:szCs w:val="32"/>
        </w:rPr>
        <w:t>总量控制与配额分配</w:t>
      </w:r>
    </w:p>
    <w:p w14:paraId="2D431841">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方正仿宋_GBK" w:hAnsi="方正仿宋_GBK" w:eastAsia="方正仿宋_GBK" w:cs="方正仿宋_GBK"/>
          <w:b/>
          <w:bCs/>
          <w:sz w:val="32"/>
          <w:szCs w:val="32"/>
          <w:lang w:val="en-US" w:eastAsia="zh-CN"/>
        </w:rPr>
      </w:pPr>
      <w:r>
        <w:rPr>
          <w:rFonts w:hint="eastAsia" w:ascii="方正仿宋_GBK" w:hAnsi="方正仿宋_GBK" w:eastAsia="方正仿宋_GBK" w:cs="方正仿宋_GBK"/>
          <w:sz w:val="32"/>
          <w:szCs w:val="32"/>
          <w:lang w:val="en-US" w:eastAsia="zh-CN"/>
        </w:rPr>
        <w:t>喀什市每年依据</w:t>
      </w:r>
      <w:r>
        <w:rPr>
          <w:rFonts w:hint="eastAsia" w:ascii="方正仿宋_GBK" w:hAnsi="方正仿宋_GBK" w:eastAsia="方正仿宋_GBK" w:cs="方正仿宋_GBK"/>
          <w:sz w:val="32"/>
          <w:szCs w:val="32"/>
        </w:rPr>
        <w:t>城市承载能力（人口密度、道路资源、骑行需求等），核定全市</w:t>
      </w:r>
      <w:r>
        <w:rPr>
          <w:rFonts w:hint="eastAsia" w:ascii="方正仿宋_GBK" w:hAnsi="方正仿宋_GBK" w:eastAsia="方正仿宋_GBK" w:cs="方正仿宋_GBK"/>
          <w:sz w:val="32"/>
          <w:szCs w:val="32"/>
          <w:lang w:val="en-US" w:eastAsia="zh-CN"/>
        </w:rPr>
        <w:t>上限</w:t>
      </w:r>
      <w:r>
        <w:rPr>
          <w:rFonts w:hint="eastAsia" w:ascii="方正仿宋_GBK" w:hAnsi="方正仿宋_GBK" w:eastAsia="方正仿宋_GBK" w:cs="方正仿宋_GBK"/>
          <w:sz w:val="32"/>
          <w:szCs w:val="32"/>
        </w:rPr>
        <w:t>总量</w:t>
      </w:r>
      <w:r>
        <w:rPr>
          <w:rFonts w:hint="eastAsia" w:ascii="方正仿宋_GBK" w:hAnsi="方正仿宋_GBK" w:eastAsia="方正仿宋_GBK" w:cs="方正仿宋_GBK"/>
          <w:sz w:val="32"/>
          <w:szCs w:val="32"/>
          <w:lang w:eastAsia="zh-CN"/>
        </w:rPr>
        <w:t>，</w:t>
      </w:r>
      <w:r>
        <w:rPr>
          <w:rFonts w:hint="eastAsia" w:ascii="方正仿宋_GBK" w:hAnsi="方正仿宋_GBK" w:eastAsia="方正仿宋_GBK" w:cs="方正仿宋_GBK"/>
          <w:sz w:val="32"/>
          <w:szCs w:val="32"/>
          <w:lang w:val="en-US" w:eastAsia="zh-CN"/>
        </w:rPr>
        <w:t>每年第四季度发布下一年度的配额计划</w:t>
      </w:r>
      <w:r>
        <w:rPr>
          <w:rFonts w:hint="eastAsia" w:ascii="方正仿宋_GBK" w:hAnsi="方正仿宋_GBK" w:eastAsia="方正仿宋_GBK" w:cs="方正仿宋_GBK"/>
          <w:sz w:val="32"/>
          <w:szCs w:val="32"/>
        </w:rPr>
        <w:t>。</w:t>
      </w:r>
      <w:r>
        <w:rPr>
          <w:rFonts w:hint="eastAsia" w:ascii="方正仿宋_GBK" w:hAnsi="方正仿宋_GBK" w:eastAsia="方正仿宋_GBK" w:cs="方正仿宋_GBK"/>
          <w:sz w:val="32"/>
          <w:szCs w:val="32"/>
          <w:lang w:val="en-US" w:eastAsia="zh-CN"/>
        </w:rPr>
        <w:t xml:space="preserve"> </w:t>
      </w:r>
    </w:p>
    <w:p w14:paraId="2B41BF6A">
      <w:pPr>
        <w:keepNext w:val="0"/>
        <w:keepLines w:val="0"/>
        <w:pageBreakBefore w:val="0"/>
        <w:widowControl w:val="0"/>
        <w:kinsoku/>
        <w:wordWrap/>
        <w:overflowPunct/>
        <w:topLinePunct w:val="0"/>
        <w:autoSpaceDE/>
        <w:autoSpaceDN/>
        <w:bidi w:val="0"/>
        <w:adjustRightInd/>
        <w:snapToGrid/>
        <w:spacing w:line="560" w:lineRule="exact"/>
        <w:ind w:firstLine="643" w:firstLineChars="200"/>
        <w:jc w:val="left"/>
        <w:textAlignment w:val="auto"/>
        <w:rPr>
          <w:rFonts w:hint="eastAsia" w:ascii="方正黑体_GBK" w:hAnsi="方正黑体_GBK" w:eastAsia="方正黑体_GBK" w:cs="方正黑体_GBK"/>
          <w:sz w:val="32"/>
          <w:szCs w:val="32"/>
        </w:rPr>
      </w:pPr>
      <w:r>
        <w:rPr>
          <w:rFonts w:hint="eastAsia" w:ascii="方正黑体_GBK" w:hAnsi="方正黑体_GBK" w:eastAsia="方正黑体_GBK" w:cs="方正黑体_GBK"/>
          <w:b/>
          <w:bCs/>
          <w:sz w:val="32"/>
          <w:szCs w:val="32"/>
          <w:lang w:val="en-US" w:eastAsia="zh-CN"/>
        </w:rPr>
        <w:t>第六条</w:t>
      </w:r>
      <w:r>
        <w:rPr>
          <w:rFonts w:hint="eastAsia" w:ascii="方正黑体_GBK" w:hAnsi="方正黑体_GBK" w:eastAsia="方正黑体_GBK" w:cs="方正黑体_GBK"/>
          <w:sz w:val="32"/>
          <w:szCs w:val="32"/>
          <w:lang w:val="en-US" w:eastAsia="zh-CN"/>
        </w:rPr>
        <w:t xml:space="preserve"> </w:t>
      </w:r>
      <w:r>
        <w:rPr>
          <w:rFonts w:hint="eastAsia" w:ascii="方正黑体_GBK" w:hAnsi="方正黑体_GBK" w:eastAsia="方正黑体_GBK" w:cs="方正黑体_GBK"/>
          <w:sz w:val="32"/>
          <w:szCs w:val="32"/>
        </w:rPr>
        <w:t>运维管理</w:t>
      </w:r>
    </w:p>
    <w:p w14:paraId="0DC86D74">
      <w:pPr>
        <w:pStyle w:val="2"/>
        <w:ind w:firstLine="640" w:firstLineChars="200"/>
        <w:rPr>
          <w:rFonts w:hint="eastAsia" w:ascii="方正仿宋_GBK" w:hAnsi="方正仿宋_GBK" w:eastAsia="方正仿宋_GBK" w:cs="方正仿宋_GBK"/>
          <w:sz w:val="32"/>
          <w:szCs w:val="32"/>
          <w:lang w:val="en-US" w:eastAsia="zh-CN"/>
        </w:rPr>
      </w:pPr>
      <w:r>
        <w:rPr>
          <w:rFonts w:hint="eastAsia" w:ascii="方正仿宋_GBK" w:hAnsi="方正仿宋_GBK" w:eastAsia="方正仿宋_GBK" w:cs="方正仿宋_GBK"/>
          <w:sz w:val="32"/>
          <w:szCs w:val="32"/>
          <w:lang w:val="en-US" w:eastAsia="zh-CN"/>
        </w:rPr>
        <w:t>1、运营企业应当建立车辆停放规范管理制度，应当加强应急管理，制定重大活动、重要节假日应急保障预案等措施。</w:t>
      </w:r>
    </w:p>
    <w:p w14:paraId="1628D083">
      <w:pPr>
        <w:pStyle w:val="2"/>
        <w:ind w:firstLine="640" w:firstLineChars="200"/>
        <w:rPr>
          <w:rFonts w:hint="eastAsia" w:ascii="方正仿宋_GBK" w:hAnsi="方正仿宋_GBK" w:eastAsia="方正仿宋_GBK" w:cs="方正仿宋_GBK"/>
          <w:sz w:val="32"/>
          <w:szCs w:val="32"/>
          <w:lang w:val="en-US" w:eastAsia="zh-CN"/>
        </w:rPr>
      </w:pPr>
      <w:r>
        <w:rPr>
          <w:rFonts w:hint="eastAsia" w:ascii="方正仿宋_GBK" w:hAnsi="方正仿宋_GBK" w:eastAsia="方正仿宋_GBK" w:cs="方正仿宋_GBK"/>
          <w:sz w:val="32"/>
          <w:szCs w:val="32"/>
          <w:lang w:val="en-US" w:eastAsia="zh-CN"/>
        </w:rPr>
        <w:t>2、运营企业应服从相关行业管理部门管理，按照要求设置电子围挡，制定快速响应机制，车辆停放外观及色彩等符合市容市貌相关要求。</w:t>
      </w:r>
    </w:p>
    <w:p w14:paraId="360934FC">
      <w:pPr>
        <w:pStyle w:val="2"/>
        <w:ind w:firstLine="640" w:firstLineChars="200"/>
        <w:rPr>
          <w:rFonts w:hint="eastAsia" w:ascii="方正仿宋_GBK" w:hAnsi="方正仿宋_GBK" w:eastAsia="方正仿宋_GBK" w:cs="方正仿宋_GBK"/>
          <w:sz w:val="32"/>
          <w:szCs w:val="32"/>
          <w:lang w:val="en-US" w:eastAsia="zh-CN"/>
        </w:rPr>
      </w:pPr>
      <w:r>
        <w:rPr>
          <w:rFonts w:hint="eastAsia" w:ascii="方正仿宋_GBK" w:hAnsi="方正仿宋_GBK" w:eastAsia="方正仿宋_GBK" w:cs="方正仿宋_GBK"/>
          <w:sz w:val="32"/>
          <w:szCs w:val="32"/>
          <w:lang w:val="en-US" w:eastAsia="zh-CN"/>
        </w:rPr>
        <w:t>3、按照“谁经营、谁管理、谁盈利、谁负责”的原则设置服务监督机构，服务监督电话，组建专业运行管理队伍，足额配齐服务人员，提高车辆故障维修处理老化更新的速度，做好清洁维护，对车身乱贴小广告、牛皮鲜等问题及时清理，坚持一车一人，不得出现超载，企业安排专人巡查及时制止未成年骑行，不佩戴安全头盔骑行、逆行闯红灯等违法行为，企业在日常巡逻中发现违法人员，结合喀什市交警大队、城市管理局推送违法行为台账，对其账号采取禁骑等处罚措施，提倡广大市民安全骑行、文明出行。</w:t>
      </w:r>
    </w:p>
    <w:p w14:paraId="1D645135">
      <w:pPr>
        <w:keepNext w:val="0"/>
        <w:keepLines w:val="0"/>
        <w:pageBreakBefore w:val="0"/>
        <w:widowControl w:val="0"/>
        <w:kinsoku/>
        <w:wordWrap/>
        <w:overflowPunct/>
        <w:topLinePunct w:val="0"/>
        <w:autoSpaceDE/>
        <w:autoSpaceDN/>
        <w:bidi w:val="0"/>
        <w:adjustRightInd/>
        <w:snapToGrid/>
        <w:spacing w:line="560" w:lineRule="exact"/>
        <w:ind w:firstLine="643" w:firstLineChars="200"/>
        <w:jc w:val="left"/>
        <w:textAlignment w:val="auto"/>
        <w:rPr>
          <w:rFonts w:hint="eastAsia" w:ascii="方正黑体_GBK" w:hAnsi="方正黑体_GBK" w:eastAsia="方正黑体_GBK" w:cs="方正黑体_GBK"/>
          <w:sz w:val="32"/>
          <w:szCs w:val="32"/>
        </w:rPr>
      </w:pPr>
      <w:r>
        <w:rPr>
          <w:rFonts w:hint="eastAsia" w:ascii="方正黑体_GBK" w:hAnsi="方正黑体_GBK" w:eastAsia="方正黑体_GBK" w:cs="方正黑体_GBK"/>
          <w:b/>
          <w:bCs/>
          <w:sz w:val="32"/>
          <w:szCs w:val="32"/>
          <w:lang w:val="en-US" w:eastAsia="zh-CN"/>
        </w:rPr>
        <w:t>第七条</w:t>
      </w:r>
      <w:r>
        <w:rPr>
          <w:rFonts w:hint="eastAsia" w:ascii="方正黑体_GBK" w:hAnsi="方正黑体_GBK" w:eastAsia="方正黑体_GBK" w:cs="方正黑体_GBK"/>
          <w:sz w:val="32"/>
          <w:szCs w:val="32"/>
          <w:lang w:val="en-US" w:eastAsia="zh-CN"/>
        </w:rPr>
        <w:t xml:space="preserve"> </w:t>
      </w:r>
      <w:r>
        <w:rPr>
          <w:rFonts w:hint="eastAsia" w:ascii="方正黑体_GBK" w:hAnsi="方正黑体_GBK" w:eastAsia="方正黑体_GBK" w:cs="方正黑体_GBK"/>
          <w:sz w:val="32"/>
          <w:szCs w:val="32"/>
        </w:rPr>
        <w:t>用户权益保障</w:t>
      </w:r>
    </w:p>
    <w:p w14:paraId="1612069F">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方正仿宋_GBK" w:hAnsi="方正仿宋_GBK" w:eastAsia="方正仿宋_GBK" w:cs="方正仿宋_GBK"/>
          <w:sz w:val="32"/>
          <w:szCs w:val="32"/>
        </w:rPr>
      </w:pPr>
      <w:r>
        <w:rPr>
          <w:rFonts w:hint="eastAsia" w:ascii="方正仿宋_GBK" w:hAnsi="方正仿宋_GBK" w:eastAsia="方正仿宋_GBK" w:cs="方正仿宋_GBK"/>
          <w:sz w:val="32"/>
          <w:szCs w:val="32"/>
          <w:lang w:val="en-US" w:eastAsia="zh-CN"/>
        </w:rPr>
        <w:t>1、实行</w:t>
      </w:r>
      <w:r>
        <w:rPr>
          <w:rFonts w:hint="eastAsia" w:ascii="方正仿宋_GBK" w:hAnsi="方正仿宋_GBK" w:eastAsia="方正仿宋_GBK" w:cs="方正仿宋_GBK"/>
          <w:sz w:val="32"/>
          <w:szCs w:val="32"/>
        </w:rPr>
        <w:t>免押金骑行</w:t>
      </w:r>
      <w:r>
        <w:rPr>
          <w:rFonts w:hint="eastAsia" w:ascii="方正仿宋_GBK" w:hAnsi="方正仿宋_GBK" w:eastAsia="方正仿宋_GBK" w:cs="方正仿宋_GBK"/>
          <w:sz w:val="32"/>
          <w:szCs w:val="32"/>
          <w:lang w:val="en-US" w:eastAsia="zh-CN"/>
        </w:rPr>
        <w:t>或移动支付信用分机制</w:t>
      </w:r>
      <w:r>
        <w:rPr>
          <w:rFonts w:hint="eastAsia" w:ascii="方正仿宋_GBK" w:hAnsi="方正仿宋_GBK" w:eastAsia="方正仿宋_GBK" w:cs="方正仿宋_GBK"/>
          <w:sz w:val="32"/>
          <w:szCs w:val="32"/>
        </w:rPr>
        <w:t>。</w:t>
      </w:r>
    </w:p>
    <w:p w14:paraId="23FA3D39">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方正仿宋_GBK" w:hAnsi="方正仿宋_GBK" w:eastAsia="方正仿宋_GBK" w:cs="方正仿宋_GBK"/>
          <w:sz w:val="32"/>
          <w:szCs w:val="32"/>
        </w:rPr>
      </w:pPr>
      <w:r>
        <w:rPr>
          <w:rFonts w:hint="eastAsia" w:ascii="方正仿宋_GBK" w:hAnsi="方正仿宋_GBK" w:eastAsia="方正仿宋_GBK" w:cs="方正仿宋_GBK"/>
          <w:sz w:val="32"/>
          <w:szCs w:val="32"/>
          <w:lang w:val="en-US" w:eastAsia="zh-CN"/>
        </w:rPr>
        <w:t>2、企业应</w:t>
      </w:r>
      <w:r>
        <w:rPr>
          <w:rFonts w:hint="eastAsia" w:ascii="方正仿宋_GBK" w:hAnsi="方正仿宋_GBK" w:eastAsia="方正仿宋_GBK" w:cs="方正仿宋_GBK"/>
          <w:sz w:val="32"/>
          <w:szCs w:val="32"/>
        </w:rPr>
        <w:t>为用户购买骑行意外险</w:t>
      </w:r>
      <w:r>
        <w:rPr>
          <w:rFonts w:hint="eastAsia" w:ascii="方正仿宋_GBK" w:hAnsi="方正仿宋_GBK" w:eastAsia="方正仿宋_GBK" w:cs="方正仿宋_GBK"/>
          <w:sz w:val="32"/>
          <w:szCs w:val="32"/>
          <w:lang w:val="en-US" w:eastAsia="zh-CN"/>
        </w:rPr>
        <w:t>需覆盖人身保险和第三方责任险</w:t>
      </w:r>
      <w:r>
        <w:rPr>
          <w:rFonts w:hint="eastAsia" w:ascii="方正仿宋_GBK" w:hAnsi="方正仿宋_GBK" w:eastAsia="方正仿宋_GBK" w:cs="方正仿宋_GBK"/>
          <w:sz w:val="32"/>
          <w:szCs w:val="32"/>
        </w:rPr>
        <w:t>（保额≥50万元），公示保险条款。</w:t>
      </w:r>
    </w:p>
    <w:p w14:paraId="2C11D429">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新宋体" w:hAnsi="新宋体" w:eastAsia="新宋体" w:cs="新宋体"/>
          <w:sz w:val="32"/>
          <w:szCs w:val="32"/>
        </w:rPr>
      </w:pPr>
    </w:p>
    <w:p w14:paraId="07F6AF3D">
      <w:pPr>
        <w:pStyle w:val="2"/>
        <w:numPr>
          <w:ilvl w:val="0"/>
          <w:numId w:val="0"/>
        </w:numPr>
        <w:ind w:leftChars="100"/>
        <w:jc w:val="center"/>
        <w:rPr>
          <w:rFonts w:hint="eastAsia" w:ascii="方正黑体_GBK" w:hAnsi="方正黑体_GBK" w:eastAsia="方正黑体_GBK" w:cs="方正黑体_GBK"/>
          <w:sz w:val="32"/>
          <w:szCs w:val="32"/>
          <w:lang w:val="en-US" w:eastAsia="zh-CN"/>
        </w:rPr>
      </w:pPr>
      <w:r>
        <w:rPr>
          <w:rFonts w:hint="eastAsia" w:ascii="方正黑体_GBK" w:hAnsi="方正黑体_GBK" w:eastAsia="方正黑体_GBK" w:cs="方正黑体_GBK"/>
          <w:b/>
          <w:bCs/>
          <w:sz w:val="32"/>
          <w:szCs w:val="32"/>
          <w:lang w:val="en-US" w:eastAsia="zh-CN"/>
        </w:rPr>
        <w:t>第三章 考核机制</w:t>
      </w:r>
    </w:p>
    <w:p w14:paraId="47CA84CF">
      <w:pPr>
        <w:pStyle w:val="2"/>
        <w:rPr>
          <w:rFonts w:hint="eastAsia"/>
          <w:sz w:val="32"/>
          <w:szCs w:val="32"/>
          <w:lang w:val="en-US" w:eastAsia="zh-CN"/>
        </w:rPr>
      </w:pPr>
    </w:p>
    <w:p w14:paraId="55C8A110">
      <w:pPr>
        <w:keepNext w:val="0"/>
        <w:keepLines w:val="0"/>
        <w:pageBreakBefore w:val="0"/>
        <w:widowControl w:val="0"/>
        <w:kinsoku/>
        <w:wordWrap/>
        <w:overflowPunct/>
        <w:topLinePunct w:val="0"/>
        <w:autoSpaceDE/>
        <w:autoSpaceDN/>
        <w:bidi w:val="0"/>
        <w:adjustRightInd/>
        <w:snapToGrid/>
        <w:spacing w:line="560" w:lineRule="exact"/>
        <w:ind w:firstLine="643" w:firstLineChars="200"/>
        <w:jc w:val="left"/>
        <w:textAlignment w:val="auto"/>
        <w:rPr>
          <w:rFonts w:hint="eastAsia" w:ascii="方正黑体_GBK" w:hAnsi="方正黑体_GBK" w:eastAsia="方正黑体_GBK" w:cs="方正黑体_GBK"/>
          <w:sz w:val="32"/>
          <w:szCs w:val="32"/>
        </w:rPr>
      </w:pPr>
      <w:r>
        <w:rPr>
          <w:rFonts w:hint="eastAsia" w:ascii="方正黑体_GBK" w:hAnsi="方正黑体_GBK" w:eastAsia="方正黑体_GBK" w:cs="方正黑体_GBK"/>
          <w:b/>
          <w:bCs/>
          <w:sz w:val="32"/>
          <w:szCs w:val="32"/>
          <w:lang w:val="en-US" w:eastAsia="zh-CN"/>
        </w:rPr>
        <w:t>第八条</w:t>
      </w:r>
      <w:r>
        <w:rPr>
          <w:rFonts w:hint="eastAsia" w:ascii="方正黑体_GBK" w:hAnsi="方正黑体_GBK" w:eastAsia="方正黑体_GBK" w:cs="方正黑体_GBK"/>
          <w:sz w:val="32"/>
          <w:szCs w:val="32"/>
          <w:lang w:val="en-US" w:eastAsia="zh-CN"/>
        </w:rPr>
        <w:t xml:space="preserve"> </w:t>
      </w:r>
      <w:r>
        <w:rPr>
          <w:rFonts w:hint="eastAsia" w:ascii="方正黑体_GBK" w:hAnsi="方正黑体_GBK" w:eastAsia="方正黑体_GBK" w:cs="方正黑体_GBK"/>
          <w:b/>
          <w:bCs/>
          <w:sz w:val="32"/>
          <w:szCs w:val="32"/>
          <w:lang w:val="en-US" w:eastAsia="zh-CN"/>
        </w:rPr>
        <w:t>用户骑行与停放规范</w:t>
      </w:r>
    </w:p>
    <w:p w14:paraId="364D0E23">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方正仿宋_GBK" w:hAnsi="方正仿宋_GBK" w:eastAsia="方正仿宋_GBK" w:cs="方正仿宋_GBK"/>
          <w:sz w:val="32"/>
          <w:szCs w:val="32"/>
          <w:lang w:val="en-US" w:eastAsia="zh-CN"/>
        </w:rPr>
      </w:pPr>
      <w:r>
        <w:rPr>
          <w:rFonts w:hint="eastAsia" w:ascii="方正仿宋_GBK" w:hAnsi="方正仿宋_GBK" w:eastAsia="方正仿宋_GBK" w:cs="方正仿宋_GBK"/>
          <w:sz w:val="32"/>
          <w:szCs w:val="32"/>
        </w:rPr>
        <w:t>驾驶人须年满16周岁，实名认证并完成交通安全在线教育</w:t>
      </w:r>
      <w:r>
        <w:rPr>
          <w:rFonts w:hint="eastAsia" w:ascii="方正仿宋_GBK" w:hAnsi="方正仿宋_GBK" w:eastAsia="方正仿宋_GBK" w:cs="方正仿宋_GBK"/>
          <w:sz w:val="32"/>
          <w:szCs w:val="32"/>
          <w:lang w:eastAsia="zh-CN"/>
        </w:rPr>
        <w:t>，</w:t>
      </w:r>
      <w:r>
        <w:rPr>
          <w:rFonts w:hint="eastAsia" w:ascii="方正仿宋_GBK" w:hAnsi="方正仿宋_GBK" w:eastAsia="方正仿宋_GBK" w:cs="方正仿宋_GBK"/>
          <w:sz w:val="32"/>
          <w:szCs w:val="32"/>
          <w:lang w:val="en-US" w:eastAsia="zh-CN"/>
        </w:rPr>
        <w:t>严格遵守《</w:t>
      </w:r>
      <w:r>
        <w:rPr>
          <w:rFonts w:hint="eastAsia" w:ascii="方正仿宋_GBK" w:hAnsi="方正仿宋_GBK" w:eastAsia="方正仿宋_GBK" w:cs="方正仿宋_GBK"/>
          <w:sz w:val="32"/>
          <w:szCs w:val="32"/>
        </w:rPr>
        <w:t>中华人民共和国道路交通安全法</w:t>
      </w:r>
      <w:r>
        <w:rPr>
          <w:rFonts w:hint="eastAsia" w:ascii="方正仿宋_GBK" w:hAnsi="方正仿宋_GBK" w:eastAsia="方正仿宋_GBK" w:cs="方正仿宋_GBK"/>
          <w:sz w:val="32"/>
          <w:szCs w:val="32"/>
          <w:lang w:val="en-US" w:eastAsia="zh-CN"/>
        </w:rPr>
        <w:t>》等相关法律法规。</w:t>
      </w:r>
    </w:p>
    <w:p w14:paraId="79A89EF3">
      <w:pPr>
        <w:keepNext w:val="0"/>
        <w:keepLines w:val="0"/>
        <w:pageBreakBefore w:val="0"/>
        <w:widowControl w:val="0"/>
        <w:kinsoku/>
        <w:wordWrap/>
        <w:overflowPunct/>
        <w:topLinePunct w:val="0"/>
        <w:autoSpaceDE/>
        <w:autoSpaceDN/>
        <w:bidi w:val="0"/>
        <w:adjustRightInd/>
        <w:snapToGrid/>
        <w:spacing w:line="560" w:lineRule="exact"/>
        <w:ind w:firstLine="643" w:firstLineChars="200"/>
        <w:jc w:val="left"/>
        <w:textAlignment w:val="auto"/>
        <w:rPr>
          <w:rFonts w:hint="eastAsia" w:ascii="方正黑体_GBK" w:hAnsi="方正黑体_GBK" w:eastAsia="方正黑体_GBK" w:cs="方正黑体_GBK"/>
          <w:sz w:val="32"/>
          <w:szCs w:val="32"/>
        </w:rPr>
      </w:pPr>
      <w:r>
        <w:rPr>
          <w:rFonts w:hint="eastAsia" w:ascii="方正黑体_GBK" w:hAnsi="方正黑体_GBK" w:eastAsia="方正黑体_GBK" w:cs="方正黑体_GBK"/>
          <w:b/>
          <w:bCs/>
          <w:sz w:val="32"/>
          <w:szCs w:val="32"/>
          <w:lang w:val="en-US" w:eastAsia="zh-CN"/>
        </w:rPr>
        <w:t>第九条</w:t>
      </w:r>
      <w:r>
        <w:rPr>
          <w:rFonts w:hint="eastAsia" w:ascii="方正黑体_GBK" w:hAnsi="方正黑体_GBK" w:eastAsia="方正黑体_GBK" w:cs="方正黑体_GBK"/>
          <w:sz w:val="32"/>
          <w:szCs w:val="32"/>
          <w:lang w:val="en-US" w:eastAsia="zh-CN"/>
        </w:rPr>
        <w:t xml:space="preserve"> </w:t>
      </w:r>
      <w:r>
        <w:rPr>
          <w:rFonts w:hint="eastAsia" w:ascii="方正黑体_GBK" w:hAnsi="方正黑体_GBK" w:eastAsia="方正黑体_GBK" w:cs="方正黑体_GBK"/>
          <w:sz w:val="32"/>
          <w:szCs w:val="32"/>
        </w:rPr>
        <w:t>停放规则</w:t>
      </w:r>
    </w:p>
    <w:p w14:paraId="0953310B">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方正仿宋_GBK" w:hAnsi="方正仿宋_GBK" w:eastAsia="方正仿宋_GBK" w:cs="方正仿宋_GBK"/>
          <w:sz w:val="32"/>
          <w:szCs w:val="32"/>
        </w:rPr>
      </w:pPr>
      <w:r>
        <w:rPr>
          <w:rFonts w:hint="eastAsia" w:ascii="方正仿宋_GBK" w:hAnsi="方正仿宋_GBK" w:eastAsia="方正仿宋_GBK" w:cs="方正仿宋_GBK"/>
          <w:sz w:val="32"/>
          <w:szCs w:val="32"/>
          <w:highlight w:val="none"/>
        </w:rPr>
        <w:t>全市设立标准化停车点，</w:t>
      </w:r>
      <w:r>
        <w:rPr>
          <w:rFonts w:hint="eastAsia" w:ascii="方正仿宋_GBK" w:hAnsi="方正仿宋_GBK" w:eastAsia="方正仿宋_GBK" w:cs="方正仿宋_GBK"/>
          <w:sz w:val="32"/>
          <w:szCs w:val="32"/>
          <w:highlight w:val="none"/>
          <w:lang w:val="en-US" w:eastAsia="zh-CN"/>
        </w:rPr>
        <w:t>骑行人员须按要求将共享单车停放在规定区域，企业结合日常巡逻平台数据分析，发现其账户经常随意在规定的站点外停放车辆，可采取提高调度费或拉黑禁骑措施</w:t>
      </w:r>
      <w:r>
        <w:rPr>
          <w:rFonts w:hint="eastAsia" w:ascii="方正仿宋_GBK" w:hAnsi="方正仿宋_GBK" w:eastAsia="方正仿宋_GBK" w:cs="方正仿宋_GBK"/>
          <w:sz w:val="32"/>
          <w:szCs w:val="32"/>
          <w:highlight w:val="none"/>
        </w:rPr>
        <w:t>。</w:t>
      </w:r>
    </w:p>
    <w:p w14:paraId="58AF0DBC">
      <w:pPr>
        <w:keepNext w:val="0"/>
        <w:keepLines w:val="0"/>
        <w:pageBreakBefore w:val="0"/>
        <w:widowControl w:val="0"/>
        <w:kinsoku/>
        <w:wordWrap/>
        <w:overflowPunct/>
        <w:topLinePunct w:val="0"/>
        <w:autoSpaceDE/>
        <w:autoSpaceDN/>
        <w:bidi w:val="0"/>
        <w:adjustRightInd/>
        <w:snapToGrid/>
        <w:spacing w:line="560" w:lineRule="exact"/>
        <w:ind w:firstLine="643" w:firstLineChars="200"/>
        <w:jc w:val="left"/>
        <w:textAlignment w:val="auto"/>
        <w:rPr>
          <w:rFonts w:hint="eastAsia" w:ascii="方正黑体_GBK" w:hAnsi="方正黑体_GBK" w:eastAsia="方正黑体_GBK" w:cs="方正黑体_GBK"/>
          <w:sz w:val="32"/>
          <w:szCs w:val="32"/>
        </w:rPr>
      </w:pPr>
      <w:r>
        <w:rPr>
          <w:rFonts w:hint="eastAsia" w:ascii="方正黑体_GBK" w:hAnsi="方正黑体_GBK" w:eastAsia="方正黑体_GBK" w:cs="方正黑体_GBK"/>
          <w:b/>
          <w:bCs/>
          <w:sz w:val="32"/>
          <w:szCs w:val="32"/>
          <w:lang w:val="en-US" w:eastAsia="zh-CN"/>
        </w:rPr>
        <w:t>第十条</w:t>
      </w:r>
      <w:r>
        <w:rPr>
          <w:rFonts w:hint="eastAsia" w:ascii="方正黑体_GBK" w:hAnsi="方正黑体_GBK" w:eastAsia="方正黑体_GBK" w:cs="方正黑体_GBK"/>
          <w:sz w:val="32"/>
          <w:szCs w:val="32"/>
          <w:lang w:val="en-US" w:eastAsia="zh-CN"/>
        </w:rPr>
        <w:t xml:space="preserve"> </w:t>
      </w:r>
      <w:r>
        <w:rPr>
          <w:rFonts w:hint="eastAsia" w:ascii="方正黑体_GBK" w:hAnsi="方正黑体_GBK" w:eastAsia="方正黑体_GBK" w:cs="方正黑体_GBK"/>
          <w:b/>
          <w:bCs/>
          <w:sz w:val="32"/>
          <w:szCs w:val="32"/>
        </w:rPr>
        <w:t>政府监管与协同治理</w:t>
      </w:r>
    </w:p>
    <w:p w14:paraId="563E5E15">
      <w:pPr>
        <w:keepNext w:val="0"/>
        <w:keepLines w:val="0"/>
        <w:pageBreakBefore w:val="0"/>
        <w:widowControl w:val="0"/>
        <w:kinsoku/>
        <w:wordWrap/>
        <w:overflowPunct/>
        <w:topLinePunct w:val="0"/>
        <w:autoSpaceDE/>
        <w:autoSpaceDN/>
        <w:bidi w:val="0"/>
        <w:adjustRightInd/>
        <w:snapToGrid/>
        <w:spacing w:line="560" w:lineRule="exact"/>
        <w:ind w:left="638" w:leftChars="304" w:firstLine="0" w:firstLineChars="0"/>
        <w:jc w:val="left"/>
        <w:textAlignment w:val="auto"/>
        <w:rPr>
          <w:rFonts w:hint="eastAsia" w:ascii="方正仿宋_GBK" w:hAnsi="方正仿宋_GBK" w:eastAsia="方正仿宋_GBK" w:cs="方正仿宋_GBK"/>
          <w:b w:val="0"/>
          <w:bCs w:val="0"/>
          <w:sz w:val="32"/>
          <w:szCs w:val="32"/>
          <w:lang w:val="en-US" w:eastAsia="zh-CN"/>
        </w:rPr>
      </w:pPr>
      <w:r>
        <w:rPr>
          <w:rFonts w:hint="eastAsia" w:ascii="方正仿宋_GBK" w:hAnsi="方正仿宋_GBK" w:eastAsia="方正仿宋_GBK" w:cs="方正仿宋_GBK"/>
          <w:b w:val="0"/>
          <w:bCs w:val="0"/>
          <w:sz w:val="32"/>
          <w:szCs w:val="32"/>
          <w:lang w:val="en-US" w:eastAsia="zh-CN"/>
        </w:rPr>
        <w:t>1、喀什市城市管理局</w:t>
      </w:r>
    </w:p>
    <w:p w14:paraId="49A84B34">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方正仿宋_GBK" w:hAnsi="方正仿宋_GBK" w:eastAsia="方正仿宋_GBK" w:cs="方正仿宋_GBK"/>
          <w:b w:val="0"/>
          <w:bCs w:val="0"/>
          <w:sz w:val="32"/>
          <w:szCs w:val="32"/>
          <w:lang w:val="en-US" w:eastAsia="zh-CN"/>
        </w:rPr>
      </w:pPr>
      <w:r>
        <w:rPr>
          <w:rFonts w:hint="eastAsia" w:ascii="方正仿宋_GBK" w:hAnsi="方正仿宋_GBK" w:eastAsia="方正仿宋_GBK" w:cs="方正仿宋_GBK"/>
          <w:b w:val="0"/>
          <w:bCs w:val="0"/>
          <w:sz w:val="32"/>
          <w:szCs w:val="32"/>
          <w:lang w:val="en-US" w:eastAsia="zh-CN"/>
        </w:rPr>
        <w:t>统筹共享交通工具总量控制与配额动态调整；建立“网格化巡检+智能调度”系统，实施停放电子围栏管理；监督企业履行运维主体责任，查处违规停放、超量投放行为；组织市容秩序专项整治行动。</w:t>
      </w:r>
    </w:p>
    <w:p w14:paraId="43DBAD1A">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方正仿宋_GBK" w:hAnsi="方正仿宋_GBK" w:eastAsia="方正仿宋_GBK" w:cs="方正仿宋_GBK"/>
          <w:b w:val="0"/>
          <w:bCs w:val="0"/>
          <w:sz w:val="32"/>
          <w:szCs w:val="32"/>
          <w:lang w:val="en-US" w:eastAsia="zh-CN"/>
        </w:rPr>
      </w:pPr>
      <w:r>
        <w:rPr>
          <w:rFonts w:hint="eastAsia" w:ascii="方正仿宋_GBK" w:hAnsi="方正仿宋_GBK" w:eastAsia="方正仿宋_GBK" w:cs="方正仿宋_GBK"/>
          <w:b w:val="0"/>
          <w:bCs w:val="0"/>
          <w:sz w:val="32"/>
          <w:szCs w:val="32"/>
          <w:lang w:val="en-US" w:eastAsia="zh-CN"/>
        </w:rPr>
        <w:t>2、喀什市商务局</w:t>
      </w:r>
      <w:r>
        <w:rPr>
          <w:rFonts w:hint="eastAsia" w:ascii="方正仿宋_GBK" w:hAnsi="方正仿宋_GBK" w:eastAsia="方正仿宋_GBK" w:cs="方正仿宋_GBK"/>
          <w:b w:val="0"/>
          <w:bCs w:val="0"/>
          <w:sz w:val="32"/>
          <w:szCs w:val="32"/>
          <w:lang w:val="en-US" w:eastAsia="zh-CN"/>
        </w:rPr>
        <w:br w:type="textWrapping"/>
      </w:r>
      <w:r>
        <w:rPr>
          <w:rFonts w:hint="eastAsia" w:ascii="方正仿宋_GBK" w:hAnsi="方正仿宋_GBK" w:eastAsia="方正仿宋_GBK" w:cs="方正仿宋_GBK"/>
          <w:b w:val="0"/>
          <w:bCs w:val="0"/>
          <w:sz w:val="32"/>
          <w:szCs w:val="32"/>
          <w:lang w:val="en-US" w:eastAsia="zh-CN"/>
        </w:rPr>
        <w:t xml:space="preserve">    依据行业技术标准及数据安全规范对共享单车运营企业进行监管；监督企业落实用户信息加密传输及云端存储；定期开展车载定位装置、智能锁具等设备合规性抽检；推动北斗定位、新能源电池等新技术应用。</w:t>
      </w:r>
    </w:p>
    <w:p w14:paraId="6C940E66">
      <w:pPr>
        <w:keepNext w:val="0"/>
        <w:keepLines w:val="0"/>
        <w:pageBreakBefore w:val="0"/>
        <w:widowControl w:val="0"/>
        <w:kinsoku/>
        <w:wordWrap/>
        <w:overflowPunct/>
        <w:topLinePunct w:val="0"/>
        <w:autoSpaceDE/>
        <w:autoSpaceDN/>
        <w:bidi w:val="0"/>
        <w:adjustRightInd/>
        <w:snapToGrid/>
        <w:spacing w:line="560" w:lineRule="exact"/>
        <w:ind w:left="638" w:leftChars="304" w:firstLine="0" w:firstLineChars="0"/>
        <w:jc w:val="left"/>
        <w:textAlignment w:val="auto"/>
        <w:rPr>
          <w:rFonts w:hint="eastAsia" w:ascii="方正仿宋_GBK" w:hAnsi="方正仿宋_GBK" w:eastAsia="方正仿宋_GBK" w:cs="方正仿宋_GBK"/>
          <w:b w:val="0"/>
          <w:bCs w:val="0"/>
          <w:sz w:val="32"/>
          <w:szCs w:val="32"/>
          <w:lang w:val="en-US" w:eastAsia="zh-CN"/>
        </w:rPr>
      </w:pPr>
      <w:r>
        <w:rPr>
          <w:rFonts w:hint="eastAsia" w:ascii="方正仿宋_GBK" w:hAnsi="方正仿宋_GBK" w:eastAsia="方正仿宋_GBK" w:cs="方正仿宋_GBK"/>
          <w:b w:val="0"/>
          <w:bCs w:val="0"/>
          <w:sz w:val="32"/>
          <w:szCs w:val="32"/>
          <w:lang w:val="en-US" w:eastAsia="zh-CN"/>
        </w:rPr>
        <w:t>3、喀什市应急管理局</w:t>
      </w:r>
    </w:p>
    <w:p w14:paraId="026DEE45">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方正仿宋_GBK" w:hAnsi="方正仿宋_GBK" w:eastAsia="方正仿宋_GBK" w:cs="方正仿宋_GBK"/>
          <w:b w:val="0"/>
          <w:bCs w:val="0"/>
          <w:sz w:val="32"/>
          <w:szCs w:val="32"/>
          <w:lang w:val="en-US" w:eastAsia="zh-CN"/>
        </w:rPr>
      </w:pPr>
      <w:r>
        <w:rPr>
          <w:rFonts w:hint="eastAsia" w:ascii="方正仿宋_GBK" w:hAnsi="方正仿宋_GBK" w:eastAsia="方正仿宋_GBK" w:cs="方正仿宋_GBK"/>
          <w:b w:val="0"/>
          <w:bCs w:val="0"/>
          <w:sz w:val="32"/>
          <w:szCs w:val="32"/>
          <w:lang w:val="en-US" w:eastAsia="zh-CN"/>
        </w:rPr>
        <w:t>依据共享交通工具突发事件应急处置指南对共享单车运营企业进行监管；监督企业定期开展电池火灾、交通事故专项演练；建立高温极端天气预警联动机制，实时监测运营车辆电池温度异常数据；牵头重大安全事故调查处置。</w:t>
      </w:r>
    </w:p>
    <w:p w14:paraId="65CAC934">
      <w:pPr>
        <w:keepNext w:val="0"/>
        <w:keepLines w:val="0"/>
        <w:pageBreakBefore w:val="0"/>
        <w:widowControl w:val="0"/>
        <w:numPr>
          <w:ilvl w:val="0"/>
          <w:numId w:val="2"/>
        </w:numPr>
        <w:kinsoku/>
        <w:wordWrap/>
        <w:overflowPunct/>
        <w:topLinePunct w:val="0"/>
        <w:autoSpaceDE/>
        <w:autoSpaceDN/>
        <w:bidi w:val="0"/>
        <w:adjustRightInd/>
        <w:snapToGrid/>
        <w:spacing w:line="560" w:lineRule="exact"/>
        <w:ind w:left="638" w:leftChars="304" w:firstLine="0" w:firstLineChars="0"/>
        <w:jc w:val="left"/>
        <w:textAlignment w:val="auto"/>
        <w:rPr>
          <w:rFonts w:hint="eastAsia" w:ascii="方正仿宋_GBK" w:hAnsi="方正仿宋_GBK" w:eastAsia="方正仿宋_GBK" w:cs="方正仿宋_GBK"/>
          <w:b w:val="0"/>
          <w:bCs w:val="0"/>
          <w:sz w:val="32"/>
          <w:szCs w:val="32"/>
          <w:lang w:val="en-US" w:eastAsia="zh-CN"/>
        </w:rPr>
      </w:pPr>
      <w:r>
        <w:rPr>
          <w:rFonts w:hint="eastAsia" w:ascii="方正仿宋_GBK" w:hAnsi="方正仿宋_GBK" w:eastAsia="方正仿宋_GBK" w:cs="方正仿宋_GBK"/>
          <w:b w:val="0"/>
          <w:bCs w:val="0"/>
          <w:sz w:val="32"/>
          <w:szCs w:val="32"/>
          <w:lang w:val="en-US" w:eastAsia="zh-CN"/>
        </w:rPr>
        <w:t>喀什市交通运输局</w:t>
      </w:r>
    </w:p>
    <w:p w14:paraId="70B805B7">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left"/>
        <w:textAlignment w:val="auto"/>
        <w:rPr>
          <w:rFonts w:hint="eastAsia" w:ascii="方正仿宋_GBK" w:hAnsi="方正仿宋_GBK" w:eastAsia="方正仿宋_GBK" w:cs="方正仿宋_GBK"/>
          <w:b w:val="0"/>
          <w:bCs w:val="0"/>
          <w:sz w:val="32"/>
          <w:szCs w:val="32"/>
          <w:lang w:val="en-US" w:eastAsia="zh-CN"/>
        </w:rPr>
      </w:pPr>
      <w:r>
        <w:rPr>
          <w:rFonts w:hint="eastAsia" w:ascii="方正仿宋_GBK" w:hAnsi="方正仿宋_GBK" w:eastAsia="方正仿宋_GBK" w:cs="方正仿宋_GBK"/>
          <w:b w:val="0"/>
          <w:bCs w:val="0"/>
          <w:sz w:val="32"/>
          <w:szCs w:val="32"/>
          <w:lang w:val="en-US" w:eastAsia="zh-CN"/>
        </w:rPr>
        <w:t>监督企业动态调整高峰时段车辆调度方案；抽查运营企业驾驶员资质备案情况；建立企业运营服务质量信用考评体系。</w:t>
      </w:r>
    </w:p>
    <w:p w14:paraId="758FDCE6">
      <w:pPr>
        <w:keepNext w:val="0"/>
        <w:keepLines w:val="0"/>
        <w:pageBreakBefore w:val="0"/>
        <w:widowControl w:val="0"/>
        <w:kinsoku/>
        <w:wordWrap/>
        <w:overflowPunct/>
        <w:topLinePunct w:val="0"/>
        <w:autoSpaceDE/>
        <w:autoSpaceDN/>
        <w:bidi w:val="0"/>
        <w:adjustRightInd/>
        <w:snapToGrid/>
        <w:spacing w:line="560" w:lineRule="exact"/>
        <w:ind w:left="638" w:leftChars="304" w:firstLine="0" w:firstLineChars="0"/>
        <w:jc w:val="left"/>
        <w:textAlignment w:val="auto"/>
        <w:rPr>
          <w:rFonts w:hint="eastAsia" w:ascii="方正仿宋_GBK" w:hAnsi="方正仿宋_GBK" w:eastAsia="方正仿宋_GBK" w:cs="方正仿宋_GBK"/>
          <w:b w:val="0"/>
          <w:bCs w:val="0"/>
          <w:sz w:val="32"/>
          <w:szCs w:val="32"/>
          <w:lang w:val="en-US" w:eastAsia="zh-CN"/>
        </w:rPr>
      </w:pPr>
      <w:r>
        <w:rPr>
          <w:rFonts w:hint="eastAsia" w:ascii="方正仿宋_GBK" w:hAnsi="方正仿宋_GBK" w:eastAsia="方正仿宋_GBK" w:cs="方正仿宋_GBK"/>
          <w:b w:val="0"/>
          <w:bCs w:val="0"/>
          <w:sz w:val="32"/>
          <w:szCs w:val="32"/>
          <w:lang w:val="en-US" w:eastAsia="zh-CN"/>
        </w:rPr>
        <w:t>5、喀什市公安局交通管理大队</w:t>
      </w:r>
    </w:p>
    <w:p w14:paraId="4FF13973">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方正仿宋_GBK" w:hAnsi="方正仿宋_GBK" w:eastAsia="方正仿宋_GBK" w:cs="方正仿宋_GBK"/>
          <w:b w:val="0"/>
          <w:bCs w:val="0"/>
          <w:sz w:val="32"/>
          <w:szCs w:val="32"/>
          <w:lang w:val="en-US" w:eastAsia="zh-CN"/>
        </w:rPr>
      </w:pPr>
      <w:r>
        <w:rPr>
          <w:rFonts w:hint="eastAsia" w:ascii="方正仿宋_GBK" w:hAnsi="方正仿宋_GBK" w:eastAsia="方正仿宋_GBK" w:cs="方正仿宋_GBK"/>
          <w:b w:val="0"/>
          <w:bCs w:val="0"/>
          <w:sz w:val="32"/>
          <w:szCs w:val="32"/>
          <w:lang w:val="en-US" w:eastAsia="zh-CN"/>
        </w:rPr>
        <w:t>负责共享交通工具登记上牌及电子标识管理；查处闯红灯、逆行等交通违法行为，定期向城管部门抄告企业违章数据；开展重点区域超速行驶专项整治；认定交通事故中车辆技术责任。</w:t>
      </w:r>
    </w:p>
    <w:p w14:paraId="7545D612">
      <w:pPr>
        <w:keepNext w:val="0"/>
        <w:keepLines w:val="0"/>
        <w:pageBreakBefore w:val="0"/>
        <w:widowControl w:val="0"/>
        <w:kinsoku/>
        <w:wordWrap/>
        <w:overflowPunct/>
        <w:topLinePunct w:val="0"/>
        <w:autoSpaceDE/>
        <w:autoSpaceDN/>
        <w:bidi w:val="0"/>
        <w:adjustRightInd/>
        <w:snapToGrid/>
        <w:spacing w:line="560" w:lineRule="exact"/>
        <w:ind w:left="638" w:leftChars="304" w:firstLine="0" w:firstLineChars="0"/>
        <w:jc w:val="left"/>
        <w:textAlignment w:val="auto"/>
        <w:rPr>
          <w:rFonts w:hint="eastAsia" w:ascii="方正仿宋_GBK" w:hAnsi="方正仿宋_GBK" w:eastAsia="方正仿宋_GBK" w:cs="方正仿宋_GBK"/>
          <w:b w:val="0"/>
          <w:bCs w:val="0"/>
          <w:sz w:val="32"/>
          <w:szCs w:val="32"/>
          <w:lang w:val="en-US" w:eastAsia="zh-CN"/>
        </w:rPr>
      </w:pPr>
      <w:r>
        <w:rPr>
          <w:rFonts w:hint="eastAsia" w:ascii="方正仿宋_GBK" w:hAnsi="方正仿宋_GBK" w:eastAsia="方正仿宋_GBK" w:cs="方正仿宋_GBK"/>
          <w:b w:val="0"/>
          <w:bCs w:val="0"/>
          <w:sz w:val="32"/>
          <w:szCs w:val="32"/>
          <w:lang w:val="en-US" w:eastAsia="zh-CN"/>
        </w:rPr>
        <w:t>6、喀什市市场监督管理局</w:t>
      </w:r>
    </w:p>
    <w:p w14:paraId="697F8227">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方正仿宋_GBK" w:hAnsi="方正仿宋_GBK" w:eastAsia="方正仿宋_GBK" w:cs="方正仿宋_GBK"/>
          <w:b w:val="0"/>
          <w:bCs w:val="0"/>
          <w:sz w:val="32"/>
          <w:szCs w:val="32"/>
          <w:lang w:val="en-US" w:eastAsia="zh-CN"/>
        </w:rPr>
      </w:pPr>
      <w:r>
        <w:rPr>
          <w:rFonts w:hint="eastAsia" w:ascii="方正仿宋_GBK" w:hAnsi="方正仿宋_GBK" w:eastAsia="方正仿宋_GBK" w:cs="方正仿宋_GBK"/>
          <w:b w:val="0"/>
          <w:bCs w:val="0"/>
          <w:sz w:val="32"/>
          <w:szCs w:val="32"/>
          <w:lang w:val="en-US" w:eastAsia="zh-CN"/>
        </w:rPr>
        <w:t>严控市场准入，核发共享交通工具经营许可；定期开展制动系统、车架强度等质量安全抽检；建立“黑名单”制度查处违规收费行为；处理消费者投诉举报并公示处置结果。</w:t>
      </w:r>
    </w:p>
    <w:p w14:paraId="0A628611">
      <w:pPr>
        <w:keepNext w:val="0"/>
        <w:keepLines w:val="0"/>
        <w:pageBreakBefore w:val="0"/>
        <w:widowControl w:val="0"/>
        <w:kinsoku/>
        <w:wordWrap/>
        <w:overflowPunct/>
        <w:topLinePunct w:val="0"/>
        <w:autoSpaceDE/>
        <w:autoSpaceDN/>
        <w:bidi w:val="0"/>
        <w:adjustRightInd/>
        <w:snapToGrid/>
        <w:spacing w:line="560" w:lineRule="exact"/>
        <w:ind w:firstLine="643" w:firstLineChars="200"/>
        <w:jc w:val="left"/>
        <w:textAlignment w:val="auto"/>
        <w:rPr>
          <w:rFonts w:hint="eastAsia" w:ascii="方正黑体_GBK" w:hAnsi="方正黑体_GBK" w:eastAsia="方正黑体_GBK" w:cs="方正黑体_GBK"/>
          <w:sz w:val="32"/>
          <w:szCs w:val="32"/>
        </w:rPr>
      </w:pPr>
      <w:r>
        <w:rPr>
          <w:rFonts w:hint="eastAsia" w:ascii="方正黑体_GBK" w:hAnsi="方正黑体_GBK" w:eastAsia="方正黑体_GBK" w:cs="方正黑体_GBK"/>
          <w:b/>
          <w:bCs/>
          <w:sz w:val="32"/>
          <w:szCs w:val="32"/>
          <w:lang w:val="en-US" w:eastAsia="zh-CN"/>
        </w:rPr>
        <w:t>第十一条</w:t>
      </w:r>
      <w:r>
        <w:rPr>
          <w:rFonts w:hint="eastAsia" w:ascii="方正黑体_GBK" w:hAnsi="方正黑体_GBK" w:eastAsia="方正黑体_GBK" w:cs="方正黑体_GBK"/>
          <w:sz w:val="32"/>
          <w:szCs w:val="32"/>
          <w:lang w:val="en-US" w:eastAsia="zh-CN"/>
        </w:rPr>
        <w:t xml:space="preserve"> </w:t>
      </w:r>
      <w:r>
        <w:rPr>
          <w:rFonts w:hint="eastAsia" w:ascii="方正黑体_GBK" w:hAnsi="方正黑体_GBK" w:eastAsia="方正黑体_GBK" w:cs="方正黑体_GBK"/>
          <w:sz w:val="32"/>
          <w:szCs w:val="32"/>
        </w:rPr>
        <w:t>联合考核机制</w:t>
      </w:r>
    </w:p>
    <w:p w14:paraId="5BE935F2">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方正仿宋_GBK" w:hAnsi="方正仿宋_GBK" w:eastAsia="方正仿宋_GBK" w:cs="方正仿宋_GBK"/>
          <w:sz w:val="32"/>
          <w:szCs w:val="32"/>
        </w:rPr>
      </w:pPr>
      <w:r>
        <w:rPr>
          <w:rFonts w:hint="eastAsia" w:ascii="方正仿宋_GBK" w:hAnsi="方正仿宋_GBK" w:eastAsia="方正仿宋_GBK" w:cs="方正仿宋_GBK"/>
          <w:sz w:val="32"/>
          <w:szCs w:val="32"/>
        </w:rPr>
        <w:t>由</w:t>
      </w:r>
      <w:r>
        <w:rPr>
          <w:rFonts w:hint="eastAsia" w:ascii="方正仿宋_GBK" w:hAnsi="方正仿宋_GBK" w:eastAsia="方正仿宋_GBK" w:cs="方正仿宋_GBK"/>
          <w:sz w:val="32"/>
          <w:szCs w:val="32"/>
          <w:lang w:val="en-US" w:eastAsia="zh-CN"/>
        </w:rPr>
        <w:t>喀什市城市管理局牵头，喀什市商务</w:t>
      </w:r>
      <w:r>
        <w:rPr>
          <w:rFonts w:hint="eastAsia" w:ascii="方正仿宋_GBK" w:hAnsi="方正仿宋_GBK" w:eastAsia="方正仿宋_GBK" w:cs="方正仿宋_GBK"/>
          <w:sz w:val="32"/>
          <w:szCs w:val="32"/>
        </w:rPr>
        <w:t>局、</w:t>
      </w:r>
      <w:r>
        <w:rPr>
          <w:rFonts w:hint="eastAsia" w:ascii="方正仿宋_GBK" w:hAnsi="方正仿宋_GBK" w:eastAsia="方正仿宋_GBK" w:cs="方正仿宋_GBK"/>
          <w:sz w:val="32"/>
          <w:szCs w:val="32"/>
          <w:lang w:val="en-US" w:eastAsia="zh-CN"/>
        </w:rPr>
        <w:t>喀什市</w:t>
      </w:r>
      <w:r>
        <w:rPr>
          <w:rFonts w:hint="eastAsia" w:ascii="方正仿宋_GBK" w:hAnsi="方正仿宋_GBK" w:eastAsia="方正仿宋_GBK" w:cs="方正仿宋_GBK"/>
          <w:sz w:val="32"/>
          <w:szCs w:val="32"/>
        </w:rPr>
        <w:t>应急管理局、</w:t>
      </w:r>
      <w:r>
        <w:rPr>
          <w:rFonts w:hint="eastAsia" w:ascii="方正仿宋_GBK" w:hAnsi="方正仿宋_GBK" w:eastAsia="方正仿宋_GBK" w:cs="方正仿宋_GBK"/>
          <w:sz w:val="32"/>
          <w:szCs w:val="32"/>
          <w:lang w:val="en-US" w:eastAsia="zh-CN"/>
        </w:rPr>
        <w:t>喀什市</w:t>
      </w:r>
      <w:r>
        <w:rPr>
          <w:rFonts w:hint="eastAsia" w:ascii="方正仿宋_GBK" w:hAnsi="方正仿宋_GBK" w:eastAsia="方正仿宋_GBK" w:cs="方正仿宋_GBK"/>
          <w:sz w:val="32"/>
          <w:szCs w:val="32"/>
        </w:rPr>
        <w:t>交通</w:t>
      </w:r>
      <w:r>
        <w:rPr>
          <w:rFonts w:hint="eastAsia" w:ascii="方正仿宋_GBK" w:hAnsi="方正仿宋_GBK" w:eastAsia="方正仿宋_GBK" w:cs="方正仿宋_GBK"/>
          <w:sz w:val="32"/>
          <w:szCs w:val="32"/>
          <w:lang w:val="en-US" w:eastAsia="zh-CN"/>
        </w:rPr>
        <w:t>运输</w:t>
      </w:r>
      <w:r>
        <w:rPr>
          <w:rFonts w:hint="eastAsia" w:ascii="方正仿宋_GBK" w:hAnsi="方正仿宋_GBK" w:eastAsia="方正仿宋_GBK" w:cs="方正仿宋_GBK"/>
          <w:sz w:val="32"/>
          <w:szCs w:val="32"/>
        </w:rPr>
        <w:t>局、</w:t>
      </w:r>
      <w:r>
        <w:rPr>
          <w:rFonts w:hint="eastAsia" w:ascii="方正仿宋_GBK" w:hAnsi="方正仿宋_GBK" w:eastAsia="方正仿宋_GBK" w:cs="方正仿宋_GBK"/>
          <w:sz w:val="32"/>
          <w:szCs w:val="32"/>
          <w:lang w:val="en-US" w:eastAsia="zh-CN"/>
        </w:rPr>
        <w:t>喀什市公安局交通管理大队</w:t>
      </w:r>
      <w:r>
        <w:rPr>
          <w:rFonts w:hint="eastAsia" w:ascii="方正仿宋_GBK" w:hAnsi="方正仿宋_GBK" w:eastAsia="方正仿宋_GBK" w:cs="方正仿宋_GBK"/>
          <w:sz w:val="32"/>
          <w:szCs w:val="32"/>
          <w:lang w:eastAsia="zh-CN"/>
        </w:rPr>
        <w:t>、</w:t>
      </w:r>
      <w:r>
        <w:rPr>
          <w:rFonts w:hint="eastAsia" w:ascii="方正仿宋_GBK" w:hAnsi="方正仿宋_GBK" w:eastAsia="方正仿宋_GBK" w:cs="方正仿宋_GBK"/>
          <w:sz w:val="32"/>
          <w:szCs w:val="32"/>
          <w:lang w:val="en-US" w:eastAsia="zh-CN"/>
        </w:rPr>
        <w:t>喀什市市场监督管理局</w:t>
      </w:r>
      <w:r>
        <w:rPr>
          <w:rFonts w:hint="eastAsia" w:ascii="方正仿宋_GBK" w:hAnsi="方正仿宋_GBK" w:eastAsia="方正仿宋_GBK" w:cs="方正仿宋_GBK"/>
          <w:sz w:val="32"/>
          <w:szCs w:val="32"/>
        </w:rPr>
        <w:t>组成联合考核小组，</w:t>
      </w:r>
      <w:r>
        <w:rPr>
          <w:rFonts w:hint="eastAsia" w:ascii="方正仿宋_GBK" w:hAnsi="方正仿宋_GBK" w:eastAsia="方正仿宋_GBK" w:cs="方正仿宋_GBK"/>
          <w:sz w:val="32"/>
          <w:szCs w:val="32"/>
          <w:lang w:val="en-US" w:eastAsia="zh-CN"/>
        </w:rPr>
        <w:t>按月</w:t>
      </w:r>
      <w:r>
        <w:rPr>
          <w:rFonts w:hint="eastAsia" w:ascii="方正仿宋_GBK" w:hAnsi="方正仿宋_GBK" w:eastAsia="方正仿宋_GBK" w:cs="方正仿宋_GBK"/>
          <w:sz w:val="32"/>
          <w:szCs w:val="32"/>
        </w:rPr>
        <w:t>对企业进行考评：</w:t>
      </w:r>
    </w:p>
    <w:p w14:paraId="40AC300A">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方正仿宋_GBK" w:hAnsi="方正仿宋_GBK" w:eastAsia="方正仿宋_GBK" w:cs="方正仿宋_GBK"/>
          <w:sz w:val="32"/>
          <w:szCs w:val="32"/>
        </w:rPr>
      </w:pPr>
    </w:p>
    <w:tbl>
      <w:tblPr>
        <w:tblStyle w:val="7"/>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autofit"/>
        <w:tblCellMar>
          <w:top w:w="15" w:type="dxa"/>
          <w:left w:w="15" w:type="dxa"/>
          <w:bottom w:w="15" w:type="dxa"/>
          <w:right w:w="15" w:type="dxa"/>
        </w:tblCellMar>
      </w:tblPr>
      <w:tblGrid>
        <w:gridCol w:w="2132"/>
        <w:gridCol w:w="3893"/>
        <w:gridCol w:w="2070"/>
      </w:tblGrid>
      <w:tr w14:paraId="61F18B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jc w:val="center"/>
        </w:trPr>
        <w:tc>
          <w:tcPr>
            <w:tcW w:w="2132" w:type="dxa"/>
            <w:shd w:val="clear" w:color="auto" w:fill="auto"/>
            <w:tcMar>
              <w:top w:w="100" w:type="dxa"/>
              <w:left w:w="0" w:type="dxa"/>
              <w:bottom w:w="100" w:type="dxa"/>
              <w:right w:w="100" w:type="dxa"/>
            </w:tcMar>
            <w:vAlign w:val="center"/>
          </w:tcPr>
          <w:p w14:paraId="63A2AB5B">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新宋体" w:hAnsi="新宋体" w:eastAsia="新宋体" w:cs="新宋体"/>
                <w:sz w:val="32"/>
                <w:szCs w:val="32"/>
              </w:rPr>
            </w:pPr>
            <w:r>
              <w:rPr>
                <w:rFonts w:hint="eastAsia" w:ascii="新宋体" w:hAnsi="新宋体" w:eastAsia="新宋体" w:cs="新宋体"/>
                <w:sz w:val="32"/>
                <w:szCs w:val="32"/>
                <w:lang w:val="en-US" w:eastAsia="zh-CN"/>
              </w:rPr>
              <w:t>考核维度</w:t>
            </w:r>
          </w:p>
        </w:tc>
        <w:tc>
          <w:tcPr>
            <w:tcW w:w="3893" w:type="dxa"/>
            <w:shd w:val="clear" w:color="auto" w:fill="auto"/>
            <w:tcMar>
              <w:top w:w="100" w:type="dxa"/>
              <w:left w:w="100" w:type="dxa"/>
              <w:bottom w:w="100" w:type="dxa"/>
              <w:right w:w="100" w:type="dxa"/>
            </w:tcMar>
            <w:vAlign w:val="center"/>
          </w:tcPr>
          <w:p w14:paraId="257A8A8B">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新宋体" w:hAnsi="新宋体" w:eastAsia="新宋体" w:cs="新宋体"/>
                <w:sz w:val="32"/>
                <w:szCs w:val="32"/>
              </w:rPr>
            </w:pPr>
            <w:r>
              <w:rPr>
                <w:rFonts w:hint="eastAsia" w:ascii="新宋体" w:hAnsi="新宋体" w:eastAsia="新宋体" w:cs="新宋体"/>
                <w:sz w:val="32"/>
                <w:szCs w:val="32"/>
                <w:lang w:val="en-US" w:eastAsia="zh-CN"/>
              </w:rPr>
              <w:t>指标示例</w:t>
            </w:r>
          </w:p>
        </w:tc>
        <w:tc>
          <w:tcPr>
            <w:tcW w:w="2070" w:type="dxa"/>
            <w:shd w:val="clear" w:color="auto" w:fill="auto"/>
            <w:tcMar>
              <w:top w:w="100" w:type="dxa"/>
              <w:left w:w="100" w:type="dxa"/>
              <w:bottom w:w="100" w:type="dxa"/>
              <w:right w:w="100" w:type="dxa"/>
            </w:tcMar>
            <w:vAlign w:val="center"/>
          </w:tcPr>
          <w:p w14:paraId="3EBB7A84">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center"/>
              <w:textAlignment w:val="auto"/>
              <w:rPr>
                <w:rFonts w:hint="eastAsia" w:ascii="新宋体" w:hAnsi="新宋体" w:eastAsia="新宋体" w:cs="新宋体"/>
                <w:sz w:val="32"/>
                <w:szCs w:val="32"/>
              </w:rPr>
            </w:pPr>
            <w:r>
              <w:rPr>
                <w:rFonts w:hint="eastAsia" w:ascii="新宋体" w:hAnsi="新宋体" w:eastAsia="新宋体" w:cs="新宋体"/>
                <w:sz w:val="32"/>
                <w:szCs w:val="32"/>
                <w:lang w:val="en-US" w:eastAsia="zh-CN"/>
              </w:rPr>
              <w:t>权重</w:t>
            </w:r>
          </w:p>
        </w:tc>
      </w:tr>
      <w:tr w14:paraId="4F4813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jc w:val="center"/>
        </w:trPr>
        <w:tc>
          <w:tcPr>
            <w:tcW w:w="2132" w:type="dxa"/>
            <w:shd w:val="clear" w:color="auto" w:fill="auto"/>
            <w:tcMar>
              <w:top w:w="100" w:type="dxa"/>
              <w:left w:w="0" w:type="dxa"/>
              <w:bottom w:w="100" w:type="dxa"/>
              <w:right w:w="100" w:type="dxa"/>
            </w:tcMar>
            <w:vAlign w:val="center"/>
          </w:tcPr>
          <w:p w14:paraId="0D6975C3">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新宋体" w:hAnsi="新宋体" w:eastAsia="新宋体" w:cs="新宋体"/>
                <w:sz w:val="32"/>
                <w:szCs w:val="32"/>
                <w:lang w:val="en-US" w:eastAsia="zh-CN"/>
              </w:rPr>
            </w:pPr>
            <w:r>
              <w:rPr>
                <w:rFonts w:hint="eastAsia" w:ascii="新宋体" w:hAnsi="新宋体" w:eastAsia="新宋体" w:cs="新宋体"/>
                <w:sz w:val="32"/>
                <w:szCs w:val="32"/>
                <w:lang w:val="en-US" w:eastAsia="zh-CN"/>
              </w:rPr>
              <w:t>市容秩序</w:t>
            </w:r>
          </w:p>
        </w:tc>
        <w:tc>
          <w:tcPr>
            <w:tcW w:w="3893" w:type="dxa"/>
            <w:shd w:val="clear" w:color="auto" w:fill="auto"/>
            <w:tcMar>
              <w:top w:w="100" w:type="dxa"/>
              <w:left w:w="100" w:type="dxa"/>
              <w:bottom w:w="100" w:type="dxa"/>
              <w:right w:w="100" w:type="dxa"/>
            </w:tcMar>
            <w:vAlign w:val="center"/>
          </w:tcPr>
          <w:p w14:paraId="77EC3615">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新宋体" w:hAnsi="新宋体" w:eastAsia="新宋体" w:cs="新宋体"/>
                <w:sz w:val="32"/>
                <w:szCs w:val="32"/>
              </w:rPr>
            </w:pPr>
            <w:r>
              <w:rPr>
                <w:rFonts w:hint="eastAsia" w:ascii="新宋体" w:hAnsi="新宋体" w:eastAsia="新宋体" w:cs="新宋体"/>
                <w:sz w:val="32"/>
                <w:szCs w:val="32"/>
                <w:lang w:val="en-US" w:eastAsia="zh-CN"/>
              </w:rPr>
              <w:t>市容秩序达标率≥90%</w:t>
            </w:r>
          </w:p>
        </w:tc>
        <w:tc>
          <w:tcPr>
            <w:tcW w:w="2070" w:type="dxa"/>
            <w:shd w:val="clear" w:color="auto" w:fill="auto"/>
            <w:tcMar>
              <w:top w:w="100" w:type="dxa"/>
              <w:left w:w="100" w:type="dxa"/>
              <w:bottom w:w="100" w:type="dxa"/>
              <w:right w:w="100" w:type="dxa"/>
            </w:tcMar>
            <w:vAlign w:val="center"/>
          </w:tcPr>
          <w:p w14:paraId="3C7FDD6A">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center"/>
              <w:textAlignment w:val="auto"/>
              <w:rPr>
                <w:rFonts w:hint="eastAsia" w:ascii="新宋体" w:hAnsi="新宋体" w:eastAsia="新宋体" w:cs="新宋体"/>
                <w:sz w:val="32"/>
                <w:szCs w:val="32"/>
              </w:rPr>
            </w:pPr>
            <w:r>
              <w:rPr>
                <w:rFonts w:hint="eastAsia" w:ascii="新宋体" w:hAnsi="新宋体" w:eastAsia="新宋体" w:cs="新宋体"/>
                <w:sz w:val="32"/>
                <w:szCs w:val="32"/>
                <w:lang w:val="en-US" w:eastAsia="zh-CN"/>
              </w:rPr>
              <w:t>60%</w:t>
            </w:r>
          </w:p>
        </w:tc>
      </w:tr>
      <w:tr w14:paraId="003E96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jc w:val="center"/>
        </w:trPr>
        <w:tc>
          <w:tcPr>
            <w:tcW w:w="2132" w:type="dxa"/>
            <w:shd w:val="clear" w:color="auto" w:fill="auto"/>
            <w:tcMar>
              <w:top w:w="100" w:type="dxa"/>
              <w:left w:w="0" w:type="dxa"/>
              <w:bottom w:w="100" w:type="dxa"/>
              <w:right w:w="100" w:type="dxa"/>
            </w:tcMar>
            <w:vAlign w:val="center"/>
          </w:tcPr>
          <w:p w14:paraId="44D3647D">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新宋体" w:hAnsi="新宋体" w:eastAsia="新宋体" w:cs="新宋体"/>
                <w:sz w:val="32"/>
                <w:szCs w:val="32"/>
              </w:rPr>
            </w:pPr>
            <w:r>
              <w:rPr>
                <w:rFonts w:hint="eastAsia" w:ascii="新宋体" w:hAnsi="新宋体" w:eastAsia="新宋体" w:cs="新宋体"/>
                <w:sz w:val="32"/>
                <w:szCs w:val="32"/>
                <w:lang w:val="en-US" w:eastAsia="zh-CN"/>
              </w:rPr>
              <w:t>运维效率</w:t>
            </w:r>
          </w:p>
        </w:tc>
        <w:tc>
          <w:tcPr>
            <w:tcW w:w="3893" w:type="dxa"/>
            <w:shd w:val="clear" w:color="auto" w:fill="auto"/>
            <w:tcMar>
              <w:top w:w="100" w:type="dxa"/>
              <w:left w:w="100" w:type="dxa"/>
              <w:bottom w:w="100" w:type="dxa"/>
              <w:right w:w="100" w:type="dxa"/>
            </w:tcMar>
            <w:vAlign w:val="center"/>
          </w:tcPr>
          <w:p w14:paraId="2E59E16F">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新宋体" w:hAnsi="新宋体" w:eastAsia="新宋体" w:cs="新宋体"/>
                <w:sz w:val="32"/>
                <w:szCs w:val="32"/>
              </w:rPr>
            </w:pPr>
            <w:r>
              <w:rPr>
                <w:rFonts w:hint="eastAsia" w:ascii="新宋体" w:hAnsi="新宋体" w:eastAsia="新宋体" w:cs="新宋体"/>
                <w:sz w:val="32"/>
                <w:szCs w:val="32"/>
                <w:lang w:val="en-US" w:eastAsia="zh-CN"/>
              </w:rPr>
              <w:t>运维响应达标率≥90%</w:t>
            </w:r>
          </w:p>
        </w:tc>
        <w:tc>
          <w:tcPr>
            <w:tcW w:w="2070" w:type="dxa"/>
            <w:shd w:val="clear" w:color="auto" w:fill="auto"/>
            <w:tcMar>
              <w:top w:w="100" w:type="dxa"/>
              <w:left w:w="100" w:type="dxa"/>
              <w:bottom w:w="100" w:type="dxa"/>
              <w:right w:w="100" w:type="dxa"/>
            </w:tcMar>
            <w:vAlign w:val="center"/>
          </w:tcPr>
          <w:p w14:paraId="57D7C029">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center"/>
              <w:textAlignment w:val="auto"/>
              <w:rPr>
                <w:rFonts w:hint="eastAsia" w:ascii="新宋体" w:hAnsi="新宋体" w:eastAsia="新宋体" w:cs="新宋体"/>
                <w:sz w:val="32"/>
                <w:szCs w:val="32"/>
              </w:rPr>
            </w:pPr>
            <w:r>
              <w:rPr>
                <w:rFonts w:hint="eastAsia" w:ascii="新宋体" w:hAnsi="新宋体" w:eastAsia="新宋体" w:cs="新宋体"/>
                <w:sz w:val="32"/>
                <w:szCs w:val="32"/>
                <w:lang w:val="en-US" w:eastAsia="zh-CN"/>
              </w:rPr>
              <w:t>20%</w:t>
            </w:r>
          </w:p>
        </w:tc>
      </w:tr>
      <w:tr w14:paraId="07C5EB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jc w:val="center"/>
        </w:trPr>
        <w:tc>
          <w:tcPr>
            <w:tcW w:w="2132" w:type="dxa"/>
            <w:shd w:val="clear" w:color="auto" w:fill="auto"/>
            <w:tcMar>
              <w:top w:w="100" w:type="dxa"/>
              <w:left w:w="0" w:type="dxa"/>
              <w:bottom w:w="100" w:type="dxa"/>
              <w:right w:w="100" w:type="dxa"/>
            </w:tcMar>
            <w:vAlign w:val="center"/>
          </w:tcPr>
          <w:p w14:paraId="7E6E75C7">
            <w:pPr>
              <w:keepNext w:val="0"/>
              <w:keepLines w:val="0"/>
              <w:pageBreakBefore w:val="0"/>
              <w:widowControl w:val="0"/>
              <w:tabs>
                <w:tab w:val="center" w:pos="1016"/>
              </w:tabs>
              <w:kinsoku/>
              <w:wordWrap/>
              <w:overflowPunct/>
              <w:topLinePunct w:val="0"/>
              <w:autoSpaceDE/>
              <w:autoSpaceDN/>
              <w:bidi w:val="0"/>
              <w:adjustRightInd/>
              <w:snapToGrid/>
              <w:spacing w:line="560" w:lineRule="exact"/>
              <w:jc w:val="center"/>
              <w:textAlignment w:val="auto"/>
              <w:rPr>
                <w:rFonts w:hint="eastAsia" w:ascii="新宋体" w:hAnsi="新宋体" w:eastAsia="新宋体" w:cs="新宋体"/>
                <w:sz w:val="32"/>
                <w:szCs w:val="32"/>
                <w:lang w:val="en-US" w:eastAsia="zh-CN"/>
              </w:rPr>
            </w:pPr>
            <w:r>
              <w:rPr>
                <w:rFonts w:hint="eastAsia" w:ascii="新宋体" w:hAnsi="新宋体" w:eastAsia="新宋体" w:cs="新宋体"/>
                <w:sz w:val="32"/>
                <w:szCs w:val="32"/>
                <w:lang w:val="en-US" w:eastAsia="zh-CN"/>
              </w:rPr>
              <w:t>社会</w:t>
            </w:r>
            <w:r>
              <w:rPr>
                <w:rFonts w:hint="eastAsia" w:ascii="新宋体" w:hAnsi="新宋体" w:eastAsia="新宋体" w:cs="新宋体"/>
                <w:sz w:val="32"/>
                <w:szCs w:val="32"/>
                <w:lang w:val="en-US" w:eastAsia="zh-CN"/>
              </w:rPr>
              <w:tab/>
            </w:r>
            <w:r>
              <w:rPr>
                <w:rFonts w:hint="eastAsia" w:ascii="新宋体" w:hAnsi="新宋体" w:eastAsia="新宋体" w:cs="新宋体"/>
                <w:sz w:val="32"/>
                <w:szCs w:val="32"/>
                <w:lang w:val="en-US" w:eastAsia="zh-CN"/>
              </w:rPr>
              <w:t>责任履行</w:t>
            </w:r>
          </w:p>
        </w:tc>
        <w:tc>
          <w:tcPr>
            <w:tcW w:w="3893" w:type="dxa"/>
            <w:shd w:val="clear" w:color="auto" w:fill="auto"/>
            <w:tcMar>
              <w:top w:w="100" w:type="dxa"/>
              <w:left w:w="100" w:type="dxa"/>
              <w:bottom w:w="100" w:type="dxa"/>
              <w:right w:w="100" w:type="dxa"/>
            </w:tcMar>
            <w:vAlign w:val="center"/>
          </w:tcPr>
          <w:p w14:paraId="3F53F1BA">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新宋体" w:hAnsi="新宋体" w:eastAsia="新宋体" w:cs="新宋体"/>
                <w:sz w:val="32"/>
                <w:szCs w:val="32"/>
              </w:rPr>
            </w:pPr>
            <w:r>
              <w:rPr>
                <w:rFonts w:hint="eastAsia" w:ascii="新宋体" w:hAnsi="新宋体" w:eastAsia="新宋体" w:cs="新宋体"/>
                <w:sz w:val="32"/>
                <w:szCs w:val="32"/>
                <w:lang w:val="en-US" w:eastAsia="zh-CN"/>
              </w:rPr>
              <w:t>运维人员配备率≥90%</w:t>
            </w:r>
          </w:p>
        </w:tc>
        <w:tc>
          <w:tcPr>
            <w:tcW w:w="2070" w:type="dxa"/>
            <w:shd w:val="clear" w:color="auto" w:fill="auto"/>
            <w:tcMar>
              <w:top w:w="100" w:type="dxa"/>
              <w:left w:w="100" w:type="dxa"/>
              <w:bottom w:w="100" w:type="dxa"/>
              <w:right w:w="100" w:type="dxa"/>
            </w:tcMar>
            <w:vAlign w:val="center"/>
          </w:tcPr>
          <w:p w14:paraId="341BE70D">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center"/>
              <w:textAlignment w:val="auto"/>
              <w:rPr>
                <w:rFonts w:hint="eastAsia" w:ascii="新宋体" w:hAnsi="新宋体" w:eastAsia="新宋体" w:cs="新宋体"/>
                <w:sz w:val="32"/>
                <w:szCs w:val="32"/>
              </w:rPr>
            </w:pPr>
            <w:r>
              <w:rPr>
                <w:rFonts w:hint="eastAsia" w:ascii="新宋体" w:hAnsi="新宋体" w:eastAsia="新宋体" w:cs="新宋体"/>
                <w:sz w:val="32"/>
                <w:szCs w:val="32"/>
                <w:lang w:val="en-US" w:eastAsia="zh-CN"/>
              </w:rPr>
              <w:t>10%</w:t>
            </w:r>
          </w:p>
        </w:tc>
      </w:tr>
      <w:tr w14:paraId="542CAA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jc w:val="center"/>
        </w:trPr>
        <w:tc>
          <w:tcPr>
            <w:tcW w:w="2132" w:type="dxa"/>
            <w:shd w:val="clear" w:color="auto" w:fill="auto"/>
            <w:tcMar>
              <w:top w:w="100" w:type="dxa"/>
              <w:left w:w="0" w:type="dxa"/>
              <w:bottom w:w="100" w:type="dxa"/>
              <w:right w:w="100" w:type="dxa"/>
            </w:tcMar>
            <w:vAlign w:val="center"/>
          </w:tcPr>
          <w:p w14:paraId="134EB8DA">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新宋体" w:hAnsi="新宋体" w:eastAsia="新宋体" w:cs="新宋体"/>
                <w:sz w:val="32"/>
                <w:szCs w:val="32"/>
              </w:rPr>
            </w:pPr>
            <w:r>
              <w:rPr>
                <w:rFonts w:hint="eastAsia" w:ascii="新宋体" w:hAnsi="新宋体" w:eastAsia="新宋体" w:cs="新宋体"/>
                <w:sz w:val="32"/>
                <w:szCs w:val="32"/>
                <w:lang w:val="en-US" w:eastAsia="zh-CN"/>
              </w:rPr>
              <w:t>用户服务</w:t>
            </w:r>
          </w:p>
        </w:tc>
        <w:tc>
          <w:tcPr>
            <w:tcW w:w="3893" w:type="dxa"/>
            <w:shd w:val="clear" w:color="auto" w:fill="auto"/>
            <w:tcMar>
              <w:top w:w="100" w:type="dxa"/>
              <w:left w:w="100" w:type="dxa"/>
              <w:bottom w:w="100" w:type="dxa"/>
              <w:right w:w="100" w:type="dxa"/>
            </w:tcMar>
            <w:vAlign w:val="center"/>
          </w:tcPr>
          <w:p w14:paraId="1BE18B3F">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新宋体" w:hAnsi="新宋体" w:eastAsia="新宋体" w:cs="新宋体"/>
                <w:sz w:val="32"/>
                <w:szCs w:val="32"/>
              </w:rPr>
            </w:pPr>
            <w:r>
              <w:rPr>
                <w:rFonts w:hint="eastAsia" w:ascii="新宋体" w:hAnsi="新宋体" w:eastAsia="新宋体" w:cs="新宋体"/>
                <w:sz w:val="32"/>
                <w:szCs w:val="32"/>
                <w:lang w:val="en-US" w:eastAsia="zh-CN"/>
              </w:rPr>
              <w:t>投诉办结率100%</w:t>
            </w:r>
          </w:p>
        </w:tc>
        <w:tc>
          <w:tcPr>
            <w:tcW w:w="2070" w:type="dxa"/>
            <w:shd w:val="clear" w:color="auto" w:fill="auto"/>
            <w:tcMar>
              <w:top w:w="100" w:type="dxa"/>
              <w:left w:w="100" w:type="dxa"/>
              <w:bottom w:w="100" w:type="dxa"/>
              <w:right w:w="100" w:type="dxa"/>
            </w:tcMar>
            <w:vAlign w:val="center"/>
          </w:tcPr>
          <w:p w14:paraId="48EBD6EB">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center"/>
              <w:textAlignment w:val="auto"/>
              <w:rPr>
                <w:rFonts w:hint="eastAsia" w:ascii="新宋体" w:hAnsi="新宋体" w:eastAsia="新宋体" w:cs="新宋体"/>
                <w:sz w:val="32"/>
                <w:szCs w:val="32"/>
              </w:rPr>
            </w:pPr>
            <w:r>
              <w:rPr>
                <w:rFonts w:hint="eastAsia" w:ascii="新宋体" w:hAnsi="新宋体" w:eastAsia="新宋体" w:cs="新宋体"/>
                <w:sz w:val="32"/>
                <w:szCs w:val="32"/>
                <w:lang w:val="en-US" w:eastAsia="zh-CN"/>
              </w:rPr>
              <w:t>5%</w:t>
            </w:r>
          </w:p>
        </w:tc>
      </w:tr>
      <w:tr w14:paraId="32EEE8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jc w:val="center"/>
        </w:trPr>
        <w:tc>
          <w:tcPr>
            <w:tcW w:w="2132" w:type="dxa"/>
            <w:shd w:val="clear" w:color="auto" w:fill="auto"/>
            <w:tcMar>
              <w:top w:w="100" w:type="dxa"/>
              <w:left w:w="0" w:type="dxa"/>
              <w:bottom w:w="100" w:type="dxa"/>
              <w:right w:w="100" w:type="dxa"/>
            </w:tcMar>
            <w:vAlign w:val="center"/>
          </w:tcPr>
          <w:p w14:paraId="4E7D33BB">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新宋体" w:hAnsi="新宋体" w:eastAsia="新宋体" w:cs="新宋体"/>
                <w:sz w:val="32"/>
                <w:szCs w:val="32"/>
                <w:lang w:val="en-US"/>
              </w:rPr>
            </w:pPr>
            <w:r>
              <w:rPr>
                <w:rFonts w:hint="eastAsia" w:ascii="新宋体" w:hAnsi="新宋体" w:eastAsia="新宋体" w:cs="新宋体"/>
                <w:sz w:val="32"/>
                <w:szCs w:val="32"/>
                <w:lang w:val="en-US" w:eastAsia="zh-CN"/>
              </w:rPr>
              <w:t>用户服务</w:t>
            </w:r>
          </w:p>
        </w:tc>
        <w:tc>
          <w:tcPr>
            <w:tcW w:w="3893" w:type="dxa"/>
            <w:shd w:val="clear" w:color="auto" w:fill="auto"/>
            <w:tcMar>
              <w:top w:w="100" w:type="dxa"/>
              <w:left w:w="100" w:type="dxa"/>
              <w:bottom w:w="100" w:type="dxa"/>
              <w:right w:w="100" w:type="dxa"/>
            </w:tcMar>
            <w:vAlign w:val="center"/>
          </w:tcPr>
          <w:p w14:paraId="5F6239FB">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新宋体" w:hAnsi="新宋体" w:eastAsia="新宋体" w:cs="新宋体"/>
                <w:sz w:val="32"/>
                <w:szCs w:val="32"/>
              </w:rPr>
            </w:pPr>
            <w:r>
              <w:rPr>
                <w:rFonts w:hint="eastAsia" w:ascii="新宋体" w:hAnsi="新宋体" w:eastAsia="新宋体" w:cs="新宋体"/>
                <w:sz w:val="32"/>
                <w:szCs w:val="32"/>
                <w:lang w:val="en-US" w:eastAsia="zh-CN"/>
              </w:rPr>
              <w:t>车辆完好率100%</w:t>
            </w:r>
          </w:p>
        </w:tc>
        <w:tc>
          <w:tcPr>
            <w:tcW w:w="2070" w:type="dxa"/>
            <w:shd w:val="clear" w:color="auto" w:fill="auto"/>
            <w:tcMar>
              <w:top w:w="100" w:type="dxa"/>
              <w:left w:w="100" w:type="dxa"/>
              <w:bottom w:w="100" w:type="dxa"/>
              <w:right w:w="100" w:type="dxa"/>
            </w:tcMar>
            <w:vAlign w:val="center"/>
          </w:tcPr>
          <w:p w14:paraId="56CC251E">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center"/>
              <w:textAlignment w:val="auto"/>
              <w:rPr>
                <w:rFonts w:hint="eastAsia" w:ascii="新宋体" w:hAnsi="新宋体" w:eastAsia="新宋体" w:cs="新宋体"/>
                <w:sz w:val="32"/>
                <w:szCs w:val="32"/>
              </w:rPr>
            </w:pPr>
            <w:r>
              <w:rPr>
                <w:rFonts w:hint="eastAsia" w:ascii="新宋体" w:hAnsi="新宋体" w:eastAsia="新宋体" w:cs="新宋体"/>
                <w:sz w:val="32"/>
                <w:szCs w:val="32"/>
                <w:lang w:val="en-US" w:eastAsia="zh-CN"/>
              </w:rPr>
              <w:t>5%</w:t>
            </w:r>
          </w:p>
        </w:tc>
      </w:tr>
    </w:tbl>
    <w:p w14:paraId="0787C689">
      <w:pPr>
        <w:pStyle w:val="2"/>
        <w:numPr>
          <w:ilvl w:val="0"/>
          <w:numId w:val="0"/>
        </w:numPr>
        <w:jc w:val="both"/>
        <w:rPr>
          <w:rFonts w:hint="eastAsia" w:ascii="新宋体" w:hAnsi="新宋体" w:eastAsia="新宋体" w:cs="新宋体"/>
          <w:b/>
          <w:bCs/>
          <w:sz w:val="32"/>
          <w:szCs w:val="32"/>
          <w:lang w:val="en-US" w:eastAsia="zh-CN"/>
        </w:rPr>
      </w:pPr>
    </w:p>
    <w:p w14:paraId="6FF95E63">
      <w:pPr>
        <w:pStyle w:val="2"/>
        <w:numPr>
          <w:ilvl w:val="0"/>
          <w:numId w:val="0"/>
        </w:numPr>
        <w:jc w:val="center"/>
        <w:rPr>
          <w:rFonts w:hint="eastAsia" w:ascii="方正黑体_GBK" w:hAnsi="方正黑体_GBK" w:eastAsia="方正黑体_GBK" w:cs="方正黑体_GBK"/>
          <w:b/>
          <w:bCs/>
          <w:sz w:val="32"/>
          <w:szCs w:val="32"/>
          <w:lang w:val="en-US" w:eastAsia="zh-CN"/>
        </w:rPr>
      </w:pPr>
      <w:r>
        <w:rPr>
          <w:rFonts w:hint="eastAsia" w:ascii="方正黑体_GBK" w:hAnsi="方正黑体_GBK" w:eastAsia="方正黑体_GBK" w:cs="方正黑体_GBK"/>
          <w:b/>
          <w:bCs/>
          <w:sz w:val="32"/>
          <w:szCs w:val="32"/>
          <w:lang w:val="en-US" w:eastAsia="zh-CN"/>
        </w:rPr>
        <w:t>第四章 退出机制</w:t>
      </w:r>
    </w:p>
    <w:p w14:paraId="6D50E988">
      <w:pPr>
        <w:pStyle w:val="2"/>
        <w:numPr>
          <w:ilvl w:val="0"/>
          <w:numId w:val="0"/>
        </w:numPr>
        <w:ind w:leftChars="0" w:firstLine="643" w:firstLineChars="200"/>
        <w:rPr>
          <w:rFonts w:hint="eastAsia" w:ascii="方正黑体_GBK" w:hAnsi="方正黑体_GBK" w:eastAsia="方正黑体_GBK" w:cs="方正黑体_GBK"/>
          <w:sz w:val="32"/>
          <w:szCs w:val="32"/>
          <w:lang w:val="en-US" w:eastAsia="zh-CN"/>
        </w:rPr>
      </w:pPr>
      <w:r>
        <w:rPr>
          <w:rFonts w:hint="eastAsia" w:ascii="方正黑体_GBK" w:hAnsi="方正黑体_GBK" w:eastAsia="方正黑体_GBK" w:cs="方正黑体_GBK"/>
          <w:b/>
          <w:bCs/>
          <w:sz w:val="32"/>
          <w:szCs w:val="32"/>
          <w:lang w:val="en-US" w:eastAsia="zh-CN"/>
        </w:rPr>
        <w:t>第十二条 退出情节</w:t>
      </w:r>
    </w:p>
    <w:p w14:paraId="23CD9079">
      <w:pPr>
        <w:pStyle w:val="2"/>
        <w:numPr>
          <w:ilvl w:val="0"/>
          <w:numId w:val="0"/>
        </w:numPr>
        <w:ind w:firstLine="640" w:firstLineChars="200"/>
        <w:rPr>
          <w:rFonts w:hint="eastAsia" w:ascii="方正仿宋_GBK" w:hAnsi="方正仿宋_GBK" w:eastAsia="方正仿宋_GBK" w:cs="方正仿宋_GBK"/>
          <w:sz w:val="32"/>
          <w:szCs w:val="32"/>
          <w:lang w:val="en-US" w:eastAsia="zh-CN"/>
        </w:rPr>
      </w:pPr>
      <w:r>
        <w:rPr>
          <w:rFonts w:hint="eastAsia" w:ascii="方正仿宋_GBK" w:hAnsi="方正仿宋_GBK" w:eastAsia="方正仿宋_GBK" w:cs="方正仿宋_GBK"/>
          <w:sz w:val="32"/>
          <w:szCs w:val="32"/>
          <w:lang w:val="en-US" w:eastAsia="zh-CN"/>
        </w:rPr>
        <w:t>1、对季度考核第一名的企业给予奖励一定比例的份额，对季度考核最后一名的企业缩减1000辆市场的配额，增量不大于减量，一年有三个季度排在最后一名的企业直接退出市场。</w:t>
      </w:r>
    </w:p>
    <w:p w14:paraId="35ECE481">
      <w:pPr>
        <w:pStyle w:val="2"/>
        <w:numPr>
          <w:ilvl w:val="0"/>
          <w:numId w:val="0"/>
        </w:numPr>
        <w:ind w:firstLine="640" w:firstLineChars="200"/>
        <w:rPr>
          <w:rFonts w:hint="eastAsia" w:ascii="方正仿宋_GBK" w:hAnsi="方正仿宋_GBK" w:eastAsia="方正仿宋_GBK" w:cs="方正仿宋_GBK"/>
          <w:sz w:val="32"/>
          <w:szCs w:val="32"/>
          <w:lang w:val="en-US" w:eastAsia="zh-CN"/>
        </w:rPr>
      </w:pPr>
      <w:r>
        <w:rPr>
          <w:rFonts w:hint="eastAsia" w:ascii="方正仿宋_GBK" w:hAnsi="方正仿宋_GBK" w:eastAsia="方正仿宋_GBK" w:cs="方正仿宋_GBK"/>
          <w:sz w:val="32"/>
          <w:szCs w:val="32"/>
          <w:lang w:val="en-US" w:eastAsia="zh-CN"/>
        </w:rPr>
        <w:t>2、对妨碍公平竞争，侵害公共利益的企业取消运营资格，因押金或引发群体性事件的企业，需立即退出本地市场。</w:t>
      </w:r>
    </w:p>
    <w:p w14:paraId="4C6F7489">
      <w:pPr>
        <w:pStyle w:val="2"/>
        <w:numPr>
          <w:ilvl w:val="0"/>
          <w:numId w:val="0"/>
        </w:numPr>
        <w:ind w:firstLine="640" w:firstLineChars="200"/>
        <w:rPr>
          <w:rFonts w:hint="eastAsia" w:ascii="方正仿宋_GBK" w:hAnsi="方正仿宋_GBK" w:eastAsia="方正仿宋_GBK" w:cs="方正仿宋_GBK"/>
          <w:sz w:val="32"/>
          <w:szCs w:val="32"/>
          <w:lang w:val="en-US" w:eastAsia="zh-CN"/>
        </w:rPr>
      </w:pPr>
      <w:r>
        <w:rPr>
          <w:rFonts w:hint="eastAsia" w:ascii="方正仿宋_GBK" w:hAnsi="方正仿宋_GBK" w:eastAsia="方正仿宋_GBK" w:cs="方正仿宋_GBK"/>
          <w:sz w:val="32"/>
          <w:szCs w:val="32"/>
          <w:lang w:val="en-US" w:eastAsia="zh-CN"/>
        </w:rPr>
        <w:t>3、企业管理不善引发群体性事件、火灾等安全重大安全事故需立即停止运营，处理相关赔偿、纠纷事宜，待赔偿、纠纷处理完毕后，立即退出本地市场。</w:t>
      </w:r>
    </w:p>
    <w:p w14:paraId="01B30DDA">
      <w:pPr>
        <w:pStyle w:val="2"/>
        <w:numPr>
          <w:ilvl w:val="0"/>
          <w:numId w:val="0"/>
        </w:numPr>
        <w:ind w:firstLine="640" w:firstLineChars="200"/>
        <w:rPr>
          <w:rFonts w:hint="eastAsia" w:ascii="方正仿宋_GBK" w:hAnsi="方正仿宋_GBK" w:eastAsia="方正仿宋_GBK" w:cs="方正仿宋_GBK"/>
          <w:sz w:val="32"/>
          <w:szCs w:val="32"/>
          <w:lang w:val="en-US" w:eastAsia="zh-CN"/>
        </w:rPr>
      </w:pPr>
      <w:r>
        <w:rPr>
          <w:rFonts w:hint="eastAsia" w:ascii="方正仿宋_GBK" w:hAnsi="方正仿宋_GBK" w:eastAsia="方正仿宋_GBK" w:cs="方正仿宋_GBK"/>
          <w:sz w:val="32"/>
          <w:szCs w:val="32"/>
          <w:lang w:val="en-US" w:eastAsia="zh-CN"/>
        </w:rPr>
        <w:t>4、企业必须按照城市管理局划分的份额投放车辆，为体现市场公平竞争，严禁超额投放，发现超投的企业由城市管理局出具书面告知书，并责令在当日将超投车辆清理完毕并按照考核细则顶格扣分，对超时未整改的按照1:10的份额进行减量处理，全年累计有3次超投的行为，城市管理局联合综合考核组对其进行清退。</w:t>
      </w:r>
    </w:p>
    <w:p w14:paraId="490CAB91">
      <w:pPr>
        <w:pStyle w:val="2"/>
        <w:numPr>
          <w:ilvl w:val="0"/>
          <w:numId w:val="0"/>
        </w:numPr>
        <w:ind w:firstLine="643" w:firstLineChars="200"/>
        <w:rPr>
          <w:rFonts w:hint="eastAsia" w:ascii="方正黑体_GBK" w:hAnsi="方正黑体_GBK" w:eastAsia="方正黑体_GBK" w:cs="方正黑体_GBK"/>
          <w:b/>
          <w:bCs/>
          <w:sz w:val="32"/>
          <w:szCs w:val="32"/>
          <w:lang w:val="en-US" w:eastAsia="zh-CN"/>
        </w:rPr>
      </w:pPr>
      <w:r>
        <w:rPr>
          <w:rFonts w:hint="eastAsia" w:ascii="方正黑体_GBK" w:hAnsi="方正黑体_GBK" w:eastAsia="方正黑体_GBK" w:cs="方正黑体_GBK"/>
          <w:b/>
          <w:bCs/>
          <w:sz w:val="32"/>
          <w:szCs w:val="32"/>
          <w:lang w:val="en-US" w:eastAsia="zh-CN"/>
        </w:rPr>
        <w:t>第十三条 退出流程与责任</w:t>
      </w:r>
    </w:p>
    <w:p w14:paraId="31E23FCE">
      <w:pPr>
        <w:pStyle w:val="2"/>
        <w:numPr>
          <w:ilvl w:val="0"/>
          <w:numId w:val="0"/>
        </w:numPr>
        <w:ind w:firstLine="640" w:firstLineChars="200"/>
        <w:rPr>
          <w:rFonts w:hint="eastAsia" w:ascii="方正仿宋_GBK" w:hAnsi="方正仿宋_GBK" w:eastAsia="方正仿宋_GBK" w:cs="方正仿宋_GBK"/>
          <w:sz w:val="32"/>
          <w:szCs w:val="32"/>
          <w:lang w:val="en-US" w:eastAsia="zh-CN"/>
        </w:rPr>
      </w:pPr>
      <w:r>
        <w:rPr>
          <w:rFonts w:hint="eastAsia" w:ascii="方正仿宋_GBK" w:hAnsi="方正仿宋_GBK" w:eastAsia="方正仿宋_GBK" w:cs="方正仿宋_GBK"/>
          <w:sz w:val="32"/>
          <w:szCs w:val="32"/>
          <w:lang w:val="en-US" w:eastAsia="zh-CN"/>
        </w:rPr>
        <w:t>1、企业终止服务前需提前30日出具书面备案，并向社会发布公告，妥善处理退还押金、会员费等费用，车辆回收等工作。</w:t>
      </w:r>
    </w:p>
    <w:p w14:paraId="0789E70A">
      <w:pPr>
        <w:pStyle w:val="2"/>
        <w:numPr>
          <w:ilvl w:val="0"/>
          <w:numId w:val="0"/>
        </w:numPr>
        <w:ind w:firstLine="640" w:firstLineChars="200"/>
        <w:rPr>
          <w:rFonts w:hint="eastAsia" w:ascii="方正仿宋_GBK" w:hAnsi="方正仿宋_GBK" w:eastAsia="方正仿宋_GBK" w:cs="方正仿宋_GBK"/>
          <w:sz w:val="32"/>
          <w:szCs w:val="32"/>
          <w:lang w:val="en-US" w:eastAsia="zh-CN"/>
        </w:rPr>
      </w:pPr>
      <w:r>
        <w:rPr>
          <w:rFonts w:hint="eastAsia" w:ascii="方正仿宋_GBK" w:hAnsi="方正仿宋_GBK" w:eastAsia="方正仿宋_GBK" w:cs="方正仿宋_GBK"/>
          <w:sz w:val="32"/>
          <w:szCs w:val="32"/>
          <w:lang w:val="en-US" w:eastAsia="zh-CN"/>
        </w:rPr>
        <w:t>2、若企业未及时清理堆积的车辆，政府部门代为拖移，费用由企业承担。</w:t>
      </w:r>
    </w:p>
    <w:p w14:paraId="17BF061C">
      <w:pPr>
        <w:keepNext w:val="0"/>
        <w:keepLines w:val="0"/>
        <w:pageBreakBefore w:val="0"/>
        <w:widowControl w:val="0"/>
        <w:numPr>
          <w:ilvl w:val="0"/>
          <w:numId w:val="0"/>
        </w:numPr>
        <w:kinsoku/>
        <w:wordWrap/>
        <w:overflowPunct/>
        <w:topLinePunct w:val="0"/>
        <w:autoSpaceDE/>
        <w:autoSpaceDN/>
        <w:bidi w:val="0"/>
        <w:adjustRightInd/>
        <w:snapToGrid/>
        <w:spacing w:line="560" w:lineRule="exact"/>
        <w:jc w:val="center"/>
        <w:textAlignment w:val="auto"/>
        <w:rPr>
          <w:rFonts w:hint="eastAsia" w:ascii="方正黑体_GBK" w:hAnsi="方正黑体_GBK" w:eastAsia="方正黑体_GBK" w:cs="方正黑体_GBK"/>
          <w:b/>
          <w:bCs/>
          <w:sz w:val="32"/>
          <w:szCs w:val="32"/>
        </w:rPr>
      </w:pPr>
      <w:r>
        <w:rPr>
          <w:rFonts w:hint="eastAsia" w:ascii="方正黑体_GBK" w:hAnsi="方正黑体_GBK" w:eastAsia="方正黑体_GBK" w:cs="方正黑体_GBK"/>
          <w:b/>
          <w:bCs/>
          <w:sz w:val="32"/>
          <w:szCs w:val="32"/>
          <w:lang w:val="en-US" w:eastAsia="zh-CN"/>
        </w:rPr>
        <w:t xml:space="preserve">第五章 </w:t>
      </w:r>
      <w:r>
        <w:rPr>
          <w:rFonts w:hint="eastAsia" w:ascii="方正黑体_GBK" w:hAnsi="方正黑体_GBK" w:eastAsia="方正黑体_GBK" w:cs="方正黑体_GBK"/>
          <w:b/>
          <w:bCs/>
          <w:sz w:val="32"/>
          <w:szCs w:val="32"/>
        </w:rPr>
        <w:t>附则</w:t>
      </w:r>
    </w:p>
    <w:p w14:paraId="6283936A">
      <w:pPr>
        <w:pStyle w:val="2"/>
        <w:rPr>
          <w:rFonts w:hint="eastAsia"/>
          <w:sz w:val="32"/>
          <w:szCs w:val="32"/>
        </w:rPr>
      </w:pPr>
    </w:p>
    <w:p w14:paraId="74625009">
      <w:pPr>
        <w:keepNext w:val="0"/>
        <w:keepLines w:val="0"/>
        <w:pageBreakBefore w:val="0"/>
        <w:widowControl w:val="0"/>
        <w:kinsoku/>
        <w:wordWrap/>
        <w:overflowPunct/>
        <w:topLinePunct w:val="0"/>
        <w:autoSpaceDE/>
        <w:autoSpaceDN/>
        <w:bidi w:val="0"/>
        <w:adjustRightInd/>
        <w:snapToGrid/>
        <w:spacing w:line="560" w:lineRule="exact"/>
        <w:ind w:firstLine="643" w:firstLineChars="200"/>
        <w:jc w:val="left"/>
        <w:textAlignment w:val="auto"/>
        <w:rPr>
          <w:rFonts w:hint="eastAsia" w:ascii="方正仿宋_GBK" w:hAnsi="方正仿宋_GBK" w:eastAsia="方正仿宋_GBK" w:cs="方正仿宋_GBK"/>
          <w:sz w:val="32"/>
          <w:szCs w:val="32"/>
        </w:rPr>
      </w:pPr>
      <w:r>
        <w:rPr>
          <w:rFonts w:hint="eastAsia" w:ascii="新宋体" w:hAnsi="新宋体" w:eastAsia="新宋体" w:cs="新宋体"/>
          <w:b/>
          <w:bCs/>
          <w:sz w:val="32"/>
          <w:szCs w:val="32"/>
          <w:lang w:val="en-US" w:eastAsia="zh-CN"/>
        </w:rPr>
        <w:t>第十三条</w:t>
      </w:r>
      <w:r>
        <w:rPr>
          <w:rFonts w:hint="eastAsia" w:ascii="新宋体" w:hAnsi="新宋体" w:eastAsia="新宋体" w:cs="新宋体"/>
          <w:sz w:val="32"/>
          <w:szCs w:val="32"/>
          <w:lang w:val="en-US" w:eastAsia="zh-CN"/>
        </w:rPr>
        <w:t xml:space="preserve"> </w:t>
      </w:r>
      <w:r>
        <w:rPr>
          <w:rFonts w:hint="eastAsia" w:ascii="方正仿宋_GBK" w:hAnsi="方正仿宋_GBK" w:eastAsia="方正仿宋_GBK" w:cs="方正仿宋_GBK"/>
          <w:sz w:val="32"/>
          <w:szCs w:val="32"/>
        </w:rPr>
        <w:t>本办法自2025年</w:t>
      </w:r>
      <w:r>
        <w:rPr>
          <w:rFonts w:hint="eastAsia" w:ascii="方正仿宋_GBK" w:hAnsi="方正仿宋_GBK" w:eastAsia="方正仿宋_GBK" w:cs="方正仿宋_GBK"/>
          <w:sz w:val="32"/>
          <w:szCs w:val="32"/>
          <w:lang w:val="en-US" w:eastAsia="zh-CN"/>
        </w:rPr>
        <w:t xml:space="preserve"> </w:t>
      </w:r>
      <w:r>
        <w:rPr>
          <w:rFonts w:hint="eastAsia" w:ascii="方正仿宋_GBK" w:hAnsi="方正仿宋_GBK" w:eastAsia="方正仿宋_GBK" w:cs="方正仿宋_GBK"/>
          <w:sz w:val="32"/>
          <w:szCs w:val="32"/>
        </w:rPr>
        <w:t>月</w:t>
      </w:r>
      <w:r>
        <w:rPr>
          <w:rFonts w:hint="eastAsia" w:ascii="方正仿宋_GBK" w:hAnsi="方正仿宋_GBK" w:eastAsia="方正仿宋_GBK" w:cs="方正仿宋_GBK"/>
          <w:sz w:val="32"/>
          <w:szCs w:val="32"/>
          <w:lang w:val="en-US" w:eastAsia="zh-CN"/>
        </w:rPr>
        <w:t xml:space="preserve"> </w:t>
      </w:r>
      <w:r>
        <w:rPr>
          <w:rFonts w:hint="eastAsia" w:ascii="方正仿宋_GBK" w:hAnsi="方正仿宋_GBK" w:eastAsia="方正仿宋_GBK" w:cs="方正仿宋_GBK"/>
          <w:sz w:val="32"/>
          <w:szCs w:val="32"/>
        </w:rPr>
        <w:t>日起施行，由喀什市</w:t>
      </w:r>
      <w:r>
        <w:rPr>
          <w:rFonts w:hint="eastAsia" w:ascii="方正仿宋_GBK" w:hAnsi="方正仿宋_GBK" w:eastAsia="方正仿宋_GBK" w:cs="方正仿宋_GBK"/>
          <w:sz w:val="32"/>
          <w:szCs w:val="32"/>
          <w:lang w:val="en-US" w:eastAsia="zh-CN"/>
        </w:rPr>
        <w:t>城市管理</w:t>
      </w:r>
      <w:r>
        <w:rPr>
          <w:rFonts w:hint="eastAsia" w:ascii="方正仿宋_GBK" w:hAnsi="方正仿宋_GBK" w:eastAsia="方正仿宋_GBK" w:cs="方正仿宋_GBK"/>
          <w:sz w:val="32"/>
          <w:szCs w:val="32"/>
        </w:rPr>
        <w:t>局负责解释。</w:t>
      </w:r>
    </w:p>
    <w:p w14:paraId="4D68962C">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方正仿宋_GBK" w:hAnsi="方正仿宋_GBK" w:eastAsia="方正仿宋_GBK" w:cs="方正仿宋_GBK"/>
          <w:sz w:val="32"/>
          <w:szCs w:val="32"/>
        </w:rPr>
      </w:pPr>
    </w:p>
    <w:sectPr>
      <w:pgSz w:w="11906" w:h="16838"/>
      <w:pgMar w:top="1984" w:right="1531" w:bottom="1701" w:left="1531"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小标宋_GBK">
    <w:panose1 w:val="03000509000000000000"/>
    <w:charset w:val="86"/>
    <w:family w:val="auto"/>
    <w:pitch w:val="default"/>
    <w:sig w:usb0="00000001" w:usb1="080E0000" w:usb2="00000000" w:usb3="00000000" w:csb0="00040000" w:csb1="00000000"/>
    <w:embedRegular r:id="rId1" w:fontKey="{FB955B13-53E0-4309-B618-916D8CDF105F}"/>
  </w:font>
  <w:font w:name="新宋体">
    <w:panose1 w:val="02010609030101010101"/>
    <w:charset w:val="86"/>
    <w:family w:val="auto"/>
    <w:pitch w:val="default"/>
    <w:sig w:usb0="00000203" w:usb1="288F0000" w:usb2="00000006" w:usb3="00000000" w:csb0="00040001" w:csb1="00000000"/>
    <w:embedRegular r:id="rId2" w:fontKey="{C433B03E-51D3-4171-9B75-8E585C2F7D07}"/>
  </w:font>
  <w:font w:name="方正黑体_GBK">
    <w:panose1 w:val="03000509000000000000"/>
    <w:charset w:val="86"/>
    <w:family w:val="auto"/>
    <w:pitch w:val="default"/>
    <w:sig w:usb0="00000001" w:usb1="080E0000" w:usb2="00000000" w:usb3="00000000" w:csb0="00040000" w:csb1="00000000"/>
    <w:embedRegular r:id="rId3" w:fontKey="{C7F1D450-B01F-406C-87B5-CAA836A6EA17}"/>
  </w:font>
  <w:font w:name="方正仿宋_GBK">
    <w:panose1 w:val="03000509000000000000"/>
    <w:charset w:val="86"/>
    <w:family w:val="auto"/>
    <w:pitch w:val="default"/>
    <w:sig w:usb0="00000001" w:usb1="080E0000" w:usb2="00000000" w:usb3="00000000" w:csb0="00040000" w:csb1="00000000"/>
    <w:embedRegular r:id="rId4" w:fontKey="{0628FB38-DA9C-4FC0-9ED1-7A225A7170B0}"/>
  </w:font>
  <w:font w:name="微软雅黑">
    <w:panose1 w:val="020B0503020204020204"/>
    <w:charset w:val="86"/>
    <w:family w:val="auto"/>
    <w:pitch w:val="default"/>
    <w:sig w:usb0="80000287" w:usb1="2ACF3C50" w:usb2="00000016" w:usb3="00000000" w:csb0="0004001F" w:csb1="00000000"/>
  </w:font>
  <w:font w:name="仿宋">
    <w:panose1 w:val="02010609060101010101"/>
    <w:charset w:val="86"/>
    <w:family w:val="auto"/>
    <w:pitch w:val="default"/>
    <w:sig w:usb0="800002BF" w:usb1="38CF7CFA" w:usb2="00000016" w:usb3="00000000" w:csb0="00040001" w:csb1="00000000"/>
  </w:font>
  <w:font w:name="方正楷体_GBK">
    <w:panose1 w:val="03000509000000000000"/>
    <w:charset w:val="86"/>
    <w:family w:val="auto"/>
    <w:pitch w:val="default"/>
    <w:sig w:usb0="00000001" w:usb1="080E0000" w:usb2="00000000" w:usb3="00000000" w:csb0="00040000" w:csb1="00000000"/>
  </w:font>
  <w:font w:name="微软雅黑 Light">
    <w:panose1 w:val="020B0502040204020203"/>
    <w:charset w:val="86"/>
    <w:family w:val="auto"/>
    <w:pitch w:val="default"/>
    <w:sig w:usb0="80000287" w:usb1="2ACF0010" w:usb2="00000016" w:usb3="00000000" w:csb0="0004001F" w:csb1="00000000"/>
  </w:font>
  <w:font w:name="楷体">
    <w:panose1 w:val="02010609060101010101"/>
    <w:charset w:val="86"/>
    <w:family w:val="auto"/>
    <w:pitch w:val="default"/>
    <w:sig w:usb0="800002BF" w:usb1="38CF7CFA" w:usb2="00000016" w:usb3="00000000" w:csb0="00040001" w:csb1="00000000"/>
  </w:font>
  <w:font w:name="等线">
    <w:panose1 w:val="02010600030101010101"/>
    <w:charset w:val="86"/>
    <w:family w:val="auto"/>
    <w:pitch w:val="default"/>
    <w:sig w:usb0="A00002BF" w:usb1="38CF7CFA" w:usb2="00000016" w:usb3="00000000" w:csb0="0004000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AFEE329A"/>
    <w:multiLevelType w:val="singleLevel"/>
    <w:tmpl w:val="AFEE329A"/>
    <w:lvl w:ilvl="0" w:tentative="0">
      <w:start w:val="2"/>
      <w:numFmt w:val="chineseCounting"/>
      <w:suff w:val="space"/>
      <w:lvlText w:val="第%1条"/>
      <w:lvlJc w:val="left"/>
      <w:pPr>
        <w:ind w:left="-8"/>
      </w:pPr>
      <w:rPr>
        <w:rFonts w:hint="eastAsia" w:ascii="方正黑体_GBK" w:hAnsi="方正黑体_GBK" w:eastAsia="方正黑体_GBK" w:cs="方正黑体_GBK"/>
        <w:b/>
        <w:bCs/>
      </w:rPr>
    </w:lvl>
  </w:abstractNum>
  <w:abstractNum w:abstractNumId="1">
    <w:nsid w:val="558417EC"/>
    <w:multiLevelType w:val="singleLevel"/>
    <w:tmpl w:val="558417EC"/>
    <w:lvl w:ilvl="0" w:tentative="0">
      <w:start w:val="4"/>
      <w:numFmt w:val="decimal"/>
      <w:suff w:val="nothing"/>
      <w:lvlText w:val="%1、"/>
      <w:lvlJc w:val="left"/>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saveSubset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GU1MTQ3NzVkYzgwYTBkNmYxMzY5YjQ4ZjMxZGU5Y2EifQ=="/>
  </w:docVars>
  <w:rsids>
    <w:rsidRoot w:val="00000000"/>
    <w:rsid w:val="002D269B"/>
    <w:rsid w:val="0374413D"/>
    <w:rsid w:val="045F6B9B"/>
    <w:rsid w:val="04656EB0"/>
    <w:rsid w:val="05FD6266"/>
    <w:rsid w:val="08F33D56"/>
    <w:rsid w:val="0C4B2C18"/>
    <w:rsid w:val="0D2015BD"/>
    <w:rsid w:val="0EEC1973"/>
    <w:rsid w:val="113E675B"/>
    <w:rsid w:val="12A847AF"/>
    <w:rsid w:val="12C64289"/>
    <w:rsid w:val="12F6691D"/>
    <w:rsid w:val="177E15D6"/>
    <w:rsid w:val="1A011B7E"/>
    <w:rsid w:val="1A122616"/>
    <w:rsid w:val="1A50106C"/>
    <w:rsid w:val="1A6E148E"/>
    <w:rsid w:val="1C0025BA"/>
    <w:rsid w:val="1C5B3C94"/>
    <w:rsid w:val="1C844F99"/>
    <w:rsid w:val="20895274"/>
    <w:rsid w:val="238076E2"/>
    <w:rsid w:val="2479609D"/>
    <w:rsid w:val="26711ECD"/>
    <w:rsid w:val="27003DB6"/>
    <w:rsid w:val="27B8643F"/>
    <w:rsid w:val="27FF7BCA"/>
    <w:rsid w:val="28081174"/>
    <w:rsid w:val="2A1D07DB"/>
    <w:rsid w:val="2A7A3E7F"/>
    <w:rsid w:val="2B3A4AD7"/>
    <w:rsid w:val="2B737257"/>
    <w:rsid w:val="2CA90A4C"/>
    <w:rsid w:val="2E652751"/>
    <w:rsid w:val="2F9E3CBB"/>
    <w:rsid w:val="2FE53B49"/>
    <w:rsid w:val="3245102E"/>
    <w:rsid w:val="32D446E1"/>
    <w:rsid w:val="3454129D"/>
    <w:rsid w:val="34692F9B"/>
    <w:rsid w:val="34FC4817"/>
    <w:rsid w:val="35103416"/>
    <w:rsid w:val="369B31B3"/>
    <w:rsid w:val="37546889"/>
    <w:rsid w:val="37F0752F"/>
    <w:rsid w:val="391536F1"/>
    <w:rsid w:val="39DD3AE3"/>
    <w:rsid w:val="3BEE1FD7"/>
    <w:rsid w:val="3ED03C16"/>
    <w:rsid w:val="3F0D5C30"/>
    <w:rsid w:val="404622E0"/>
    <w:rsid w:val="40ED71FA"/>
    <w:rsid w:val="41AB3394"/>
    <w:rsid w:val="43AA712C"/>
    <w:rsid w:val="43DA670C"/>
    <w:rsid w:val="45E90E89"/>
    <w:rsid w:val="467F21AA"/>
    <w:rsid w:val="499441BE"/>
    <w:rsid w:val="499E328F"/>
    <w:rsid w:val="4A290834"/>
    <w:rsid w:val="4A360670"/>
    <w:rsid w:val="4B29302C"/>
    <w:rsid w:val="4B7E758D"/>
    <w:rsid w:val="4C2F01CE"/>
    <w:rsid w:val="4C931F4E"/>
    <w:rsid w:val="4CF51418"/>
    <w:rsid w:val="4E172FBA"/>
    <w:rsid w:val="4E630CF6"/>
    <w:rsid w:val="4F8C3B89"/>
    <w:rsid w:val="51385D77"/>
    <w:rsid w:val="52307FE4"/>
    <w:rsid w:val="52A86F2C"/>
    <w:rsid w:val="5402266C"/>
    <w:rsid w:val="5415239F"/>
    <w:rsid w:val="543F0916"/>
    <w:rsid w:val="552A3C28"/>
    <w:rsid w:val="58311772"/>
    <w:rsid w:val="587D6765"/>
    <w:rsid w:val="5D5201C0"/>
    <w:rsid w:val="5E6C52B2"/>
    <w:rsid w:val="604F208F"/>
    <w:rsid w:val="61C80A51"/>
    <w:rsid w:val="62255EA3"/>
    <w:rsid w:val="65921E4C"/>
    <w:rsid w:val="664B39FF"/>
    <w:rsid w:val="66D734E4"/>
    <w:rsid w:val="66F26570"/>
    <w:rsid w:val="689C49E5"/>
    <w:rsid w:val="699B6B2B"/>
    <w:rsid w:val="6AF723A7"/>
    <w:rsid w:val="6B601CFA"/>
    <w:rsid w:val="6CAA6D82"/>
    <w:rsid w:val="6CCD67BE"/>
    <w:rsid w:val="6DDE2548"/>
    <w:rsid w:val="703674CE"/>
    <w:rsid w:val="70766974"/>
    <w:rsid w:val="709F435A"/>
    <w:rsid w:val="736F3422"/>
    <w:rsid w:val="739C1D3D"/>
    <w:rsid w:val="74145D78"/>
    <w:rsid w:val="76A85A83"/>
    <w:rsid w:val="789A0DEE"/>
    <w:rsid w:val="79170B0E"/>
    <w:rsid w:val="7D7D3BB4"/>
    <w:rsid w:val="7EA6203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99"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99"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4">
    <w:name w:val="heading 3"/>
    <w:basedOn w:val="1"/>
    <w:next w:val="1"/>
    <w:semiHidden/>
    <w:unhideWhenUsed/>
    <w:qFormat/>
    <w:uiPriority w:val="0"/>
    <w:pPr>
      <w:spacing w:before="0" w:beforeAutospacing="1" w:after="0" w:afterAutospacing="1"/>
      <w:jc w:val="left"/>
    </w:pPr>
    <w:rPr>
      <w:rFonts w:hint="eastAsia" w:ascii="宋体" w:hAnsi="宋体" w:eastAsia="宋体" w:cs="宋体"/>
      <w:b/>
      <w:bCs/>
      <w:kern w:val="0"/>
      <w:sz w:val="27"/>
      <w:szCs w:val="27"/>
      <w:lang w:val="en-US" w:eastAsia="zh-CN" w:bidi="ar"/>
    </w:rPr>
  </w:style>
  <w:style w:type="paragraph" w:styleId="5">
    <w:name w:val="heading 4"/>
    <w:basedOn w:val="1"/>
    <w:next w:val="1"/>
    <w:semiHidden/>
    <w:unhideWhenUsed/>
    <w:qFormat/>
    <w:uiPriority w:val="0"/>
    <w:pPr>
      <w:spacing w:before="0" w:beforeAutospacing="1" w:after="0" w:afterAutospacing="1"/>
      <w:jc w:val="left"/>
    </w:pPr>
    <w:rPr>
      <w:rFonts w:hint="eastAsia" w:ascii="宋体" w:hAnsi="宋体" w:eastAsia="宋体" w:cs="宋体"/>
      <w:b/>
      <w:bCs/>
      <w:kern w:val="0"/>
      <w:sz w:val="24"/>
      <w:szCs w:val="24"/>
      <w:lang w:val="en-US" w:eastAsia="zh-CN" w:bidi="ar"/>
    </w:rPr>
  </w:style>
  <w:style w:type="character" w:default="1" w:styleId="8">
    <w:name w:val="Default Paragraph Font"/>
    <w:semiHidden/>
    <w:qFormat/>
    <w:uiPriority w:val="0"/>
  </w:style>
  <w:style w:type="table" w:default="1" w:styleId="7">
    <w:name w:val="Normal Table"/>
    <w:semiHidden/>
    <w:qFormat/>
    <w:uiPriority w:val="0"/>
    <w:tblPr>
      <w:tblCellMar>
        <w:top w:w="0" w:type="dxa"/>
        <w:left w:w="108" w:type="dxa"/>
        <w:bottom w:w="0" w:type="dxa"/>
        <w:right w:w="108" w:type="dxa"/>
      </w:tblCellMar>
    </w:tblPr>
  </w:style>
  <w:style w:type="paragraph" w:styleId="2">
    <w:name w:val="Body Text First Indent"/>
    <w:basedOn w:val="3"/>
    <w:qFormat/>
    <w:uiPriority w:val="99"/>
    <w:pPr>
      <w:ind w:firstLine="420" w:firstLineChars="100"/>
    </w:pPr>
  </w:style>
  <w:style w:type="paragraph" w:styleId="3">
    <w:name w:val="Body Text"/>
    <w:basedOn w:val="1"/>
    <w:next w:val="1"/>
    <w:qFormat/>
    <w:uiPriority w:val="99"/>
  </w:style>
  <w:style w:type="paragraph" w:styleId="6">
    <w:name w:val="Normal (Web)"/>
    <w:basedOn w:val="1"/>
    <w:qFormat/>
    <w:uiPriority w:val="0"/>
    <w:rPr>
      <w:sz w:val="24"/>
    </w:rPr>
  </w:style>
  <w:style w:type="character" w:styleId="9">
    <w:name w:val="Strong"/>
    <w:basedOn w:val="8"/>
    <w:qFormat/>
    <w:uiPriority w:val="0"/>
    <w:rPr>
      <w:b/>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7</Pages>
  <Words>2614</Words>
  <Characters>2660</Characters>
  <Lines>0</Lines>
  <Paragraphs>0</Paragraphs>
  <TotalTime>14</TotalTime>
  <ScaleCrop>false</ScaleCrop>
  <LinksUpToDate>false</LinksUpToDate>
  <CharactersWithSpaces>2698</CharactersWithSpaces>
  <Application>WPS Office_12.1.0.20784_F1E327BC-269C-435d-A152-05C5408002CA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2025-04-24T04:20:00Z</dcterms:created>
  <dc:creator>jiahuohuo</dc:creator>
  <cp:lastModifiedBy>for ↩me</cp:lastModifiedBy>
  <cp:lastPrinted>2025-05-26T11:53:02Z</cp:lastPrinted>
  <dcterms:modified xsi:type="dcterms:W3CDTF">2025-05-26T11:55:13Z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2052-12.1.0.20784</vt:lpwstr>
  </property>
  <property fmtid="{D5CDD505-2E9C-101B-9397-08002B2CF9AE}" pid="3" name="KSOTemplateDocerSaveRecord">
    <vt:lpwstr>eyJoZGlkIjoiYzJiNzAwMjkwNzI3NGNjODExNDkxOWNkMjZiYzgxOTkiLCJ1c2VySWQiOiIzMzE1NTA0MzcifQ==</vt:lpwstr>
  </property>
  <property fmtid="{D5CDD505-2E9C-101B-9397-08002B2CF9AE}" pid="4" name="ICV">
    <vt:lpwstr>55E06FF9F2F347E1AF5563E581EDC792_13</vt:lpwstr>
  </property>
</Properties>
</file>